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6DC3" w14:textId="5FB902F9" w:rsidR="00A43FA9" w:rsidRPr="002D79FD" w:rsidRDefault="00A43FA9" w:rsidP="00172A3B">
      <w:pPr>
        <w:spacing w:line="480" w:lineRule="auto"/>
        <w:jc w:val="both"/>
        <w:rPr>
          <w:rFonts w:cs="Times New Roman"/>
          <w:b/>
          <w:bCs/>
          <w:lang w:val="en-GB"/>
        </w:rPr>
      </w:pPr>
      <w:r w:rsidRPr="002D79FD">
        <w:rPr>
          <w:rFonts w:cs="Times New Roman"/>
          <w:b/>
          <w:bCs/>
          <w:lang w:val="en-GB"/>
        </w:rPr>
        <w:t xml:space="preserve">Accountability Under Pressure </w:t>
      </w:r>
    </w:p>
    <w:p w14:paraId="56A6CD05" w14:textId="77777777" w:rsidR="00A43FA9" w:rsidRPr="002D79FD" w:rsidRDefault="00A43FA9" w:rsidP="00172A3B">
      <w:pPr>
        <w:spacing w:line="480" w:lineRule="auto"/>
        <w:jc w:val="both"/>
        <w:rPr>
          <w:rFonts w:cs="Times New Roman"/>
          <w:b/>
          <w:bCs/>
          <w:lang w:val="en-GB"/>
        </w:rPr>
      </w:pPr>
      <w:r w:rsidRPr="002D79FD">
        <w:rPr>
          <w:rFonts w:cs="Times New Roman"/>
          <w:b/>
          <w:bCs/>
          <w:lang w:val="en-GB"/>
        </w:rPr>
        <w:t>Legal Dynamics and Tensions of Journalistic Responsibility Between Self-Governance and State Regulation in Portugal’s Allegedly Polarized Media System</w:t>
      </w:r>
    </w:p>
    <w:p w14:paraId="58142A55" w14:textId="77777777" w:rsidR="00A43FA9" w:rsidRPr="002D79FD" w:rsidRDefault="00A43FA9" w:rsidP="00172A3B">
      <w:pPr>
        <w:spacing w:line="480" w:lineRule="auto"/>
        <w:jc w:val="both"/>
        <w:rPr>
          <w:rFonts w:cs="Times New Roman"/>
          <w:lang w:val="en-GB"/>
        </w:rPr>
      </w:pPr>
    </w:p>
    <w:p w14:paraId="18A8DFD7" w14:textId="77777777" w:rsidR="00A43FA9" w:rsidRPr="002D79FD" w:rsidRDefault="00A43FA9" w:rsidP="00172A3B">
      <w:pPr>
        <w:spacing w:line="480" w:lineRule="auto"/>
        <w:jc w:val="both"/>
        <w:rPr>
          <w:rFonts w:cs="Times New Roman"/>
          <w:lang w:val="en-GB"/>
        </w:rPr>
      </w:pPr>
      <w:r w:rsidRPr="002D79FD">
        <w:rPr>
          <w:rFonts w:cs="Times New Roman"/>
          <w:lang w:val="en-GB"/>
        </w:rPr>
        <w:t>Rute Saraiva</w:t>
      </w:r>
    </w:p>
    <w:p w14:paraId="7C7A7E33" w14:textId="723EB8EE" w:rsidR="00A43FA9" w:rsidRPr="002D79FD" w:rsidRDefault="00E41668" w:rsidP="00172A3B">
      <w:pPr>
        <w:spacing w:line="480" w:lineRule="auto"/>
        <w:jc w:val="both"/>
        <w:rPr>
          <w:rFonts w:cs="Times New Roman"/>
          <w:lang w:val="en-GB"/>
        </w:rPr>
      </w:pPr>
      <w:r>
        <w:rPr>
          <w:rFonts w:cs="Times New Roman"/>
          <w:lang w:val="en-GB"/>
        </w:rPr>
        <w:t xml:space="preserve">Associate Professor at the </w:t>
      </w:r>
      <w:r w:rsidR="00A43FA9" w:rsidRPr="002D79FD">
        <w:rPr>
          <w:rFonts w:cs="Times New Roman"/>
          <w:lang w:val="en-GB"/>
        </w:rPr>
        <w:t>University of Lisbon School</w:t>
      </w:r>
      <w:r w:rsidR="00593D7A" w:rsidRPr="002D79FD">
        <w:rPr>
          <w:rFonts w:cs="Times New Roman"/>
          <w:lang w:val="en-GB"/>
        </w:rPr>
        <w:t xml:space="preserve"> of Law</w:t>
      </w:r>
    </w:p>
    <w:p w14:paraId="4C7BE43E" w14:textId="77777777" w:rsidR="00843869" w:rsidRPr="002D79FD" w:rsidRDefault="00843869" w:rsidP="00172A3B">
      <w:pPr>
        <w:spacing w:line="480" w:lineRule="auto"/>
        <w:jc w:val="both"/>
        <w:rPr>
          <w:rFonts w:cs="Times New Roman"/>
          <w:lang w:val="en-GB"/>
        </w:rPr>
      </w:pPr>
    </w:p>
    <w:p w14:paraId="42C8B7FC" w14:textId="2769630D" w:rsidR="00843869" w:rsidRPr="002D79FD" w:rsidRDefault="00843869" w:rsidP="00172A3B">
      <w:pPr>
        <w:spacing w:line="480" w:lineRule="auto"/>
        <w:jc w:val="both"/>
        <w:rPr>
          <w:rFonts w:cs="Times New Roman"/>
          <w:lang w:val="en-GB"/>
        </w:rPr>
      </w:pPr>
      <w:r w:rsidRPr="002D79FD">
        <w:rPr>
          <w:rFonts w:cs="Times New Roman"/>
          <w:b/>
          <w:bCs/>
          <w:lang w:val="en-GB"/>
        </w:rPr>
        <w:t>Keywords:</w:t>
      </w:r>
      <w:r w:rsidRPr="002D79FD">
        <w:rPr>
          <w:rFonts w:cs="Times New Roman"/>
          <w:lang w:val="en-GB"/>
        </w:rPr>
        <w:t xml:space="preserve"> Media Law, Press Freedom, </w:t>
      </w:r>
      <w:r w:rsidR="001D0B6B" w:rsidRPr="002D79FD">
        <w:rPr>
          <w:rFonts w:cs="Times New Roman"/>
          <w:lang w:val="en-GB"/>
        </w:rPr>
        <w:t xml:space="preserve">Responsibility, </w:t>
      </w:r>
      <w:r w:rsidRPr="002D79FD">
        <w:rPr>
          <w:rFonts w:cs="Times New Roman"/>
          <w:lang w:val="en-GB"/>
        </w:rPr>
        <w:t>Self-Regulation, State Regulation, Portugal</w:t>
      </w:r>
    </w:p>
    <w:p w14:paraId="3121C370" w14:textId="77777777" w:rsidR="00A43FA9" w:rsidRPr="002D79FD" w:rsidRDefault="00A43FA9" w:rsidP="00172A3B">
      <w:pPr>
        <w:spacing w:line="480" w:lineRule="auto"/>
        <w:jc w:val="both"/>
        <w:rPr>
          <w:rFonts w:cs="Times New Roman"/>
          <w:b/>
          <w:bCs/>
          <w:lang w:val="en-GB"/>
        </w:rPr>
      </w:pPr>
    </w:p>
    <w:p w14:paraId="5AEC1709" w14:textId="0248779F" w:rsidR="00A43FA9" w:rsidRPr="002D79FD" w:rsidRDefault="00A43FA9" w:rsidP="00172A3B">
      <w:pPr>
        <w:spacing w:line="480" w:lineRule="auto"/>
        <w:jc w:val="both"/>
        <w:rPr>
          <w:rFonts w:cs="Times New Roman"/>
          <w:b/>
          <w:bCs/>
          <w:lang w:val="en-GB"/>
        </w:rPr>
      </w:pPr>
      <w:r w:rsidRPr="002D79FD">
        <w:rPr>
          <w:rFonts w:cs="Times New Roman"/>
          <w:b/>
          <w:bCs/>
          <w:lang w:val="en-GB"/>
        </w:rPr>
        <w:t>1. Introduction</w:t>
      </w:r>
    </w:p>
    <w:p w14:paraId="09083E22" w14:textId="1C09B4B7" w:rsidR="00C9497D" w:rsidRPr="002D79FD" w:rsidRDefault="00A43FA9" w:rsidP="00172A3B">
      <w:pPr>
        <w:spacing w:line="480" w:lineRule="auto"/>
        <w:jc w:val="both"/>
        <w:rPr>
          <w:rFonts w:cs="Times New Roman"/>
          <w:lang w:val="en-GB"/>
        </w:rPr>
      </w:pPr>
      <w:r w:rsidRPr="002D79FD">
        <w:rPr>
          <w:rFonts w:cs="Times New Roman"/>
          <w:lang w:val="en-GB"/>
        </w:rPr>
        <w:t xml:space="preserve">In contemporary democratic societies, the role of journalism transcends mere information dissemination. It is central to the system of checks and balances, acting as a public watchdog and a forum for democratic deliberation. However, this normative ideal is increasingly tested by regulatory ambiguities, technological disruption, and the erosion of public trust. In Portugal, the evolution of journalistic responsibility has been profoundly shaped by historical, institutional, and political contingencies. </w:t>
      </w:r>
      <w:r w:rsidR="004231BA" w:rsidRPr="002D79FD">
        <w:rPr>
          <w:rFonts w:cs="Times New Roman"/>
          <w:lang w:val="en-GB"/>
        </w:rPr>
        <w:t>Hence, t</w:t>
      </w:r>
      <w:r w:rsidRPr="002D79FD">
        <w:rPr>
          <w:rFonts w:cs="Times New Roman"/>
          <w:lang w:val="en-GB"/>
        </w:rPr>
        <w:t>he Portuguese legal model reflects broader tensions between normative aspirations and institutional limitations.</w:t>
      </w:r>
      <w:r w:rsidR="00C9497D" w:rsidRPr="002D79FD">
        <w:rPr>
          <w:rFonts w:cs="Times New Roman"/>
          <w:lang w:val="en-GB"/>
        </w:rPr>
        <w:t xml:space="preserve"> Over the last five decades, the legal and ethical framework surrounding journalistic liability</w:t>
      </w:r>
      <w:r w:rsidR="002D513D" w:rsidRPr="002D79FD">
        <w:rPr>
          <w:rFonts w:cs="Times New Roman"/>
          <w:lang w:val="en-GB"/>
        </w:rPr>
        <w:t xml:space="preserve"> and accountability</w:t>
      </w:r>
      <w:r w:rsidR="00C9497D" w:rsidRPr="002D79FD">
        <w:rPr>
          <w:rFonts w:cs="Times New Roman"/>
          <w:lang w:val="en-GB"/>
        </w:rPr>
        <w:t xml:space="preserve"> in Portugal has evolved significantly, mirroring broader democratic consolidation processes and transformations in media practices and markets. From a system of prior censorship under authoritarian rule to a contemporary regime characterized by constitutional safeguards, professional deontology, and sectoral </w:t>
      </w:r>
      <w:r w:rsidR="00C9497D" w:rsidRPr="002D79FD">
        <w:rPr>
          <w:rFonts w:cs="Times New Roman"/>
          <w:lang w:val="en-GB"/>
        </w:rPr>
        <w:lastRenderedPageBreak/>
        <w:t>regulation, Portuguese journalism has increasingly operated within a complex interplay between hetero-and self-regulation, with tensions between freedom of press and free speech versus social responsibility and public capture.</w:t>
      </w:r>
    </w:p>
    <w:p w14:paraId="71D417C0" w14:textId="04DF7822" w:rsidR="00965D91" w:rsidRPr="002D79FD" w:rsidRDefault="00965D91" w:rsidP="00172A3B">
      <w:pPr>
        <w:spacing w:line="480" w:lineRule="auto"/>
        <w:jc w:val="both"/>
        <w:rPr>
          <w:rFonts w:cs="Times New Roman"/>
          <w:lang w:val="en-GB"/>
        </w:rPr>
      </w:pPr>
      <w:r w:rsidRPr="002D79FD">
        <w:rPr>
          <w:rFonts w:cs="Times New Roman"/>
          <w:lang w:val="en-GB"/>
        </w:rPr>
        <w:t xml:space="preserve">Our goal here is to </w:t>
      </w:r>
      <w:proofErr w:type="spellStart"/>
      <w:r w:rsidRPr="002D79FD">
        <w:rPr>
          <w:rFonts w:cs="Times New Roman"/>
          <w:lang w:val="en-GB"/>
        </w:rPr>
        <w:t>analyze</w:t>
      </w:r>
      <w:proofErr w:type="spellEnd"/>
      <w:r w:rsidRPr="002D79FD">
        <w:rPr>
          <w:rFonts w:cs="Times New Roman"/>
          <w:lang w:val="en-GB"/>
        </w:rPr>
        <w:t xml:space="preserve"> how has the legal framework for journalistic responsibility in Portugal evolved in the context of democratic consolidation, and to what extent does the current model effectively balance the tension between self- and public regulation. In other words, we aim to check if the Portuguese model lived to the post-revolutionary ideals on the freedom of press and if it is well prepared for the challenges of a globalised and digitalised world, where the definition of journalism is blurred and populism and fake news emerge</w:t>
      </w:r>
      <w:r w:rsidR="00C65ADC" w:rsidRPr="002D79FD">
        <w:rPr>
          <w:rStyle w:val="FootnoteReference"/>
          <w:rFonts w:cs="Times New Roman"/>
          <w:lang w:val="en-GB"/>
        </w:rPr>
        <w:footnoteReference w:id="1"/>
      </w:r>
      <w:r w:rsidRPr="002D79FD">
        <w:rPr>
          <w:rFonts w:cs="Times New Roman"/>
          <w:lang w:val="en-GB"/>
        </w:rPr>
        <w:t>.</w:t>
      </w:r>
    </w:p>
    <w:p w14:paraId="4DEA4AA5" w14:textId="0A6F0D5E" w:rsidR="0057511C" w:rsidRPr="002D79FD" w:rsidRDefault="005C2E60" w:rsidP="00172A3B">
      <w:pPr>
        <w:spacing w:line="480" w:lineRule="auto"/>
        <w:jc w:val="both"/>
        <w:rPr>
          <w:rFonts w:cs="Times New Roman"/>
          <w:lang w:val="en-GB"/>
        </w:rPr>
      </w:pPr>
      <w:r w:rsidRPr="002D79FD">
        <w:rPr>
          <w:rFonts w:cs="Times New Roman"/>
          <w:lang w:val="en-GB"/>
        </w:rPr>
        <w:t xml:space="preserve">For the purposes of this article, even recognizing that in strict terms the concepts of “responsibility,” “liability,” and “accountability” have different contents—with references respectively to social responsibility, the assumption of damages and </w:t>
      </w:r>
      <w:proofErr w:type="spellStart"/>
      <w:r w:rsidRPr="002D79FD">
        <w:rPr>
          <w:rFonts w:cs="Times New Roman"/>
          <w:lang w:val="en-GB"/>
        </w:rPr>
        <w:t>imputability</w:t>
      </w:r>
      <w:proofErr w:type="spellEnd"/>
      <w:r w:rsidRPr="002D79FD">
        <w:rPr>
          <w:rFonts w:cs="Times New Roman"/>
          <w:lang w:val="en-GB"/>
        </w:rPr>
        <w:t xml:space="preserve">, and the </w:t>
      </w:r>
      <w:r w:rsidR="00A87DED" w:rsidRPr="002D79FD">
        <w:rPr>
          <w:rFonts w:cs="Times New Roman"/>
          <w:lang w:val="en-GB"/>
        </w:rPr>
        <w:t xml:space="preserve">process of </w:t>
      </w:r>
      <w:r w:rsidR="0054482F" w:rsidRPr="002D79FD">
        <w:rPr>
          <w:rFonts w:cs="Times New Roman"/>
          <w:lang w:val="en-GB"/>
        </w:rPr>
        <w:t>responding to others</w:t>
      </w:r>
      <w:r w:rsidR="0028526A" w:rsidRPr="002D79FD">
        <w:rPr>
          <w:rFonts w:cs="Times New Roman"/>
          <w:lang w:val="en-GB"/>
        </w:rPr>
        <w:t xml:space="preserve"> for o</w:t>
      </w:r>
      <w:r w:rsidR="00F3055B" w:rsidRPr="002D79FD">
        <w:rPr>
          <w:rFonts w:cs="Times New Roman"/>
          <w:lang w:val="en-GB"/>
        </w:rPr>
        <w:t>wn</w:t>
      </w:r>
      <w:r w:rsidR="0028526A" w:rsidRPr="002D79FD">
        <w:rPr>
          <w:rFonts w:cs="Times New Roman"/>
          <w:lang w:val="en-GB"/>
        </w:rPr>
        <w:t xml:space="preserve"> activities</w:t>
      </w:r>
      <w:r w:rsidRPr="002D79FD">
        <w:rPr>
          <w:rFonts w:cs="Times New Roman"/>
          <w:lang w:val="en-GB"/>
        </w:rPr>
        <w:t xml:space="preserve"> with a more </w:t>
      </w:r>
      <w:r w:rsidR="00615663" w:rsidRPr="002D79FD">
        <w:rPr>
          <w:rFonts w:cs="Times New Roman"/>
          <w:lang w:val="en-GB"/>
        </w:rPr>
        <w:t>leg</w:t>
      </w:r>
      <w:r w:rsidR="002F5B33" w:rsidRPr="002D79FD">
        <w:rPr>
          <w:rFonts w:cs="Times New Roman"/>
          <w:lang w:val="en-GB"/>
        </w:rPr>
        <w:t>itimacy</w:t>
      </w:r>
      <w:r w:rsidRPr="002D79FD">
        <w:rPr>
          <w:rFonts w:cs="Times New Roman"/>
          <w:lang w:val="en-GB"/>
        </w:rPr>
        <w:t xml:space="preserve"> and deontological dimension—a broader understanding of the terms is adopted here, considering the existing overlap of the various normative orders involved and the necessary combination of a negative and positive approach to press freedom</w:t>
      </w:r>
      <w:r w:rsidR="008533A0">
        <w:rPr>
          <w:rFonts w:cs="Times New Roman"/>
          <w:lang w:val="en-GB"/>
        </w:rPr>
        <w:t>. Therefore</w:t>
      </w:r>
      <w:r w:rsidR="009073BC">
        <w:rPr>
          <w:rFonts w:cs="Times New Roman"/>
          <w:lang w:val="en-GB"/>
        </w:rPr>
        <w:t>, these concepts</w:t>
      </w:r>
      <w:r w:rsidRPr="002D79FD">
        <w:rPr>
          <w:rFonts w:cs="Times New Roman"/>
          <w:lang w:val="en-GB"/>
        </w:rPr>
        <w:t xml:space="preserve"> converg</w:t>
      </w:r>
      <w:r w:rsidR="009073BC">
        <w:rPr>
          <w:rFonts w:cs="Times New Roman"/>
          <w:lang w:val="en-GB"/>
        </w:rPr>
        <w:t>e</w:t>
      </w:r>
      <w:r w:rsidRPr="002D79FD">
        <w:rPr>
          <w:rFonts w:cs="Times New Roman"/>
          <w:lang w:val="en-GB"/>
        </w:rPr>
        <w:t xml:space="preserve"> towards an idea of </w:t>
      </w:r>
      <w:r w:rsidRPr="002D79FD">
        <w:rPr>
          <w:rFonts w:ascii="Arial" w:hAnsi="Arial" w:cs="Arial"/>
          <w:lang w:val="en-GB"/>
        </w:rPr>
        <w:t>​​</w:t>
      </w:r>
      <w:r w:rsidRPr="002D79FD">
        <w:rPr>
          <w:rFonts w:cs="Times New Roman"/>
          <w:lang w:val="en-GB"/>
        </w:rPr>
        <w:t>“answerability” and “governance,” even due to the model of media organization that is not limited to the individual journalist and that presents a complex public and private regulation</w:t>
      </w:r>
      <w:r w:rsidR="0057511C" w:rsidRPr="002D79FD">
        <w:rPr>
          <w:rFonts w:cs="Times New Roman"/>
          <w:lang w:val="en-GB"/>
        </w:rPr>
        <w:t>.</w:t>
      </w:r>
      <w:r w:rsidR="0057511C" w:rsidRPr="002D79FD">
        <w:rPr>
          <w:rStyle w:val="FootnoteReference"/>
          <w:rFonts w:cs="Times New Roman"/>
          <w:lang w:val="en-GB"/>
        </w:rPr>
        <w:footnoteReference w:id="2"/>
      </w:r>
    </w:p>
    <w:p w14:paraId="70A01470" w14:textId="77777777" w:rsidR="00965D91" w:rsidRPr="002D79FD" w:rsidRDefault="00965D91" w:rsidP="00172A3B">
      <w:pPr>
        <w:spacing w:line="480" w:lineRule="auto"/>
        <w:jc w:val="both"/>
        <w:rPr>
          <w:rFonts w:cs="Times New Roman"/>
          <w:lang w:val="en-GB"/>
        </w:rPr>
      </w:pPr>
      <w:r w:rsidRPr="002D79FD">
        <w:rPr>
          <w:rFonts w:cs="Times New Roman"/>
          <w:lang w:val="en-GB"/>
        </w:rPr>
        <w:lastRenderedPageBreak/>
        <w:t>The study adopts a qualitative, multi-method approach combining critical:</w:t>
      </w:r>
    </w:p>
    <w:p w14:paraId="483CF7E9" w14:textId="77777777" w:rsidR="00965D91" w:rsidRPr="002D79FD" w:rsidRDefault="00965D91" w:rsidP="00172A3B">
      <w:pPr>
        <w:numPr>
          <w:ilvl w:val="0"/>
          <w:numId w:val="3"/>
        </w:numPr>
        <w:spacing w:line="480" w:lineRule="auto"/>
        <w:jc w:val="both"/>
        <w:rPr>
          <w:rFonts w:cs="Times New Roman"/>
          <w:lang w:val="en-GB"/>
        </w:rPr>
      </w:pPr>
      <w:r w:rsidRPr="002D79FD">
        <w:rPr>
          <w:rFonts w:cs="Times New Roman"/>
          <w:lang w:val="en-GB"/>
        </w:rPr>
        <w:t>Literature review of scholarly literature in media and constitutional law, economics regulation, journalism ethics, and comparative media systems—drawing particularly on the polarized pluralist model described by Hallin and Mancini (2004</w:t>
      </w:r>
      <w:proofErr w:type="gramStart"/>
      <w:r w:rsidRPr="002D79FD">
        <w:rPr>
          <w:rFonts w:cs="Times New Roman"/>
          <w:lang w:val="en-GB"/>
        </w:rPr>
        <w:t>);</w:t>
      </w:r>
      <w:proofErr w:type="gramEnd"/>
    </w:p>
    <w:p w14:paraId="65FF7CC9" w14:textId="77777777" w:rsidR="00965D91" w:rsidRPr="002D79FD" w:rsidRDefault="00965D91" w:rsidP="00172A3B">
      <w:pPr>
        <w:numPr>
          <w:ilvl w:val="0"/>
          <w:numId w:val="3"/>
        </w:numPr>
        <w:spacing w:line="480" w:lineRule="auto"/>
        <w:jc w:val="both"/>
        <w:rPr>
          <w:rFonts w:cs="Times New Roman"/>
          <w:lang w:val="en-GB"/>
        </w:rPr>
      </w:pPr>
      <w:r w:rsidRPr="002D79FD">
        <w:rPr>
          <w:rFonts w:cs="Times New Roman"/>
          <w:lang w:val="en-GB"/>
        </w:rPr>
        <w:t xml:space="preserve">Legal and normative analysis, looking at hard law but also soft law solutions, like deontological </w:t>
      </w:r>
      <w:proofErr w:type="gramStart"/>
      <w:r w:rsidRPr="002D79FD">
        <w:rPr>
          <w:rFonts w:cs="Times New Roman"/>
          <w:lang w:val="en-GB"/>
        </w:rPr>
        <w:t>codes;</w:t>
      </w:r>
      <w:proofErr w:type="gramEnd"/>
    </w:p>
    <w:p w14:paraId="55B1A921" w14:textId="46E137BA" w:rsidR="000654E4" w:rsidRPr="002D79FD" w:rsidRDefault="00965D91" w:rsidP="00172A3B">
      <w:pPr>
        <w:numPr>
          <w:ilvl w:val="0"/>
          <w:numId w:val="3"/>
        </w:numPr>
        <w:spacing w:line="480" w:lineRule="auto"/>
        <w:jc w:val="both"/>
        <w:rPr>
          <w:rFonts w:cs="Times New Roman"/>
          <w:lang w:val="en-GB"/>
        </w:rPr>
      </w:pPr>
      <w:r w:rsidRPr="002D79FD">
        <w:rPr>
          <w:rFonts w:cs="Times New Roman"/>
          <w:lang w:val="en-GB"/>
        </w:rPr>
        <w:t>Jurisprudential analysis with systematic examination of relevant case law, especially from Portuguese Higher Courts (e.g. Constitutional Court</w:t>
      </w:r>
      <w:r w:rsidR="009073BC">
        <w:rPr>
          <w:rFonts w:cs="Times New Roman"/>
          <w:lang w:val="en-GB"/>
        </w:rPr>
        <w:t xml:space="preserve"> – TC</w:t>
      </w:r>
      <w:r w:rsidR="00760C61">
        <w:rPr>
          <w:rStyle w:val="FootnoteReference"/>
          <w:rFonts w:cs="Times New Roman"/>
          <w:lang w:val="en-GB"/>
        </w:rPr>
        <w:footnoteReference w:id="3"/>
      </w:r>
      <w:r w:rsidR="009073BC">
        <w:rPr>
          <w:rFonts w:cs="Times New Roman"/>
          <w:lang w:val="en-GB"/>
        </w:rPr>
        <w:t>; S</w:t>
      </w:r>
      <w:r w:rsidR="00405F53">
        <w:rPr>
          <w:rFonts w:cs="Times New Roman"/>
          <w:lang w:val="en-GB"/>
        </w:rPr>
        <w:t>upreme Justice Court - STJ</w:t>
      </w:r>
      <w:r w:rsidR="00760C61">
        <w:rPr>
          <w:rStyle w:val="FootnoteReference"/>
          <w:rFonts w:cs="Times New Roman"/>
          <w:lang w:val="en-GB"/>
        </w:rPr>
        <w:footnoteReference w:id="4"/>
      </w:r>
      <w:r w:rsidRPr="002D79FD">
        <w:rPr>
          <w:rFonts w:cs="Times New Roman"/>
          <w:lang w:val="en-GB"/>
        </w:rPr>
        <w:t>) and the European Court for Human Rights (</w:t>
      </w:r>
      <w:r w:rsidR="00F25CD9" w:rsidRPr="003839A7">
        <w:rPr>
          <w:rFonts w:cs="Times New Roman"/>
          <w:lang w:val="en-GB"/>
        </w:rPr>
        <w:t>ECtHR</w:t>
      </w:r>
      <w:proofErr w:type="gramStart"/>
      <w:r w:rsidRPr="002D79FD">
        <w:rPr>
          <w:rFonts w:cs="Times New Roman"/>
          <w:lang w:val="en-GB"/>
        </w:rPr>
        <w:t>);</w:t>
      </w:r>
      <w:proofErr w:type="gramEnd"/>
    </w:p>
    <w:p w14:paraId="3B51EDCE" w14:textId="6D11B7D9" w:rsidR="00BF3D18" w:rsidRPr="002D79FD" w:rsidRDefault="00965D91" w:rsidP="00172A3B">
      <w:pPr>
        <w:numPr>
          <w:ilvl w:val="0"/>
          <w:numId w:val="3"/>
        </w:numPr>
        <w:spacing w:line="480" w:lineRule="auto"/>
        <w:jc w:val="both"/>
        <w:rPr>
          <w:rFonts w:cs="Times New Roman"/>
          <w:lang w:val="en-GB"/>
        </w:rPr>
      </w:pPr>
      <w:r w:rsidRPr="002D79FD">
        <w:rPr>
          <w:rFonts w:cs="Times New Roman"/>
          <w:lang w:val="en-GB"/>
        </w:rPr>
        <w:t xml:space="preserve">Institutional Mapping and Comparative References with a structural and functional analysis of regulatory and self-regulatory institutions, such as </w:t>
      </w:r>
      <w:r w:rsidR="006165F2" w:rsidRPr="002D79FD">
        <w:rPr>
          <w:rFonts w:cs="Times New Roman"/>
          <w:lang w:val="en-GB"/>
        </w:rPr>
        <w:t>the Regulation Authority for Media (</w:t>
      </w:r>
      <w:r w:rsidRPr="002D79FD">
        <w:rPr>
          <w:rFonts w:cs="Times New Roman"/>
          <w:lang w:val="en-GB"/>
        </w:rPr>
        <w:t>ERC</w:t>
      </w:r>
      <w:r w:rsidR="00DA48A1">
        <w:rPr>
          <w:rStyle w:val="FootnoteReference"/>
          <w:rFonts w:cs="Times New Roman"/>
          <w:lang w:val="en-GB"/>
        </w:rPr>
        <w:footnoteReference w:id="5"/>
      </w:r>
      <w:r w:rsidR="006165F2" w:rsidRPr="002D79FD">
        <w:rPr>
          <w:rFonts w:cs="Times New Roman"/>
          <w:lang w:val="en-GB"/>
        </w:rPr>
        <w:t>)</w:t>
      </w:r>
      <w:r w:rsidRPr="002D79FD">
        <w:rPr>
          <w:rFonts w:cs="Times New Roman"/>
          <w:lang w:val="en-GB"/>
        </w:rPr>
        <w:t xml:space="preserve">, the </w:t>
      </w:r>
      <w:r w:rsidR="00DF6F85" w:rsidRPr="00DF6F85">
        <w:rPr>
          <w:rFonts w:cs="Times New Roman"/>
          <w:lang w:val="en-GB"/>
        </w:rPr>
        <w:t xml:space="preserve">Professional Journalist Card Commission </w:t>
      </w:r>
      <w:r w:rsidRPr="002D79FD">
        <w:rPr>
          <w:rFonts w:cs="Times New Roman"/>
          <w:lang w:val="en-GB"/>
        </w:rPr>
        <w:t>(CCPJ</w:t>
      </w:r>
      <w:r w:rsidR="0089121A">
        <w:rPr>
          <w:rStyle w:val="FootnoteReference"/>
          <w:rFonts w:cs="Times New Roman"/>
          <w:lang w:val="en-GB"/>
        </w:rPr>
        <w:footnoteReference w:id="6"/>
      </w:r>
      <w:r w:rsidRPr="002D79FD">
        <w:rPr>
          <w:rFonts w:cs="Times New Roman"/>
          <w:lang w:val="en-GB"/>
        </w:rPr>
        <w:t xml:space="preserve">), and the </w:t>
      </w:r>
      <w:r w:rsidR="0089121A" w:rsidRPr="0089121A">
        <w:rPr>
          <w:rFonts w:cs="Times New Roman"/>
          <w:lang w:val="en-GB"/>
        </w:rPr>
        <w:t xml:space="preserve">Journalists' Union </w:t>
      </w:r>
      <w:r w:rsidR="006232DC" w:rsidRPr="002D79FD">
        <w:rPr>
          <w:rFonts w:cs="Times New Roman"/>
          <w:lang w:val="en-GB"/>
        </w:rPr>
        <w:t>(SJ</w:t>
      </w:r>
      <w:r w:rsidR="0089121A">
        <w:rPr>
          <w:rStyle w:val="FootnoteReference"/>
          <w:rFonts w:cs="Times New Roman"/>
          <w:lang w:val="en-GB"/>
        </w:rPr>
        <w:footnoteReference w:id="7"/>
      </w:r>
      <w:r w:rsidR="006232DC" w:rsidRPr="002D79FD">
        <w:rPr>
          <w:rFonts w:cs="Times New Roman"/>
          <w:lang w:val="en-GB"/>
        </w:rPr>
        <w:t>)</w:t>
      </w:r>
      <w:r w:rsidRPr="002D79FD">
        <w:rPr>
          <w:rFonts w:cs="Times New Roman"/>
          <w:lang w:val="en-GB"/>
        </w:rPr>
        <w:t xml:space="preserve">. </w:t>
      </w:r>
    </w:p>
    <w:p w14:paraId="5803DE45" w14:textId="77777777" w:rsidR="00BF3D18" w:rsidRPr="002D79FD" w:rsidRDefault="00BF3D18" w:rsidP="00172A3B">
      <w:pPr>
        <w:spacing w:line="480" w:lineRule="auto"/>
        <w:jc w:val="both"/>
        <w:rPr>
          <w:rFonts w:cs="Times New Roman"/>
          <w:lang w:val="en-GB"/>
        </w:rPr>
      </w:pPr>
    </w:p>
    <w:p w14:paraId="37C9D17D" w14:textId="77777777" w:rsidR="00A43FA9" w:rsidRPr="002D79FD" w:rsidRDefault="00A43FA9" w:rsidP="00172A3B">
      <w:pPr>
        <w:spacing w:line="480" w:lineRule="auto"/>
        <w:jc w:val="both"/>
        <w:rPr>
          <w:rFonts w:cs="Times New Roman"/>
          <w:b/>
          <w:bCs/>
          <w:lang w:val="en-GB"/>
        </w:rPr>
      </w:pPr>
      <w:r w:rsidRPr="002D79FD">
        <w:rPr>
          <w:rFonts w:cs="Times New Roman"/>
          <w:b/>
          <w:bCs/>
          <w:lang w:val="en-GB"/>
        </w:rPr>
        <w:t>2. Historical Evolution of Journalistic Responsibility in Portugal</w:t>
      </w:r>
    </w:p>
    <w:p w14:paraId="79EE9B4E" w14:textId="77777777" w:rsidR="00AD6300" w:rsidRPr="007A2A78" w:rsidRDefault="00A307EE" w:rsidP="00172A3B">
      <w:pPr>
        <w:spacing w:line="480" w:lineRule="auto"/>
        <w:jc w:val="both"/>
        <w:rPr>
          <w:rFonts w:cs="Times New Roman"/>
          <w:b/>
          <w:bCs/>
          <w:lang w:val="en-GB"/>
        </w:rPr>
      </w:pPr>
      <w:r w:rsidRPr="007A2A78">
        <w:rPr>
          <w:rFonts w:cs="Times New Roman"/>
          <w:b/>
          <w:bCs/>
          <w:lang w:val="en-GB"/>
        </w:rPr>
        <w:lastRenderedPageBreak/>
        <w:t>2.1. Journalism Under the Estado Novo Regime</w:t>
      </w:r>
    </w:p>
    <w:p w14:paraId="6F046BED" w14:textId="483EC511" w:rsidR="00E65524" w:rsidRDefault="00E65524" w:rsidP="00172A3B">
      <w:pPr>
        <w:spacing w:line="480" w:lineRule="auto"/>
        <w:jc w:val="both"/>
        <w:rPr>
          <w:rFonts w:cs="Times New Roman"/>
          <w:lang w:val="en-GB"/>
        </w:rPr>
      </w:pPr>
      <w:r w:rsidRPr="00E65524">
        <w:rPr>
          <w:rFonts w:cs="Times New Roman"/>
          <w:lang w:val="en-GB"/>
        </w:rPr>
        <w:t>During the Estado Novo period (1933-1974), which corresponded to Portugal's right-wing authoritarian regime, press freedom was severely restricted through the institution of prior censorship, a repressive review mechanism that controlled and limited the content of news and opinions published in newspapers and other literary media, defining what could and could not be published.</w:t>
      </w:r>
      <w:r w:rsidRPr="002D79FD">
        <w:rPr>
          <w:rStyle w:val="FootnoteReference"/>
          <w:rFonts w:cs="Times New Roman"/>
        </w:rPr>
        <w:footnoteReference w:id="8"/>
      </w:r>
      <w:r w:rsidRPr="00E65524">
        <w:rPr>
          <w:rFonts w:cs="Times New Roman"/>
          <w:lang w:val="en-GB"/>
        </w:rPr>
        <w:t xml:space="preserve"> Thus, content control was established, with newspapers being required to obtain "Approval from the Censorship Commission." Any material against the state was suppressed, and the regime controlled not only political and ideological information, but also opinions about foreign personalities, morals and good customs, and any news that could "stir up public opinion," with the clear objective of preventing information contrary to the regime's interests from reaching the public, ensuring strict oversight of information. In short, prior censorship was established as an "</w:t>
      </w:r>
      <w:r w:rsidRPr="007345E8">
        <w:rPr>
          <w:rFonts w:cs="Times New Roman"/>
          <w:i/>
          <w:iCs/>
          <w:lang w:val="en-GB"/>
        </w:rPr>
        <w:t xml:space="preserve">instrument for controlling public opinion and defending the political, social, and moral values </w:t>
      </w:r>
      <w:r w:rsidRPr="007345E8">
        <w:rPr>
          <w:rFonts w:ascii="Arial" w:hAnsi="Arial" w:cs="Arial"/>
          <w:i/>
          <w:iCs/>
          <w:lang w:val="en-GB"/>
        </w:rPr>
        <w:t>​​</w:t>
      </w:r>
      <w:r w:rsidRPr="007345E8">
        <w:rPr>
          <w:rFonts w:cs="Times New Roman"/>
          <w:i/>
          <w:iCs/>
          <w:lang w:val="en-GB"/>
        </w:rPr>
        <w:t>of power."</w:t>
      </w:r>
      <w:r w:rsidR="007345E8" w:rsidRPr="007345E8">
        <w:rPr>
          <w:rStyle w:val="FootnoteReference"/>
          <w:rFonts w:cs="Times New Roman"/>
          <w:lang w:val="en-GB"/>
        </w:rPr>
        <w:t xml:space="preserve"> </w:t>
      </w:r>
      <w:r w:rsidR="007345E8" w:rsidRPr="002D79FD">
        <w:rPr>
          <w:rStyle w:val="FootnoteReference"/>
          <w:rFonts w:cs="Times New Roman"/>
        </w:rPr>
        <w:footnoteReference w:id="9"/>
      </w:r>
      <w:r w:rsidRPr="00E65524">
        <w:rPr>
          <w:rFonts w:cs="Times New Roman"/>
          <w:lang w:val="en-GB"/>
        </w:rPr>
        <w:t xml:space="preserve"> After all, in autocratic states, </w:t>
      </w:r>
      <w:r w:rsidRPr="00E65524">
        <w:rPr>
          <w:rFonts w:ascii="Aptos" w:hAnsi="Aptos" w:cs="Aptos"/>
          <w:lang w:val="en-GB"/>
        </w:rPr>
        <w:t>“</w:t>
      </w:r>
      <w:r w:rsidRPr="007345E8">
        <w:rPr>
          <w:rFonts w:cs="Times New Roman"/>
          <w:i/>
          <w:iCs/>
          <w:lang w:val="en-GB"/>
        </w:rPr>
        <w:t>the right to information is assumed by the established power as a non-right</w:t>
      </w:r>
      <w:r w:rsidRPr="00E65524">
        <w:rPr>
          <w:rFonts w:ascii="Aptos" w:hAnsi="Aptos" w:cs="Aptos"/>
          <w:lang w:val="en-GB"/>
        </w:rPr>
        <w:t>”</w:t>
      </w:r>
      <w:r w:rsidRPr="00E65524">
        <w:rPr>
          <w:rFonts w:cs="Times New Roman"/>
          <w:lang w:val="en-GB"/>
        </w:rPr>
        <w:t>.</w:t>
      </w:r>
      <w:r w:rsidR="007345E8" w:rsidRPr="002D79FD">
        <w:rPr>
          <w:rStyle w:val="FootnoteReference"/>
          <w:rFonts w:cs="Times New Roman"/>
        </w:rPr>
        <w:footnoteReference w:id="10"/>
      </w:r>
    </w:p>
    <w:p w14:paraId="4ED2BF0C" w14:textId="2B4DA3AC" w:rsidR="00E30D95" w:rsidRPr="00E65524" w:rsidRDefault="00E30D95" w:rsidP="00172A3B">
      <w:pPr>
        <w:spacing w:line="480" w:lineRule="auto"/>
        <w:jc w:val="both"/>
        <w:rPr>
          <w:rFonts w:cs="Times New Roman"/>
          <w:lang w:val="en-GB"/>
        </w:rPr>
      </w:pPr>
      <w:r w:rsidRPr="00E30D95">
        <w:rPr>
          <w:rFonts w:cs="Times New Roman"/>
          <w:lang w:val="en-GB"/>
        </w:rPr>
        <w:t>In legislative terms, following the military coup of 1926, despite some protests, including from journalists</w:t>
      </w:r>
      <w:r w:rsidR="00827469">
        <w:rPr>
          <w:rStyle w:val="FootnoteReference"/>
          <w:rFonts w:cs="Times New Roman"/>
          <w:lang w:val="en-GB"/>
        </w:rPr>
        <w:footnoteReference w:id="11"/>
      </w:r>
      <w:r w:rsidRPr="00E30D95">
        <w:rPr>
          <w:rFonts w:cs="Times New Roman"/>
          <w:lang w:val="en-GB"/>
        </w:rPr>
        <w:t>, with Decree No. 12008</w:t>
      </w:r>
      <w:r w:rsidR="00207A04">
        <w:rPr>
          <w:rFonts w:cs="Times New Roman"/>
          <w:lang w:val="en-GB"/>
        </w:rPr>
        <w:t>,</w:t>
      </w:r>
      <w:r w:rsidR="00207A04" w:rsidRPr="00207A04">
        <w:rPr>
          <w:rFonts w:cs="Times New Roman"/>
          <w:lang w:val="en-GB"/>
        </w:rPr>
        <w:t xml:space="preserve"> </w:t>
      </w:r>
      <w:r w:rsidR="00207A04" w:rsidRPr="00E30D95">
        <w:rPr>
          <w:rFonts w:cs="Times New Roman"/>
          <w:lang w:val="en-GB"/>
        </w:rPr>
        <w:t xml:space="preserve">albeit in terms that were intended to be </w:t>
      </w:r>
      <w:r w:rsidR="00207A04" w:rsidRPr="00E30D95">
        <w:rPr>
          <w:rFonts w:cs="Times New Roman"/>
          <w:lang w:val="en-GB"/>
        </w:rPr>
        <w:lastRenderedPageBreak/>
        <w:t>provisional</w:t>
      </w:r>
      <w:r w:rsidR="00207A04" w:rsidRPr="002D79FD">
        <w:rPr>
          <w:rStyle w:val="FootnoteReference"/>
          <w:rFonts w:cs="Times New Roman"/>
        </w:rPr>
        <w:footnoteReference w:id="12"/>
      </w:r>
      <w:r w:rsidR="00207A04" w:rsidRPr="00E30D95">
        <w:rPr>
          <w:rFonts w:cs="Times New Roman"/>
          <w:lang w:val="en-GB"/>
        </w:rPr>
        <w:t>,</w:t>
      </w:r>
      <w:r w:rsidRPr="00E30D95">
        <w:rPr>
          <w:rFonts w:cs="Times New Roman"/>
          <w:lang w:val="en-GB"/>
        </w:rPr>
        <w:t xml:space="preserve"> censorship was instituted by prohibiting the sale or dissemination of “</w:t>
      </w:r>
      <w:r w:rsidRPr="00207A04">
        <w:rPr>
          <w:rFonts w:cs="Times New Roman"/>
          <w:i/>
          <w:iCs/>
          <w:lang w:val="en-GB"/>
        </w:rPr>
        <w:t xml:space="preserve">posters, advertisements, notices and in general any printed matter, manuscripts, drawings or publications that contain outrage against republican institutions or insult, defamation or threat against the President of the Republic, in the exercise of his functions or outside of them, or that advise, instigate or provoke Portuguese citizens to fail to </w:t>
      </w:r>
      <w:proofErr w:type="spellStart"/>
      <w:r w:rsidRPr="00207A04">
        <w:rPr>
          <w:rFonts w:cs="Times New Roman"/>
          <w:i/>
          <w:iCs/>
          <w:lang w:val="en-GB"/>
        </w:rPr>
        <w:t>fulfill</w:t>
      </w:r>
      <w:proofErr w:type="spellEnd"/>
      <w:r w:rsidRPr="00207A04">
        <w:rPr>
          <w:rFonts w:cs="Times New Roman"/>
          <w:i/>
          <w:iCs/>
          <w:lang w:val="en-GB"/>
        </w:rPr>
        <w:t xml:space="preserve"> their military duties, or to commit acts that undermine the integrity and independence of the Fatherland, or contain </w:t>
      </w:r>
      <w:proofErr w:type="spellStart"/>
      <w:r w:rsidRPr="00207A04">
        <w:rPr>
          <w:rFonts w:cs="Times New Roman"/>
          <w:i/>
          <w:iCs/>
          <w:lang w:val="en-GB"/>
        </w:rPr>
        <w:t>rumors</w:t>
      </w:r>
      <w:proofErr w:type="spellEnd"/>
      <w:r w:rsidRPr="00207A04">
        <w:rPr>
          <w:rFonts w:cs="Times New Roman"/>
          <w:i/>
          <w:iCs/>
          <w:lang w:val="en-GB"/>
        </w:rPr>
        <w:t xml:space="preserve"> or information capable of alarming the public spirit or causing harm to the State, or that contain statements offensive to national dignity or decorum, or any of the offenses provided for in articles 159, 160, 420 and 483 of the Penal Code and also any pornographic publications or those written in vulgar or provocative language that harm the security of the State, public order and </w:t>
      </w:r>
      <w:proofErr w:type="spellStart"/>
      <w:r w:rsidRPr="00207A04">
        <w:rPr>
          <w:rFonts w:cs="Times New Roman"/>
          <w:i/>
          <w:iCs/>
          <w:lang w:val="en-GB"/>
        </w:rPr>
        <w:t>tranquility</w:t>
      </w:r>
      <w:proofErr w:type="spellEnd"/>
      <w:r w:rsidRPr="00207A04">
        <w:rPr>
          <w:rFonts w:cs="Times New Roman"/>
          <w:i/>
          <w:iCs/>
          <w:lang w:val="en-GB"/>
        </w:rPr>
        <w:t>.</w:t>
      </w:r>
      <w:r w:rsidRPr="00E30D95">
        <w:rPr>
          <w:rFonts w:cs="Times New Roman"/>
          <w:lang w:val="en-GB"/>
        </w:rPr>
        <w:t>”</w:t>
      </w:r>
    </w:p>
    <w:p w14:paraId="1A5283F8" w14:textId="25E84841" w:rsidR="000F2D8A" w:rsidRPr="000F2D8A" w:rsidRDefault="000F2D8A" w:rsidP="00172A3B">
      <w:pPr>
        <w:spacing w:line="480" w:lineRule="auto"/>
        <w:jc w:val="both"/>
        <w:rPr>
          <w:rFonts w:cs="Times New Roman"/>
          <w:lang w:val="en-GB"/>
        </w:rPr>
      </w:pPr>
      <w:r w:rsidRPr="000F2D8A">
        <w:rPr>
          <w:rFonts w:cs="Times New Roman"/>
          <w:lang w:val="en"/>
        </w:rPr>
        <w:t>With Salazar's rise to power as President of the Council, the 1933 Constitution opened the doors, on the one hand, to the corporatization of journalists and, on the other, to the reinforcement of the paternalistic protection of public opinion</w:t>
      </w:r>
      <w:r w:rsidR="00DF3C37" w:rsidRPr="002D79FD">
        <w:rPr>
          <w:rStyle w:val="FootnoteReference"/>
          <w:rFonts w:cs="Times New Roman"/>
        </w:rPr>
        <w:footnoteReference w:id="13"/>
      </w:r>
      <w:r w:rsidRPr="000F2D8A">
        <w:rPr>
          <w:rFonts w:cs="Times New Roman"/>
          <w:lang w:val="en"/>
        </w:rPr>
        <w:t>, in the search for the consolidation of a spirit of national unity</w:t>
      </w:r>
      <w:r w:rsidR="00DF3C37" w:rsidRPr="002D79FD">
        <w:rPr>
          <w:rStyle w:val="FootnoteReference"/>
          <w:rFonts w:cs="Times New Roman"/>
        </w:rPr>
        <w:footnoteReference w:id="14"/>
      </w:r>
      <w:r w:rsidRPr="000F2D8A">
        <w:rPr>
          <w:rFonts w:cs="Times New Roman"/>
          <w:lang w:val="en"/>
        </w:rPr>
        <w:t>.</w:t>
      </w:r>
    </w:p>
    <w:p w14:paraId="703B1FEE" w14:textId="120DB09C" w:rsidR="004C1F81" w:rsidRPr="00F56C5A" w:rsidRDefault="00F56C5A" w:rsidP="00172A3B">
      <w:pPr>
        <w:spacing w:line="480" w:lineRule="auto"/>
        <w:jc w:val="both"/>
        <w:rPr>
          <w:rFonts w:cs="Times New Roman"/>
          <w:lang w:val="en-GB"/>
        </w:rPr>
      </w:pPr>
      <w:r w:rsidRPr="00F56C5A">
        <w:rPr>
          <w:rFonts w:cs="Times New Roman"/>
          <w:lang w:val="en-GB"/>
        </w:rPr>
        <w:t xml:space="preserve">Regarding the first, in line with articles 14, 15, and 18 of the 1933 Constitution, which referred to a corporate economic and social model, the National Union of Journalists was created in 1934 for the purposes of social security, professional training, and, especially, representation of the profession in the Corporate Chamber. In its Article 2, the Statutes of the Journalists' Union determined that recognition of the status of professional journalist </w:t>
      </w:r>
      <w:r w:rsidRPr="00F56C5A">
        <w:rPr>
          <w:rFonts w:cs="Times New Roman"/>
          <w:lang w:val="en-GB"/>
        </w:rPr>
        <w:lastRenderedPageBreak/>
        <w:t>was dependent on the exercise of continuous and paid journalism. The Journalist's Identity Card, also established in 1934, was accordingly awarded to those who made journalism their "</w:t>
      </w:r>
      <w:r w:rsidRPr="00F56C5A">
        <w:rPr>
          <w:rFonts w:cs="Times New Roman"/>
          <w:i/>
          <w:iCs/>
          <w:lang w:val="en-GB"/>
        </w:rPr>
        <w:t>dominant profession</w:t>
      </w:r>
      <w:r w:rsidRPr="00F56C5A">
        <w:rPr>
          <w:rFonts w:cs="Times New Roman"/>
          <w:lang w:val="en-GB"/>
        </w:rPr>
        <w:t>." This definition remained essentially unchanged during the Estado Novo period, with its professional practice being regulated in 1943</w:t>
      </w:r>
      <w:r w:rsidR="00FF53CE" w:rsidRPr="00F56C5A">
        <w:rPr>
          <w:rFonts w:cs="Times New Roman"/>
          <w:lang w:val="en-GB"/>
        </w:rPr>
        <w:t>.</w:t>
      </w:r>
      <w:r w:rsidR="00146522" w:rsidRPr="002D79FD">
        <w:rPr>
          <w:rStyle w:val="FootnoteReference"/>
          <w:rFonts w:cs="Times New Roman"/>
        </w:rPr>
        <w:footnoteReference w:id="15"/>
      </w:r>
    </w:p>
    <w:p w14:paraId="39DEE254" w14:textId="4A0FA455" w:rsidR="00F71162" w:rsidRPr="00F71162" w:rsidRDefault="00F71162" w:rsidP="00172A3B">
      <w:pPr>
        <w:spacing w:line="480" w:lineRule="auto"/>
        <w:jc w:val="both"/>
        <w:rPr>
          <w:rFonts w:cs="Times New Roman"/>
          <w:lang w:val="en-GB"/>
        </w:rPr>
      </w:pPr>
      <w:r w:rsidRPr="00F71162">
        <w:rPr>
          <w:rFonts w:cs="Times New Roman"/>
          <w:lang w:val="en-GB"/>
        </w:rPr>
        <w:t xml:space="preserve">Regarding the second, Article 20 of the 1933 Constitution </w:t>
      </w:r>
      <w:r w:rsidR="0019310C" w:rsidRPr="00F71162">
        <w:rPr>
          <w:rFonts w:cs="Times New Roman"/>
          <w:lang w:val="en-GB"/>
        </w:rPr>
        <w:t>acknowledges</w:t>
      </w:r>
      <w:r w:rsidRPr="00F71162">
        <w:rPr>
          <w:rFonts w:cs="Times New Roman"/>
          <w:lang w:val="en-GB"/>
        </w:rPr>
        <w:t xml:space="preserve"> the safeguarding of public opinion as a fundamental element of the country's politics and administration, with the State being responsible for its </w:t>
      </w:r>
      <w:proofErr w:type="spellStart"/>
      <w:r w:rsidRPr="00F71162">
        <w:rPr>
          <w:rFonts w:cs="Times New Roman"/>
          <w:lang w:val="en-GB"/>
        </w:rPr>
        <w:t>defense</w:t>
      </w:r>
      <w:proofErr w:type="spellEnd"/>
      <w:r w:rsidRPr="00F71162">
        <w:rPr>
          <w:rFonts w:cs="Times New Roman"/>
          <w:lang w:val="en-GB"/>
        </w:rPr>
        <w:t xml:space="preserve"> "</w:t>
      </w:r>
      <w:r w:rsidRPr="00ED4812">
        <w:rPr>
          <w:rFonts w:cs="Times New Roman"/>
          <w:i/>
          <w:iCs/>
          <w:lang w:val="en-GB"/>
        </w:rPr>
        <w:t>from all factors that disorient it against truth, justice, good administration and the common good</w:t>
      </w:r>
      <w:r w:rsidRPr="00F71162">
        <w:rPr>
          <w:rFonts w:cs="Times New Roman"/>
          <w:lang w:val="en-GB"/>
        </w:rPr>
        <w:t>." Although recognizing freedom of expression, in Article 8, paragraph 4, paragraph 20, paragraph 2, its regulation is determined by special law, which must "</w:t>
      </w:r>
      <w:r w:rsidR="00A24D98" w:rsidRPr="00A24D98">
        <w:rPr>
          <w:rFonts w:cs="Times New Roman"/>
          <w:i/>
          <w:iCs/>
          <w:lang w:val="en-GB"/>
        </w:rPr>
        <w:t xml:space="preserve">impede </w:t>
      </w:r>
      <w:r w:rsidRPr="00A24D98">
        <w:rPr>
          <w:rFonts w:cs="Times New Roman"/>
          <w:i/>
          <w:iCs/>
          <w:lang w:val="en-GB"/>
        </w:rPr>
        <w:t>preventatively or repressively the perversion of public opinion in its function as a social force, and safeguard the moral integrity of citizens</w:t>
      </w:r>
      <w:r w:rsidRPr="00F71162">
        <w:rPr>
          <w:rFonts w:cs="Times New Roman"/>
          <w:lang w:val="en-GB"/>
        </w:rPr>
        <w:t xml:space="preserve">." Specifically regarding the press, the 1933 Constitution, in its Article 21, while not establishing the concept of freedom of the press, ultimately defining it </w:t>
      </w:r>
      <w:r w:rsidRPr="000A1236">
        <w:rPr>
          <w:rFonts w:cs="Times New Roman"/>
          <w:i/>
          <w:iCs/>
          <w:lang w:val="en-GB"/>
        </w:rPr>
        <w:t xml:space="preserve">a </w:t>
      </w:r>
      <w:proofErr w:type="spellStart"/>
      <w:r w:rsidRPr="000A1236">
        <w:rPr>
          <w:rFonts w:cs="Times New Roman"/>
          <w:i/>
          <w:iCs/>
          <w:lang w:val="en-GB"/>
        </w:rPr>
        <w:t>contrario</w:t>
      </w:r>
      <w:proofErr w:type="spellEnd"/>
      <w:r w:rsidRPr="00F71162">
        <w:rPr>
          <w:rFonts w:cs="Times New Roman"/>
          <w:lang w:val="en-GB"/>
        </w:rPr>
        <w:t>, establishes that it "</w:t>
      </w:r>
      <w:r w:rsidRPr="000A1236">
        <w:rPr>
          <w:rFonts w:cs="Times New Roman"/>
          <w:i/>
          <w:iCs/>
          <w:lang w:val="en-GB"/>
        </w:rPr>
        <w:t>exercise[s] a function of a public nature</w:t>
      </w:r>
      <w:r w:rsidRPr="00F71162">
        <w:rPr>
          <w:rFonts w:cs="Times New Roman"/>
          <w:lang w:val="en-GB"/>
        </w:rPr>
        <w:t xml:space="preserve">," so that, in these terms, </w:t>
      </w:r>
      <w:r w:rsidR="00E85223">
        <w:rPr>
          <w:rFonts w:cs="Times New Roman"/>
          <w:lang w:val="en-GB"/>
        </w:rPr>
        <w:t xml:space="preserve">the press </w:t>
      </w:r>
      <w:r w:rsidRPr="00F71162">
        <w:rPr>
          <w:rFonts w:cs="Times New Roman"/>
          <w:lang w:val="en-GB"/>
        </w:rPr>
        <w:t>"may not refuse, in matters of national interest, the insertion of official notes of common dimensions sent to it by the Government." Along these lines, Decree No. 22,469, published on</w:t>
      </w:r>
      <w:r w:rsidR="00C2264D">
        <w:rPr>
          <w:rFonts w:cs="Times New Roman"/>
          <w:lang w:val="en-GB"/>
        </w:rPr>
        <w:t xml:space="preserve"> April 11,</w:t>
      </w:r>
      <w:r w:rsidR="00A73EA4">
        <w:rPr>
          <w:rFonts w:cs="Times New Roman"/>
          <w:lang w:val="en-GB"/>
        </w:rPr>
        <w:t xml:space="preserve"> </w:t>
      </w:r>
      <w:r w:rsidRPr="00F71162">
        <w:rPr>
          <w:rFonts w:cs="Times New Roman"/>
          <w:lang w:val="en-GB"/>
        </w:rPr>
        <w:t>1933, that is, on the same day the new constitutional text came into effect, extends prior censorship beyond periodical publications to non-periodical publications relating to "</w:t>
      </w:r>
      <w:r w:rsidRPr="00404724">
        <w:rPr>
          <w:rFonts w:cs="Times New Roman"/>
          <w:i/>
          <w:iCs/>
          <w:lang w:val="en-GB"/>
        </w:rPr>
        <w:t>matters of a political or social nature</w:t>
      </w:r>
      <w:r w:rsidRPr="00F71162">
        <w:rPr>
          <w:rFonts w:cs="Times New Roman"/>
          <w:lang w:val="en-GB"/>
        </w:rPr>
        <w:t>" to prevent the "</w:t>
      </w:r>
      <w:r w:rsidRPr="00404724">
        <w:rPr>
          <w:rFonts w:cs="Times New Roman"/>
          <w:i/>
          <w:iCs/>
          <w:lang w:val="en-GB"/>
        </w:rPr>
        <w:t>perversion of public opinion</w:t>
      </w:r>
      <w:r w:rsidRPr="00F71162">
        <w:rPr>
          <w:rFonts w:cs="Times New Roman"/>
          <w:lang w:val="en-GB"/>
        </w:rPr>
        <w:t>."</w:t>
      </w:r>
    </w:p>
    <w:p w14:paraId="005FDFEC" w14:textId="77777777" w:rsidR="00C2264D" w:rsidRPr="007A2A78" w:rsidRDefault="0041024D" w:rsidP="00172A3B">
      <w:pPr>
        <w:spacing w:line="480" w:lineRule="auto"/>
        <w:jc w:val="both"/>
        <w:rPr>
          <w:rFonts w:cs="Times New Roman"/>
          <w:lang w:val="en-GB"/>
        </w:rPr>
      </w:pPr>
      <w:r w:rsidRPr="0041024D">
        <w:rPr>
          <w:rFonts w:cs="Times New Roman"/>
          <w:lang w:val="en-GB"/>
        </w:rPr>
        <w:t xml:space="preserve">The Censorship Commissions were initially subordinate to the Ministry of the Interior, through the Lisbon Censorship Commission, which served as the central committee, but was later replaced by the General Directorate of Censorship Services. By Decree-Law No. </w:t>
      </w:r>
      <w:r w:rsidRPr="0041024D">
        <w:rPr>
          <w:rFonts w:cs="Times New Roman"/>
          <w:lang w:val="en-GB"/>
        </w:rPr>
        <w:lastRenderedPageBreak/>
        <w:t xml:space="preserve">30,320 of March 19, 1940, the Censorship Commissions came under the control of the President of the Council, who directed the work of the Coordination Office of Propaganda and Information Services, composed of the directors of the National Propaganda Secretariat and the Censorship Services, along with the President of the Administrative Committee of the National Broadcasting Company. </w:t>
      </w:r>
      <w:r w:rsidRPr="007A2A78">
        <w:rPr>
          <w:rFonts w:cs="Times New Roman"/>
          <w:lang w:val="en-GB"/>
        </w:rPr>
        <w:t xml:space="preserve">By Decree-Law No. 33,545 of February 23, 1944, the former National Propaganda Secretariat, which integrated the Censorship Services, was renamed the National Secretariat of Information and Popular </w:t>
      </w:r>
      <w:proofErr w:type="gramStart"/>
      <w:r w:rsidRPr="007A2A78">
        <w:rPr>
          <w:rFonts w:cs="Times New Roman"/>
          <w:lang w:val="en-GB"/>
        </w:rPr>
        <w:t>Culture, and</w:t>
      </w:r>
      <w:proofErr w:type="gramEnd"/>
      <w:r w:rsidRPr="007A2A78">
        <w:rPr>
          <w:rFonts w:cs="Times New Roman"/>
          <w:lang w:val="en-GB"/>
        </w:rPr>
        <w:t xml:space="preserve"> came under the authority of the President of the Council.</w:t>
      </w:r>
    </w:p>
    <w:p w14:paraId="3AC88425" w14:textId="5D22E105" w:rsidR="00A7557C" w:rsidRPr="00C80FED" w:rsidRDefault="00927A9C" w:rsidP="00172A3B">
      <w:pPr>
        <w:spacing w:line="480" w:lineRule="auto"/>
        <w:jc w:val="both"/>
        <w:rPr>
          <w:rFonts w:cs="Times New Roman"/>
          <w:lang w:val="en-GB"/>
        </w:rPr>
      </w:pPr>
      <w:r w:rsidRPr="00927A9C">
        <w:rPr>
          <w:rFonts w:cs="Times New Roman"/>
          <w:lang w:val="en-GB"/>
        </w:rPr>
        <w:t>Soon, however, as can be seen from a report prepared in 1933 by the General Directorate of Press Censorship Services, the censorship services recognized their ineffectiveness due to lack of resources, proposing that booksellers deliver lists of publications received of a “</w:t>
      </w:r>
      <w:r w:rsidRPr="00DE129E">
        <w:rPr>
          <w:rFonts w:cs="Times New Roman"/>
          <w:i/>
          <w:iCs/>
          <w:lang w:val="en-GB"/>
        </w:rPr>
        <w:t>political or social nature and those that affect public morals</w:t>
      </w:r>
      <w:r w:rsidRPr="00927A9C">
        <w:rPr>
          <w:rFonts w:cs="Times New Roman"/>
          <w:lang w:val="en-GB"/>
        </w:rPr>
        <w:t>”, which would allow the selection of the most suspect ones to be evaluated, while the rest could be circulated. The General Directorate of Censorship would then develop an index of prohibited publications that would serve, on the one hand, as a tool for oversight and, on the other,</w:t>
      </w:r>
      <w:r w:rsidR="00DE129E">
        <w:rPr>
          <w:rFonts w:cs="Times New Roman"/>
          <w:lang w:val="en-GB"/>
        </w:rPr>
        <w:t xml:space="preserve"> to</w:t>
      </w:r>
      <w:r w:rsidRPr="00927A9C">
        <w:rPr>
          <w:rFonts w:cs="Times New Roman"/>
          <w:lang w:val="en-GB"/>
        </w:rPr>
        <w:t xml:space="preserve"> define the general principles of censorship</w:t>
      </w:r>
      <w:r w:rsidR="00E41491" w:rsidRPr="002D79FD">
        <w:rPr>
          <w:rStyle w:val="FootnoteReference"/>
          <w:rFonts w:cs="Times New Roman"/>
        </w:rPr>
        <w:footnoteReference w:id="16"/>
      </w:r>
      <w:r w:rsidRPr="00927A9C">
        <w:rPr>
          <w:rFonts w:cs="Times New Roman"/>
          <w:lang w:val="en-GB"/>
        </w:rPr>
        <w:t>, while leaving enormous arbitrariness in the hands of censors, who were often mid-ranking military personnel without much education</w:t>
      </w:r>
      <w:r w:rsidR="00E41491" w:rsidRPr="002D79FD">
        <w:rPr>
          <w:rStyle w:val="FootnoteReference"/>
          <w:rFonts w:cs="Times New Roman"/>
        </w:rPr>
        <w:footnoteReference w:id="17"/>
      </w:r>
      <w:r w:rsidRPr="00927A9C">
        <w:rPr>
          <w:rFonts w:cs="Times New Roman"/>
          <w:lang w:val="en-GB"/>
        </w:rPr>
        <w:t>. Subsequently, the system was refined and expanded, notably through Decree-Law No. 33,015 of 1943</w:t>
      </w:r>
      <w:r w:rsidR="00400570" w:rsidRPr="002D79FD">
        <w:rPr>
          <w:rStyle w:val="FootnoteReference"/>
          <w:rFonts w:cs="Times New Roman"/>
        </w:rPr>
        <w:footnoteReference w:id="18"/>
      </w:r>
      <w:r w:rsidRPr="00927A9C">
        <w:rPr>
          <w:rFonts w:cs="Times New Roman"/>
          <w:lang w:val="en-GB"/>
        </w:rPr>
        <w:t xml:space="preserve">, including the presence of government representatives in publishing </w:t>
      </w:r>
      <w:r w:rsidRPr="00927A9C">
        <w:rPr>
          <w:rFonts w:cs="Times New Roman"/>
          <w:lang w:val="en-GB"/>
        </w:rPr>
        <w:lastRenderedPageBreak/>
        <w:t xml:space="preserve">houses and the accountability of those involved in the book publishing and marketing processes, who could themselves request prior review of </w:t>
      </w:r>
      <w:r w:rsidR="000302A9">
        <w:rPr>
          <w:rFonts w:cs="Times New Roman"/>
          <w:lang w:val="en-GB"/>
        </w:rPr>
        <w:t>books</w:t>
      </w:r>
      <w:r w:rsidRPr="00927A9C">
        <w:rPr>
          <w:rFonts w:cs="Times New Roman"/>
          <w:lang w:val="en-GB"/>
        </w:rPr>
        <w:t>. However, despite its reinforced institutionalization, censorship was not only not truly regulated</w:t>
      </w:r>
      <w:r w:rsidR="00943213" w:rsidRPr="002D79FD">
        <w:rPr>
          <w:rStyle w:val="FootnoteReference"/>
          <w:rFonts w:cs="Times New Roman"/>
        </w:rPr>
        <w:footnoteReference w:id="19"/>
      </w:r>
      <w:r w:rsidRPr="00927A9C">
        <w:rPr>
          <w:rFonts w:cs="Times New Roman"/>
          <w:lang w:val="en-GB"/>
        </w:rPr>
        <w:t xml:space="preserve"> but also proved ineffective and discretionary, being carried out "</w:t>
      </w:r>
      <w:r w:rsidRPr="000302A9">
        <w:rPr>
          <w:rFonts w:cs="Times New Roman"/>
          <w:i/>
          <w:iCs/>
          <w:lang w:val="en-GB"/>
        </w:rPr>
        <w:t>in an inconsistent manner, depending largely on complaints, the collaboration of publishers and booksellers, the intervention of the political police, and the complicity of entities such as the Post Office or the Fiscal Guard</w:t>
      </w:r>
      <w:r w:rsidRPr="00927A9C">
        <w:rPr>
          <w:rFonts w:cs="Times New Roman"/>
          <w:lang w:val="en-GB"/>
        </w:rPr>
        <w:t>,"</w:t>
      </w:r>
      <w:r w:rsidR="00400570" w:rsidRPr="002D79FD">
        <w:rPr>
          <w:rStyle w:val="FootnoteReference"/>
          <w:rFonts w:cs="Times New Roman"/>
        </w:rPr>
        <w:footnoteReference w:id="20"/>
      </w:r>
      <w:r w:rsidRPr="00927A9C">
        <w:rPr>
          <w:rFonts w:cs="Times New Roman"/>
          <w:lang w:val="en-GB"/>
        </w:rPr>
        <w:t xml:space="preserve"> but above all on each censor's understanding of what should be </w:t>
      </w:r>
      <w:r w:rsidR="00400570" w:rsidRPr="00927A9C">
        <w:rPr>
          <w:rFonts w:cs="Times New Roman"/>
          <w:lang w:val="en-GB"/>
        </w:rPr>
        <w:t>cut</w:t>
      </w:r>
      <w:r w:rsidR="003013F0" w:rsidRPr="002D79FD">
        <w:rPr>
          <w:rStyle w:val="FootnoteReference"/>
          <w:rFonts w:cs="Times New Roman"/>
        </w:rPr>
        <w:footnoteReference w:id="21"/>
      </w:r>
      <w:r w:rsidRPr="00927A9C">
        <w:rPr>
          <w:rFonts w:cs="Times New Roman"/>
          <w:lang w:val="en-GB"/>
        </w:rPr>
        <w:t xml:space="preserve">. Thus, content contrary to the regime's interests was sometimes permitted while news considered perfectly acceptable was banned. However, as mentioned, there were some clear lines of censorship: </w:t>
      </w:r>
      <w:r w:rsidR="00046036">
        <w:rPr>
          <w:rFonts w:cs="Times New Roman"/>
          <w:lang w:val="en-GB"/>
        </w:rPr>
        <w:t>“</w:t>
      </w:r>
      <w:r w:rsidR="00046036" w:rsidRPr="00C80FED">
        <w:rPr>
          <w:rFonts w:cs="Times New Roman"/>
          <w:i/>
          <w:iCs/>
          <w:lang w:val="en-GB"/>
        </w:rPr>
        <w:t>The main themes were: socialist ideology; opposition to the regime; contestation of the colonial policies of the Estado Novo; agrarian reform; poverty; religious freedom; women's emancipation; sexuality; and criticism of prevailing customs. There was also news that should not be published, such as suicides, abortions, emigrants, shantytowns, homosexuals, and crimes of passion. Likewise, nothing could be published about political prisoners, attacks, or demonstrations. There were also forbidden words such as proletariat, class struggle, revolution, communism, and red (a term reserved only for the republican forces during the Spanish Civil War and for Soviet communists; it should be replaced by "incarnate").</w:t>
      </w:r>
      <w:r w:rsidR="00064633">
        <w:rPr>
          <w:rFonts w:cs="Times New Roman"/>
          <w:lang w:val="en-GB"/>
        </w:rPr>
        <w:t xml:space="preserve"> </w:t>
      </w:r>
      <w:r w:rsidR="00064633" w:rsidRPr="00064633">
        <w:rPr>
          <w:rFonts w:cs="Times New Roman"/>
          <w:i/>
          <w:iCs/>
          <w:lang w:val="en-GB"/>
        </w:rPr>
        <w:t xml:space="preserve">Certain names should be removed from any mention: Marx, bishop of </w:t>
      </w:r>
      <w:r w:rsidR="000B1A2E">
        <w:rPr>
          <w:rFonts w:cs="Times New Roman"/>
          <w:i/>
          <w:iCs/>
          <w:lang w:val="en-GB"/>
        </w:rPr>
        <w:t>P</w:t>
      </w:r>
      <w:r w:rsidR="00064633" w:rsidRPr="00064633">
        <w:rPr>
          <w:rFonts w:cs="Times New Roman"/>
          <w:i/>
          <w:iCs/>
          <w:lang w:val="en-GB"/>
        </w:rPr>
        <w:t>orto,</w:t>
      </w:r>
      <w:r w:rsidR="00064633">
        <w:rPr>
          <w:rFonts w:cs="Times New Roman"/>
          <w:i/>
          <w:iCs/>
          <w:lang w:val="en-GB"/>
        </w:rPr>
        <w:t xml:space="preserve"> </w:t>
      </w:r>
      <w:r w:rsidR="00A7557C" w:rsidRPr="00064633">
        <w:rPr>
          <w:rFonts w:cs="Times New Roman"/>
          <w:i/>
          <w:iCs/>
          <w:lang w:val="en-GB"/>
        </w:rPr>
        <w:t>Álvaro Cunhal, Mário Soares, José Afonso</w:t>
      </w:r>
      <w:r w:rsidR="00A7557C" w:rsidRPr="00064633">
        <w:rPr>
          <w:rFonts w:cs="Times New Roman"/>
          <w:lang w:val="en-GB"/>
        </w:rPr>
        <w:t>.”</w:t>
      </w:r>
      <w:r w:rsidR="00CA6948" w:rsidRPr="002D79FD">
        <w:rPr>
          <w:rStyle w:val="FootnoteReference"/>
          <w:rFonts w:cs="Times New Roman"/>
        </w:rPr>
        <w:footnoteReference w:id="22"/>
      </w:r>
      <w:r w:rsidR="002B1DCF" w:rsidRPr="00064633">
        <w:rPr>
          <w:rFonts w:cs="Times New Roman"/>
          <w:lang w:val="en-GB"/>
        </w:rPr>
        <w:t xml:space="preserve"> </w:t>
      </w:r>
      <w:r w:rsidR="00C80FED" w:rsidRPr="00C80FED">
        <w:rPr>
          <w:rFonts w:cs="Times New Roman"/>
          <w:lang w:val="en-GB"/>
        </w:rPr>
        <w:t xml:space="preserve">It follows that control was not limited to manifestly political aspects, but also to moral dimensions and social </w:t>
      </w:r>
      <w:r w:rsidR="00C80FED" w:rsidRPr="00C80FED">
        <w:rPr>
          <w:rFonts w:cs="Times New Roman"/>
          <w:lang w:val="en-GB"/>
        </w:rPr>
        <w:lastRenderedPageBreak/>
        <w:t>“abnormality”, resulting in an overlapping of the concepts of “public order” and “social order” that are confused, both linked to the concern with guaranteeing the political stability of the Regime.</w:t>
      </w:r>
      <w:r w:rsidR="00B20A07" w:rsidRPr="002D79FD">
        <w:rPr>
          <w:rStyle w:val="FootnoteReference"/>
          <w:rFonts w:cs="Times New Roman"/>
        </w:rPr>
        <w:footnoteReference w:id="23"/>
      </w:r>
      <w:r w:rsidR="002B1DCF" w:rsidRPr="00C80FED">
        <w:rPr>
          <w:rFonts w:cs="Times New Roman"/>
          <w:lang w:val="en-GB"/>
        </w:rPr>
        <w:t>.</w:t>
      </w:r>
    </w:p>
    <w:p w14:paraId="03DD9574" w14:textId="5C2A66E1" w:rsidR="00A32790" w:rsidRDefault="0070149D" w:rsidP="00172A3B">
      <w:pPr>
        <w:spacing w:line="480" w:lineRule="auto"/>
        <w:jc w:val="both"/>
        <w:rPr>
          <w:rFonts w:cs="Times New Roman"/>
          <w:lang w:val="en-GB"/>
        </w:rPr>
      </w:pPr>
      <w:r>
        <w:rPr>
          <w:rFonts w:cs="Times New Roman"/>
          <w:lang w:val="en-GB"/>
        </w:rPr>
        <w:t>W</w:t>
      </w:r>
      <w:r w:rsidRPr="0070149D">
        <w:rPr>
          <w:rFonts w:cs="Times New Roman"/>
          <w:lang w:val="en-GB"/>
        </w:rPr>
        <w:t xml:space="preserve">hile censorship </w:t>
      </w:r>
      <w:r>
        <w:rPr>
          <w:rFonts w:cs="Times New Roman"/>
          <w:lang w:val="en-GB"/>
        </w:rPr>
        <w:t xml:space="preserve">was </w:t>
      </w:r>
      <w:r w:rsidRPr="0070149D">
        <w:rPr>
          <w:rFonts w:cs="Times New Roman"/>
          <w:lang w:val="en-GB"/>
        </w:rPr>
        <w:t xml:space="preserve">applied across the board to any type of publication, including books, posters, films, and shows, its primary target was the periodical press. In this case, its news was often subject to total or partial cuts for being deemed politically and socially inconvenient, immoral, subversive, or speculative, using the famous "blue pencil" for this purpose. </w:t>
      </w:r>
      <w:r w:rsidRPr="00BA6D31">
        <w:rPr>
          <w:rFonts w:cs="Times New Roman"/>
          <w:lang w:val="en-GB"/>
        </w:rPr>
        <w:t xml:space="preserve">Although not fully regulated in procedural terms, some routines between censors and newspapers were gradually established: </w:t>
      </w:r>
      <w:r w:rsidR="0073493C" w:rsidRPr="00BA6D31">
        <w:rPr>
          <w:rFonts w:cs="Times New Roman"/>
          <w:lang w:val="en-GB"/>
        </w:rPr>
        <w:t>“</w:t>
      </w:r>
      <w:r w:rsidR="00BA6D31" w:rsidRPr="00BA6D31">
        <w:rPr>
          <w:rFonts w:cs="Times New Roman"/>
          <w:i/>
          <w:iCs/>
          <w:lang w:val="en-GB"/>
        </w:rPr>
        <w:t xml:space="preserve">newspapers sent three </w:t>
      </w:r>
      <w:r w:rsidR="00BA6D31">
        <w:rPr>
          <w:rFonts w:cs="Times New Roman"/>
          <w:i/>
          <w:iCs/>
          <w:lang w:val="en-GB"/>
        </w:rPr>
        <w:t>proofs</w:t>
      </w:r>
      <w:r w:rsidR="00BA6D31" w:rsidRPr="00BA6D31">
        <w:rPr>
          <w:rFonts w:cs="Times New Roman"/>
          <w:i/>
          <w:iCs/>
          <w:lang w:val="en-GB"/>
        </w:rPr>
        <w:t xml:space="preserve"> to the Censorship Committee in their area, which returned one of them with the stamps “approved”, “authorized”, “authorized with cuts” (marked in blue pencil, with the newspaper being responsible for deciding whether to publish partially cut news), “suspended” (content awaiting a higher decision), “withdrawn” or “cut” (absolute prohibition of reference to the subject in question)</w:t>
      </w:r>
      <w:r w:rsidR="0073493C" w:rsidRPr="00BA6D31">
        <w:rPr>
          <w:rFonts w:cs="Times New Roman"/>
          <w:lang w:val="en-GB"/>
        </w:rPr>
        <w:t>.”</w:t>
      </w:r>
      <w:r w:rsidR="0073493C" w:rsidRPr="002D79FD">
        <w:rPr>
          <w:rStyle w:val="FootnoteReference"/>
          <w:rFonts w:cs="Times New Roman"/>
        </w:rPr>
        <w:footnoteReference w:id="24"/>
      </w:r>
      <w:r w:rsidR="007769E2" w:rsidRPr="00BA6D31">
        <w:rPr>
          <w:rFonts w:cs="Times New Roman"/>
          <w:lang w:val="en-GB"/>
        </w:rPr>
        <w:t xml:space="preserve"> </w:t>
      </w:r>
      <w:r w:rsidR="00131E5F" w:rsidRPr="00131E5F">
        <w:rPr>
          <w:rFonts w:cs="Times New Roman"/>
          <w:lang w:val="en-GB"/>
        </w:rPr>
        <w:t>With the emergence of telex, the procedure was adapted with censorship receiving news directly from agencies, communicating their assessment and what could or could not be published, which was then passed on to the agencies' clients.</w:t>
      </w:r>
      <w:r w:rsidR="009A1EFE" w:rsidRPr="002D79FD">
        <w:rPr>
          <w:rStyle w:val="FootnoteReference"/>
          <w:rFonts w:cs="Times New Roman"/>
        </w:rPr>
        <w:footnoteReference w:id="25"/>
      </w:r>
      <w:r w:rsidR="00F2339D" w:rsidRPr="00131E5F">
        <w:rPr>
          <w:rFonts w:cs="Times New Roman"/>
          <w:lang w:val="en-GB"/>
        </w:rPr>
        <w:t xml:space="preserve"> </w:t>
      </w:r>
      <w:r w:rsidR="005C6CF3" w:rsidRPr="005C6CF3">
        <w:rPr>
          <w:rFonts w:cs="Times New Roman"/>
          <w:lang w:val="en-GB"/>
        </w:rPr>
        <w:t>Now, since it was not allowed to leave blank spaces in the cut news, newspapers were forced to change their pagination at the last minute, at considerable expense.</w:t>
      </w:r>
    </w:p>
    <w:p w14:paraId="144C6DC4" w14:textId="1173C265" w:rsidR="00E20C07" w:rsidRDefault="00E20C07" w:rsidP="00172A3B">
      <w:pPr>
        <w:spacing w:line="480" w:lineRule="auto"/>
        <w:jc w:val="both"/>
        <w:rPr>
          <w:rFonts w:cs="Times New Roman"/>
          <w:lang w:val="en-GB"/>
        </w:rPr>
      </w:pPr>
      <w:r w:rsidRPr="00E20C07">
        <w:rPr>
          <w:rFonts w:cs="Times New Roman"/>
          <w:lang w:val="en-GB"/>
        </w:rPr>
        <w:t xml:space="preserve">In the case of the press, in fact, following the Constitution itself, censorship was not restricted to cuts or suggestions for new wording, with the censor being able to prohibit, suspend, or seize publications deemed contrary to the regime, authorize the publication of </w:t>
      </w:r>
      <w:r w:rsidRPr="00E20C07">
        <w:rPr>
          <w:rFonts w:cs="Times New Roman"/>
          <w:lang w:val="en-GB"/>
        </w:rPr>
        <w:lastRenderedPageBreak/>
        <w:t>new titles, and interfere in the constitution and management of journalistic companies, namely by having the right to appoint their directors, who were evaluated and approved by the censorship services according to  their suitability, that is, their respect for the principles of the Estado Novo, according to information received by the political police (PIDE). Added to this were interferences and limitations on access to sources of information, professional secrecy, or the right of reply</w:t>
      </w:r>
      <w:r w:rsidRPr="002D79FD">
        <w:rPr>
          <w:rStyle w:val="FootnoteReference"/>
          <w:rFonts w:cs="Times New Roman"/>
        </w:rPr>
        <w:footnoteReference w:id="26"/>
      </w:r>
      <w:r w:rsidRPr="00E20C07">
        <w:rPr>
          <w:rFonts w:cs="Times New Roman"/>
          <w:lang w:val="en-GB"/>
        </w:rPr>
        <w:t xml:space="preserve">, including </w:t>
      </w:r>
      <w:proofErr w:type="gramStart"/>
      <w:r w:rsidRPr="00E20C07">
        <w:rPr>
          <w:rFonts w:cs="Times New Roman"/>
          <w:lang w:val="en-GB"/>
        </w:rPr>
        <w:t>with regard to</w:t>
      </w:r>
      <w:proofErr w:type="gramEnd"/>
      <w:r w:rsidRPr="00E20C07">
        <w:rPr>
          <w:rFonts w:cs="Times New Roman"/>
          <w:lang w:val="en-GB"/>
        </w:rPr>
        <w:t xml:space="preserve"> foreign correspondents</w:t>
      </w:r>
      <w:r w:rsidR="0005488D" w:rsidRPr="002D79FD">
        <w:rPr>
          <w:rStyle w:val="FootnoteReference"/>
          <w:rFonts w:cs="Times New Roman"/>
        </w:rPr>
        <w:footnoteReference w:id="27"/>
      </w:r>
      <w:r w:rsidRPr="00E20C07">
        <w:rPr>
          <w:rFonts w:cs="Times New Roman"/>
          <w:lang w:val="en-GB"/>
        </w:rPr>
        <w:t xml:space="preserve">. In addition, heavy fines were imposed, and journalists and editors, who operated under significant legal risks, could be tried in the courts of Lisbon and Porto, often on criminal charges of defamation or offenses against national symbols, and could be detained, imprisoned, and even tortured, as happened in the case of the publication by </w:t>
      </w:r>
      <w:proofErr w:type="spellStart"/>
      <w:r w:rsidRPr="00E20C07">
        <w:rPr>
          <w:rFonts w:cs="Times New Roman"/>
          <w:lang w:val="en-GB"/>
        </w:rPr>
        <w:t>Diário</w:t>
      </w:r>
      <w:proofErr w:type="spellEnd"/>
      <w:r w:rsidRPr="00E20C07">
        <w:rPr>
          <w:rFonts w:cs="Times New Roman"/>
          <w:lang w:val="en-GB"/>
        </w:rPr>
        <w:t xml:space="preserve"> Ilustrado of the full pamphlet, without the regime's official notes, by the opponents responsible for the assault on the Santa Maria packet boat and the hijacking of the TAP plane</w:t>
      </w:r>
      <w:r w:rsidR="0005488D" w:rsidRPr="002D79FD">
        <w:rPr>
          <w:rStyle w:val="FootnoteReference"/>
          <w:rFonts w:cs="Times New Roman"/>
        </w:rPr>
        <w:footnoteReference w:id="28"/>
      </w:r>
      <w:r w:rsidRPr="00E20C07">
        <w:rPr>
          <w:rFonts w:cs="Times New Roman"/>
          <w:lang w:val="en-GB"/>
        </w:rPr>
        <w:t>. This undertaking ended up pushing journalists and editors towards a policy of prior self-censorship.</w:t>
      </w:r>
      <w:r w:rsidR="0005488D" w:rsidRPr="002D79FD">
        <w:rPr>
          <w:rStyle w:val="FootnoteReference"/>
          <w:rFonts w:cs="Times New Roman"/>
        </w:rPr>
        <w:footnoteReference w:id="29"/>
      </w:r>
      <w:r w:rsidRPr="00E20C07">
        <w:rPr>
          <w:rFonts w:cs="Times New Roman"/>
          <w:lang w:val="en-GB"/>
        </w:rPr>
        <w:t xml:space="preserve"> In addition, throughout the Estado Novo, another type of conditioning was common, namely the summoning of media owners to meetings, where they received guidelines convenient to the regime, which were respected, thus avoiding costs in the distribution of newspapers</w:t>
      </w:r>
      <w:r w:rsidR="00646980" w:rsidRPr="002D79FD">
        <w:rPr>
          <w:rStyle w:val="FootnoteReference"/>
          <w:rFonts w:cs="Times New Roman"/>
        </w:rPr>
        <w:footnoteReference w:id="30"/>
      </w:r>
      <w:r w:rsidRPr="00E20C07">
        <w:rPr>
          <w:rFonts w:cs="Times New Roman"/>
          <w:lang w:val="en-GB"/>
        </w:rPr>
        <w:t xml:space="preserve"> or their suspension, as happened to the newspaper República in 1961 for refusing to condemn the attack on the Santa Maria liner by a group of opponents of the regime</w:t>
      </w:r>
      <w:r w:rsidR="00646980" w:rsidRPr="002D79FD">
        <w:rPr>
          <w:rStyle w:val="FootnoteReference"/>
          <w:rFonts w:cs="Times New Roman"/>
        </w:rPr>
        <w:footnoteReference w:id="31"/>
      </w:r>
      <w:r w:rsidRPr="00E20C07">
        <w:rPr>
          <w:rFonts w:cs="Times New Roman"/>
          <w:lang w:val="en-GB"/>
        </w:rPr>
        <w:t xml:space="preserve">. In addition, on certain occasions, journalists were not allowed to travel abroad to cover certain events, </w:t>
      </w:r>
      <w:r w:rsidRPr="00E20C07">
        <w:rPr>
          <w:rFonts w:cs="Times New Roman"/>
          <w:lang w:val="en-GB"/>
        </w:rPr>
        <w:lastRenderedPageBreak/>
        <w:t>such as the Spanish Civil War</w:t>
      </w:r>
      <w:r w:rsidR="00646980" w:rsidRPr="002D79FD">
        <w:rPr>
          <w:rStyle w:val="FootnoteReference"/>
          <w:rFonts w:cs="Times New Roman"/>
        </w:rPr>
        <w:footnoteReference w:id="32"/>
      </w:r>
      <w:r w:rsidRPr="00E20C07">
        <w:rPr>
          <w:rFonts w:cs="Times New Roman"/>
          <w:lang w:val="en-GB"/>
        </w:rPr>
        <w:t xml:space="preserve">. Furthermore, the regime only bought advertising in newspapers that supported it, worsening the financial conditions of those that were </w:t>
      </w:r>
      <w:proofErr w:type="gramStart"/>
      <w:r w:rsidRPr="00E20C07">
        <w:rPr>
          <w:rFonts w:cs="Times New Roman"/>
          <w:lang w:val="en-GB"/>
        </w:rPr>
        <w:t>more or less opposed</w:t>
      </w:r>
      <w:proofErr w:type="gramEnd"/>
      <w:r w:rsidRPr="00E20C07">
        <w:rPr>
          <w:rFonts w:cs="Times New Roman"/>
          <w:lang w:val="en-GB"/>
        </w:rPr>
        <w:t xml:space="preserve"> to it, with some having to </w:t>
      </w:r>
      <w:proofErr w:type="gramStart"/>
      <w:r w:rsidRPr="00E20C07">
        <w:rPr>
          <w:rFonts w:cs="Times New Roman"/>
          <w:lang w:val="en-GB"/>
        </w:rPr>
        <w:t>close down</w:t>
      </w:r>
      <w:proofErr w:type="gramEnd"/>
      <w:r w:rsidR="00646980" w:rsidRPr="002D79FD">
        <w:rPr>
          <w:rStyle w:val="FootnoteReference"/>
          <w:rFonts w:cs="Times New Roman"/>
        </w:rPr>
        <w:footnoteReference w:id="33"/>
      </w:r>
      <w:r w:rsidRPr="00E20C07">
        <w:rPr>
          <w:rFonts w:cs="Times New Roman"/>
          <w:lang w:val="en-GB"/>
        </w:rPr>
        <w:t>.</w:t>
      </w:r>
    </w:p>
    <w:p w14:paraId="38569AE1" w14:textId="5ED5DE69" w:rsidR="00FA60F9" w:rsidRPr="0092488A" w:rsidRDefault="007D2E63" w:rsidP="00172A3B">
      <w:pPr>
        <w:spacing w:line="480" w:lineRule="auto"/>
        <w:jc w:val="both"/>
        <w:rPr>
          <w:rFonts w:cs="Times New Roman"/>
          <w:lang w:val="en-GB"/>
        </w:rPr>
      </w:pPr>
      <w:r w:rsidRPr="007D2E63">
        <w:rPr>
          <w:rFonts w:cs="Times New Roman"/>
          <w:lang w:val="en-GB"/>
        </w:rPr>
        <w:t>With Salazar's departure from the political scene and Marcello Caetano's rise to power, who was closer to journalists and the media, space opened up for some debate, particularly around the Press Law in 1971</w:t>
      </w:r>
      <w:r w:rsidR="00405640" w:rsidRPr="002D79FD">
        <w:rPr>
          <w:rStyle w:val="FootnoteReference"/>
          <w:rFonts w:cs="Times New Roman"/>
        </w:rPr>
        <w:footnoteReference w:id="34"/>
      </w:r>
      <w:r w:rsidRPr="007D2E63">
        <w:rPr>
          <w:rFonts w:cs="Times New Roman"/>
          <w:lang w:val="en-GB"/>
        </w:rPr>
        <w:t xml:space="preserve"> in the National Assembly, with parliamentary and social appeals (particularly from the intellectual elite) to guarantee effective freedom of expression and thought and ideological pluralism. Despite the discussion that began around censorship, partly due to the transformative process of the journalism profession with the emergence of a younger, better-educated generation, the repressive climate remained, especially against ideas opposed to the regime, as evidenced by the 1972 Order of the Minister of the Interior regarding the strengthening of control over publications considered subversive</w:t>
      </w:r>
      <w:r w:rsidR="008371A8">
        <w:rPr>
          <w:rFonts w:cs="Times New Roman"/>
          <w:lang w:val="en-GB"/>
        </w:rPr>
        <w:t>. Also,</w:t>
      </w:r>
      <w:r w:rsidRPr="007D2E63">
        <w:rPr>
          <w:rFonts w:cs="Times New Roman"/>
          <w:lang w:val="en-GB"/>
        </w:rPr>
        <w:t xml:space="preserve"> Decree-Law No. 150/72 of May 5</w:t>
      </w:r>
      <w:r w:rsidR="00405640">
        <w:rPr>
          <w:rFonts w:cs="Times New Roman"/>
          <w:lang w:val="en-GB"/>
        </w:rPr>
        <w:t xml:space="preserve"> </w:t>
      </w:r>
      <w:r w:rsidRPr="007D2E63">
        <w:rPr>
          <w:rFonts w:cs="Times New Roman"/>
          <w:lang w:val="en-GB"/>
        </w:rPr>
        <w:t>regulates the Press Law with rules on the establishment of companies, press professionals, guarantees of press freedom, and the definition of its limits, with the provision of a prior examination regime in its Chapter XIV and the conceptualization and criminalization of press abuses in Chapter XV, which extend from journalists and authors of texts, to newspaper editors or their substitutes, to their owners, but also, in certain situations, to editors-in-chief and press publishers, as well as to news agency directors or their substitutes, and typographers and printers. Marcello Caetano ultimately argues that censorship is necessary in the face of national and international interests that he considers to be endangering the country</w:t>
      </w:r>
      <w:r w:rsidR="007835F3" w:rsidRPr="0092488A">
        <w:rPr>
          <w:rFonts w:cs="Times New Roman"/>
          <w:lang w:val="en-GB"/>
        </w:rPr>
        <w:t>.</w:t>
      </w:r>
      <w:r w:rsidR="007835F3" w:rsidRPr="002D79FD">
        <w:rPr>
          <w:rStyle w:val="FootnoteReference"/>
          <w:rFonts w:cs="Times New Roman"/>
        </w:rPr>
        <w:footnoteReference w:id="35"/>
      </w:r>
    </w:p>
    <w:p w14:paraId="7E9F2DD0" w14:textId="77777777" w:rsidR="003A6BAF" w:rsidRDefault="003A6BAF" w:rsidP="00172A3B">
      <w:pPr>
        <w:spacing w:line="480" w:lineRule="auto"/>
        <w:jc w:val="both"/>
        <w:rPr>
          <w:rFonts w:cs="Times New Roman"/>
          <w:lang w:val="en-GB"/>
        </w:rPr>
      </w:pPr>
      <w:r w:rsidRPr="003A6BAF">
        <w:rPr>
          <w:rFonts w:cs="Times New Roman"/>
          <w:lang w:val="en-GB"/>
        </w:rPr>
        <w:lastRenderedPageBreak/>
        <w:t xml:space="preserve">Despite the abolition of the Censorship Services Directorate, it has been replaced by registration services and specialized commissions appointed by the Government, pursuant to Articles 128(1) and 103 of that law. </w:t>
      </w:r>
    </w:p>
    <w:p w14:paraId="1A1863BE" w14:textId="492532D6" w:rsidR="00006C98" w:rsidRDefault="00006C98" w:rsidP="00172A3B">
      <w:pPr>
        <w:spacing w:line="480" w:lineRule="auto"/>
        <w:jc w:val="both"/>
        <w:rPr>
          <w:rFonts w:cs="Times New Roman"/>
          <w:lang w:val="en-GB"/>
        </w:rPr>
      </w:pPr>
      <w:r w:rsidRPr="00006C98">
        <w:rPr>
          <w:rFonts w:cs="Times New Roman"/>
          <w:lang w:val="en-GB"/>
        </w:rPr>
        <w:t xml:space="preserve">The </w:t>
      </w:r>
      <w:proofErr w:type="spellStart"/>
      <w:r w:rsidRPr="00006C98">
        <w:rPr>
          <w:rFonts w:cs="Times New Roman"/>
          <w:lang w:val="en-GB"/>
        </w:rPr>
        <w:t>Marcelist</w:t>
      </w:r>
      <w:proofErr w:type="spellEnd"/>
      <w:r w:rsidRPr="00006C98">
        <w:rPr>
          <w:rFonts w:cs="Times New Roman"/>
          <w:lang w:val="en-GB"/>
        </w:rPr>
        <w:t xml:space="preserve"> period, however, saw changes in the press sector, whether due to generational change</w:t>
      </w:r>
      <w:r w:rsidRPr="002D79FD">
        <w:rPr>
          <w:rStyle w:val="FootnoteReference"/>
          <w:rFonts w:cs="Times New Roman"/>
        </w:rPr>
        <w:footnoteReference w:id="36"/>
      </w:r>
      <w:r w:rsidRPr="00006C98">
        <w:rPr>
          <w:rFonts w:cs="Times New Roman"/>
          <w:lang w:val="en-GB"/>
        </w:rPr>
        <w:t>, events such as the crises and academic strikes of the 1960s, the 1958 presidential elections with independent candidate Humberto Delgado, or the colonial war</w:t>
      </w:r>
      <w:r w:rsidRPr="002D79FD">
        <w:rPr>
          <w:rStyle w:val="FootnoteReference"/>
          <w:rFonts w:cs="Times New Roman"/>
        </w:rPr>
        <w:footnoteReference w:id="37"/>
      </w:r>
      <w:r w:rsidRPr="00006C98">
        <w:rPr>
          <w:rFonts w:cs="Times New Roman"/>
          <w:lang w:val="en-GB"/>
        </w:rPr>
        <w:t xml:space="preserve">.  This allowed for some openings, such as the creation of the weekly newspaper Expresso in 1973 or, in the same year, the first edition, by Seara Nova,  of Arons de Carvalho's work entitled </w:t>
      </w:r>
      <w:r w:rsidRPr="00006C98">
        <w:rPr>
          <w:rFonts w:cs="Times New Roman"/>
          <w:i/>
          <w:iCs/>
          <w:lang w:val="en-GB"/>
        </w:rPr>
        <w:t xml:space="preserve">A  </w:t>
      </w:r>
      <w:proofErr w:type="spellStart"/>
      <w:r w:rsidRPr="00006C98">
        <w:rPr>
          <w:rFonts w:cs="Times New Roman"/>
          <w:i/>
          <w:iCs/>
          <w:lang w:val="en-GB"/>
        </w:rPr>
        <w:t>Censura</w:t>
      </w:r>
      <w:proofErr w:type="spellEnd"/>
      <w:r w:rsidRPr="00006C98">
        <w:rPr>
          <w:rFonts w:cs="Times New Roman"/>
          <w:i/>
          <w:iCs/>
          <w:lang w:val="en-GB"/>
        </w:rPr>
        <w:t xml:space="preserve">  e  as  Leis  de  </w:t>
      </w:r>
      <w:proofErr w:type="spellStart"/>
      <w:r w:rsidRPr="00006C98">
        <w:rPr>
          <w:rFonts w:cs="Times New Roman"/>
          <w:i/>
          <w:iCs/>
          <w:lang w:val="en-GB"/>
        </w:rPr>
        <w:t>Imprensa</w:t>
      </w:r>
      <w:proofErr w:type="spellEnd"/>
      <w:r w:rsidRPr="00006C98">
        <w:rPr>
          <w:rFonts w:cs="Times New Roman"/>
          <w:lang w:val="en-GB"/>
        </w:rPr>
        <w:t xml:space="preserve"> (Censorship and Press Laws)</w:t>
      </w:r>
      <w:r w:rsidRPr="00006C98">
        <w:rPr>
          <w:rStyle w:val="FootnoteReference"/>
          <w:rFonts w:cs="Times New Roman"/>
        </w:rPr>
        <w:footnoteReference w:id="38"/>
      </w:r>
      <w:r w:rsidRPr="00006C98">
        <w:rPr>
          <w:rFonts w:cs="Times New Roman"/>
          <w:lang w:val="en-GB"/>
        </w:rPr>
        <w:t xml:space="preserve">, or  the election of a left-wing leadership in the </w:t>
      </w:r>
      <w:r w:rsidR="007167A7">
        <w:rPr>
          <w:rFonts w:cs="Times New Roman"/>
          <w:lang w:val="en-GB"/>
        </w:rPr>
        <w:t>SJ</w:t>
      </w:r>
      <w:r w:rsidRPr="002D79FD">
        <w:rPr>
          <w:rStyle w:val="FootnoteReference"/>
          <w:rFonts w:cs="Times New Roman"/>
        </w:rPr>
        <w:footnoteReference w:id="39"/>
      </w:r>
      <w:r w:rsidRPr="00006C98">
        <w:rPr>
          <w:rFonts w:cs="Times New Roman"/>
          <w:lang w:val="en-GB"/>
        </w:rPr>
        <w:t xml:space="preserve"> or attempts by large economic groups to position themselves in the communications sector</w:t>
      </w:r>
      <w:r w:rsidRPr="002D79FD">
        <w:rPr>
          <w:rStyle w:val="FootnoteReference"/>
          <w:rFonts w:cs="Times New Roman"/>
        </w:rPr>
        <w:footnoteReference w:id="40"/>
      </w:r>
      <w:r w:rsidRPr="00006C98">
        <w:rPr>
          <w:rFonts w:cs="Times New Roman"/>
          <w:lang w:val="en-GB"/>
        </w:rPr>
        <w:t>.</w:t>
      </w:r>
    </w:p>
    <w:p w14:paraId="0CDBD164" w14:textId="6231E78F" w:rsidR="00AD6300" w:rsidRPr="001B1981" w:rsidRDefault="001B1981" w:rsidP="00172A3B">
      <w:pPr>
        <w:spacing w:line="480" w:lineRule="auto"/>
        <w:jc w:val="both"/>
        <w:rPr>
          <w:rFonts w:cs="Times New Roman"/>
          <w:lang w:val="en-GB"/>
        </w:rPr>
      </w:pPr>
      <w:r w:rsidRPr="001B1981">
        <w:rPr>
          <w:rFonts w:cs="Times New Roman"/>
          <w:lang w:val="en-GB"/>
        </w:rPr>
        <w:t>However, it was not until the democratic revolution of 1974 that censorship was abolished. Although not entirely effective, censorship operated in a multi-layered system that was persuasive, manipulative, controlling, and repressive</w:t>
      </w:r>
      <w:r w:rsidRPr="002D79FD">
        <w:rPr>
          <w:rStyle w:val="FootnoteReference"/>
          <w:rFonts w:cs="Times New Roman"/>
        </w:rPr>
        <w:footnoteReference w:id="41"/>
      </w:r>
      <w:r w:rsidRPr="001B1981">
        <w:rPr>
          <w:rFonts w:cs="Times New Roman"/>
          <w:lang w:val="en-GB"/>
        </w:rPr>
        <w:t>, seeking to restrict analysis and criticism and promote the values of the regime, making journalism an innocuous instrument for the purposes of the State, promoting the permanence of the Estado Novo and ensuring synergy between information and propaganda in the era of Salazar</w:t>
      </w:r>
      <w:r w:rsidRPr="002D79FD">
        <w:rPr>
          <w:rStyle w:val="FootnoteReference"/>
          <w:rFonts w:cs="Times New Roman"/>
        </w:rPr>
        <w:footnoteReference w:id="42"/>
      </w:r>
      <w:r w:rsidRPr="001B1981">
        <w:rPr>
          <w:rFonts w:cs="Times New Roman"/>
          <w:lang w:val="en-GB"/>
        </w:rPr>
        <w:t xml:space="preserve"> and the </w:t>
      </w:r>
      <w:r w:rsidRPr="001B1981">
        <w:rPr>
          <w:rFonts w:cs="Times New Roman"/>
          <w:lang w:val="en-GB"/>
        </w:rPr>
        <w:lastRenderedPageBreak/>
        <w:t>affirmation and consolidation of the regime under Marcello Caetano</w:t>
      </w:r>
      <w:r w:rsidRPr="002D79FD">
        <w:rPr>
          <w:rStyle w:val="FootnoteReference"/>
          <w:rFonts w:cs="Times New Roman"/>
        </w:rPr>
        <w:footnoteReference w:id="43"/>
      </w:r>
      <w:r w:rsidRPr="001B1981">
        <w:rPr>
          <w:rFonts w:cs="Times New Roman"/>
          <w:lang w:val="en-GB"/>
        </w:rPr>
        <w:t>. In short, journalists were mere writers with a monotonous tone.</w:t>
      </w:r>
      <w:r w:rsidRPr="002D79FD">
        <w:rPr>
          <w:rStyle w:val="FootnoteReference"/>
          <w:rFonts w:cs="Times New Roman"/>
        </w:rPr>
        <w:footnoteReference w:id="44"/>
      </w:r>
      <w:r w:rsidRPr="001B1981">
        <w:rPr>
          <w:rFonts w:cs="Times New Roman"/>
          <w:lang w:val="en-GB"/>
        </w:rPr>
        <w:t xml:space="preserve"> Thus, despite the current narrative that journalists were continuously elements of resistance, it is easy to see that, in that cultural and socio-political context, while some did indeed seek to circumvent censorship, namely through stylistic resources, and combat the restriction of freedom of expression and of the press, others (or even the same ones at times) collaborated, even for pragmatic reasons, and took advantage of the regime in a clientelist system</w:t>
      </w:r>
      <w:r w:rsidR="001B5CB7" w:rsidRPr="002D79FD">
        <w:rPr>
          <w:rStyle w:val="FootnoteReference"/>
          <w:rFonts w:cs="Times New Roman"/>
        </w:rPr>
        <w:footnoteReference w:id="45"/>
      </w:r>
      <w:r w:rsidR="001B5CB7" w:rsidRPr="001B1981">
        <w:rPr>
          <w:rFonts w:cs="Times New Roman"/>
          <w:lang w:val="en-GB"/>
        </w:rPr>
        <w:t>.</w:t>
      </w:r>
    </w:p>
    <w:p w14:paraId="2E9A4511" w14:textId="4D90A607" w:rsidR="00BF23CC" w:rsidRPr="005D718D" w:rsidRDefault="00A307EE" w:rsidP="00172A3B">
      <w:pPr>
        <w:spacing w:line="480" w:lineRule="auto"/>
        <w:jc w:val="both"/>
        <w:rPr>
          <w:rFonts w:cs="Times New Roman"/>
          <w:b/>
          <w:bCs/>
          <w:lang w:val="en-GB"/>
        </w:rPr>
      </w:pPr>
      <w:r w:rsidRPr="001B1981">
        <w:rPr>
          <w:rFonts w:cs="Times New Roman"/>
          <w:b/>
          <w:bCs/>
          <w:lang w:val="en-GB"/>
        </w:rPr>
        <w:br/>
      </w:r>
      <w:r w:rsidRPr="005D718D">
        <w:rPr>
          <w:rFonts w:cs="Times New Roman"/>
          <w:b/>
          <w:bCs/>
          <w:lang w:val="en-GB"/>
        </w:rPr>
        <w:t>2.2. The Democratic Breakthrough and 1976 Constitution</w:t>
      </w:r>
      <w:r w:rsidR="005D718D" w:rsidRPr="005D718D">
        <w:rPr>
          <w:rFonts w:cs="Times New Roman"/>
          <w:b/>
          <w:bCs/>
          <w:lang w:val="en-GB"/>
        </w:rPr>
        <w:t xml:space="preserve"> (</w:t>
      </w:r>
      <w:r w:rsidR="005D718D">
        <w:rPr>
          <w:rFonts w:cs="Times New Roman"/>
          <w:b/>
          <w:bCs/>
          <w:lang w:val="en-GB"/>
        </w:rPr>
        <w:t>CRP</w:t>
      </w:r>
      <w:r w:rsidR="005D718D">
        <w:rPr>
          <w:rStyle w:val="FootnoteReference"/>
          <w:rFonts w:cs="Times New Roman"/>
          <w:b/>
          <w:bCs/>
          <w:lang w:val="en-GB"/>
        </w:rPr>
        <w:footnoteReference w:id="46"/>
      </w:r>
      <w:r w:rsidR="005D718D">
        <w:rPr>
          <w:rFonts w:cs="Times New Roman"/>
          <w:b/>
          <w:bCs/>
          <w:lang w:val="en-GB"/>
        </w:rPr>
        <w:t>)</w:t>
      </w:r>
    </w:p>
    <w:p w14:paraId="664FB776" w14:textId="77777777" w:rsidR="00965868" w:rsidRPr="00965868" w:rsidRDefault="00965868" w:rsidP="00172A3B">
      <w:pPr>
        <w:spacing w:line="480" w:lineRule="auto"/>
        <w:jc w:val="both"/>
        <w:rPr>
          <w:rFonts w:cs="Times New Roman"/>
          <w:lang w:val="en-GB"/>
        </w:rPr>
      </w:pPr>
      <w:r w:rsidRPr="00965868">
        <w:rPr>
          <w:rFonts w:cs="Times New Roman"/>
          <w:lang w:val="en-GB"/>
        </w:rPr>
        <w:t>Despite some turbulence and excesses, the Carnation Revolution on April 25, 1974, and the ensuing revolutionary process marked a profound break with the past, setting in motion a rapid process of democratic transition, in which freedom of the press plays a fundamental role.</w:t>
      </w:r>
    </w:p>
    <w:p w14:paraId="636E0CD6" w14:textId="7D15D9A8" w:rsidR="00AB32E3" w:rsidRPr="00965868" w:rsidRDefault="00965868" w:rsidP="00172A3B">
      <w:pPr>
        <w:spacing w:line="480" w:lineRule="auto"/>
        <w:jc w:val="both"/>
        <w:rPr>
          <w:rFonts w:cs="Times New Roman"/>
          <w:lang w:val="en-GB"/>
        </w:rPr>
      </w:pPr>
      <w:r w:rsidRPr="00965868">
        <w:rPr>
          <w:rFonts w:cs="Times New Roman"/>
          <w:lang w:val="en-GB"/>
        </w:rPr>
        <w:t>In fact, even before the new Constitution was approved and came into force, the importance of ensuring journalistic independence as a sign and driving force for the construction of a true democratic state was quickly recognized. Specifically, the Armed Forces Movement Program, which had the force of constitutional law, determined as an immediate measure “</w:t>
      </w:r>
      <w:r w:rsidRPr="00965868">
        <w:rPr>
          <w:rFonts w:cs="Times New Roman"/>
          <w:i/>
          <w:iCs/>
          <w:lang w:val="en-GB"/>
        </w:rPr>
        <w:t>the abolition of censorship and prior review</w:t>
      </w:r>
      <w:r w:rsidRPr="00965868">
        <w:rPr>
          <w:rFonts w:cs="Times New Roman"/>
          <w:lang w:val="en-GB"/>
        </w:rPr>
        <w:t xml:space="preserve">” and the promulgation of </w:t>
      </w:r>
      <w:r w:rsidRPr="00965868">
        <w:rPr>
          <w:rFonts w:cs="Times New Roman"/>
          <w:lang w:val="en-GB"/>
        </w:rPr>
        <w:lastRenderedPageBreak/>
        <w:t>a new Press Law in the short term. Also paradigmatic is the fact that the newspaper República was published on April 25, 1974, without any censorship</w:t>
      </w:r>
      <w:r w:rsidR="00EA092D" w:rsidRPr="002D79FD">
        <w:rPr>
          <w:rStyle w:val="FootnoteReference"/>
          <w:rFonts w:cs="Times New Roman"/>
        </w:rPr>
        <w:footnoteReference w:id="47"/>
      </w:r>
      <w:r w:rsidR="00D86BA9" w:rsidRPr="00965868">
        <w:rPr>
          <w:rFonts w:cs="Times New Roman"/>
          <w:lang w:val="en-GB"/>
        </w:rPr>
        <w:t>.</w:t>
      </w:r>
    </w:p>
    <w:p w14:paraId="16799512" w14:textId="6484D17A" w:rsidR="003C37A0" w:rsidRDefault="0022555C" w:rsidP="00172A3B">
      <w:pPr>
        <w:spacing w:line="480" w:lineRule="auto"/>
        <w:jc w:val="both"/>
        <w:rPr>
          <w:rFonts w:cs="Times New Roman"/>
          <w:lang w:val="en-GB"/>
        </w:rPr>
      </w:pPr>
      <w:r w:rsidRPr="0022555C">
        <w:rPr>
          <w:rFonts w:cs="Times New Roman"/>
          <w:lang w:val="en-GB"/>
        </w:rPr>
        <w:t xml:space="preserve">However, the turbulent climate helps explain why the Armed Forces Program also provided for an ad hoc commission to control the press, radio, television, </w:t>
      </w:r>
      <w:proofErr w:type="spellStart"/>
      <w:r w:rsidRPr="0022555C">
        <w:rPr>
          <w:rFonts w:cs="Times New Roman"/>
          <w:lang w:val="en-GB"/>
        </w:rPr>
        <w:t>theater</w:t>
      </w:r>
      <w:proofErr w:type="spellEnd"/>
      <w:r w:rsidRPr="0022555C">
        <w:rPr>
          <w:rFonts w:cs="Times New Roman"/>
          <w:lang w:val="en-GB"/>
        </w:rPr>
        <w:t xml:space="preserve">, and cinema, albeit temporarily until the new Press Law came into force. Its operation was subordinate to the National Salvation Board, the highest authority at the time. Its main purpose was to “safeguard military secrecy and prevent disturbances in public opinion caused by ideological attacks from the most reactionary media.” Thus, even without real powers of prior censorship, the ad hoc commission could administratively impose heavy sanctions, with exclusive recourse to the National Salvation Board, on </w:t>
      </w:r>
      <w:proofErr w:type="spellStart"/>
      <w:r w:rsidRPr="0022555C">
        <w:rPr>
          <w:rFonts w:cs="Times New Roman"/>
          <w:lang w:val="en-GB"/>
        </w:rPr>
        <w:t>behaviors</w:t>
      </w:r>
      <w:proofErr w:type="spellEnd"/>
      <w:r w:rsidRPr="0022555C">
        <w:rPr>
          <w:rFonts w:cs="Times New Roman"/>
          <w:lang w:val="en-GB"/>
        </w:rPr>
        <w:t xml:space="preserve"> that were defined in a very vague manner. This ended up being used during this period as a real political weapon, in which subjectivity and ideological force prevailed.</w:t>
      </w:r>
      <w:r w:rsidR="005F5C98" w:rsidRPr="002D79FD">
        <w:rPr>
          <w:rStyle w:val="FootnoteReference"/>
          <w:rFonts w:cs="Times New Roman"/>
        </w:rPr>
        <w:footnoteReference w:id="48"/>
      </w:r>
    </w:p>
    <w:p w14:paraId="640CB912" w14:textId="541E6A57" w:rsidR="003A6A24" w:rsidRPr="0022555C" w:rsidRDefault="003A6A24" w:rsidP="00172A3B">
      <w:pPr>
        <w:spacing w:line="480" w:lineRule="auto"/>
        <w:jc w:val="both"/>
        <w:rPr>
          <w:rFonts w:cs="Times New Roman"/>
          <w:lang w:val="en-GB"/>
        </w:rPr>
      </w:pPr>
      <w:r w:rsidRPr="003A6A24">
        <w:rPr>
          <w:rFonts w:cs="Times New Roman"/>
          <w:lang w:val="en-GB"/>
        </w:rPr>
        <w:t>In fact, as is typical of revolutionary periods, these early days were marked by strong tensions within newspaper companies, including closures, occupations, conflicts between workers and management, and takeovers by editorial boards. The SJ and a large part of the media opposed the functioning of the ad hoc commission, which ended up being restructured to include only military personnel, and which imposed about fifty financial penalties and suspensions of publication.</w:t>
      </w:r>
      <w:r w:rsidR="003E57D0" w:rsidRPr="002D79FD">
        <w:rPr>
          <w:rStyle w:val="FootnoteReference"/>
          <w:rFonts w:cs="Times New Roman"/>
        </w:rPr>
        <w:footnoteReference w:id="49"/>
      </w:r>
      <w:r w:rsidRPr="003A6A24">
        <w:rPr>
          <w:rFonts w:cs="Times New Roman"/>
          <w:lang w:val="en-GB"/>
        </w:rPr>
        <w:t xml:space="preserve"> "</w:t>
      </w:r>
      <w:r w:rsidRPr="003E57D0">
        <w:rPr>
          <w:rFonts w:cs="Times New Roman"/>
          <w:i/>
          <w:iCs/>
          <w:lang w:val="en-GB"/>
        </w:rPr>
        <w:t xml:space="preserve">At the same time, the content of publications, marked by widespread irresponsibility under the guise of collective production, and the absence of accountability legislation, made the press virtually unpunishable, except in the inadequate form of the ad hoc commission's action, and allowed the political or personal </w:t>
      </w:r>
      <w:r w:rsidRPr="003E57D0">
        <w:rPr>
          <w:rFonts w:cs="Times New Roman"/>
          <w:i/>
          <w:iCs/>
          <w:lang w:val="en-GB"/>
        </w:rPr>
        <w:lastRenderedPageBreak/>
        <w:t>militancy of the dominant currents to prevail over the search for truth or the ethical rules that a regime long dominated by censorship had not been accustomed to respecting. There was thus a very limited freedom, due to administrative and military constraints. (...) It seems to us that, for all these reasons, there was still no true freedom of expression through the written press</w:t>
      </w:r>
      <w:r w:rsidRPr="003A6A24">
        <w:rPr>
          <w:rFonts w:cs="Times New Roman"/>
          <w:lang w:val="en-GB"/>
        </w:rPr>
        <w:t>."</w:t>
      </w:r>
      <w:r w:rsidR="003E57D0" w:rsidRPr="003E57D0">
        <w:rPr>
          <w:rStyle w:val="FootnoteReference"/>
          <w:rFonts w:cs="Times New Roman"/>
          <w:lang w:val="en-GB"/>
        </w:rPr>
        <w:t xml:space="preserve"> </w:t>
      </w:r>
      <w:r w:rsidR="003E57D0" w:rsidRPr="002D79FD">
        <w:rPr>
          <w:rStyle w:val="FootnoteReference"/>
          <w:rFonts w:cs="Times New Roman"/>
        </w:rPr>
        <w:footnoteReference w:id="50"/>
      </w:r>
      <w:r w:rsidRPr="003A6A24">
        <w:rPr>
          <w:rFonts w:cs="Times New Roman"/>
          <w:lang w:val="en-GB"/>
        </w:rPr>
        <w:t xml:space="preserve"> It should be noted that during this period, the Information Council was created by order of the minister responsible for the media. Composed of representatives from the political, media, and military spheres, its main functions were to advise the Secretary of State for the Media in the supervision of state-dependent media. However, the fall of the Fifth Provisional Government led to its extinction. This scenario explains the perceived need to speed up the process of approving the Press Law, which came into force in 1975, before the Constitution itself, and which will be discussed in the next section.</w:t>
      </w:r>
    </w:p>
    <w:p w14:paraId="0A8F7A17" w14:textId="77777777" w:rsidR="00EF0AE6" w:rsidRDefault="00EF0AE6" w:rsidP="00172A3B">
      <w:pPr>
        <w:spacing w:line="480" w:lineRule="auto"/>
        <w:jc w:val="both"/>
        <w:rPr>
          <w:rFonts w:cs="Times New Roman"/>
          <w:lang w:val="en-GB"/>
        </w:rPr>
      </w:pPr>
      <w:r w:rsidRPr="00EF0AE6">
        <w:rPr>
          <w:rFonts w:cs="Times New Roman"/>
          <w:lang w:val="en-GB"/>
        </w:rPr>
        <w:t>The 1976 Constitution, which was born out of a compromise between revolutionary and democratic legitimacy, enshrined two fundamental articles concerning freedom of the press and the responsibility of journalists.</w:t>
      </w:r>
    </w:p>
    <w:p w14:paraId="1E6478E0" w14:textId="0D0B9D93" w:rsidR="005F3F0F" w:rsidRPr="00B42500" w:rsidRDefault="00B0555F" w:rsidP="00172A3B">
      <w:pPr>
        <w:spacing w:line="480" w:lineRule="auto"/>
        <w:jc w:val="both"/>
        <w:rPr>
          <w:rFonts w:cs="Times New Roman"/>
          <w:lang w:val="en-GB"/>
        </w:rPr>
      </w:pPr>
      <w:r w:rsidRPr="00B0555F">
        <w:rPr>
          <w:rFonts w:cs="Times New Roman"/>
          <w:lang w:val="en-GB"/>
        </w:rPr>
        <w:t>Article 37, amended in the meantime by the revisions of 1982 and 1997, provides in paragraph 1 for the right to information as the right to inform and to be informed. For Gomes Canotilho and Vital Moreira</w:t>
      </w:r>
      <w:r w:rsidRPr="002D79FD">
        <w:rPr>
          <w:rStyle w:val="FootnoteReference"/>
          <w:rFonts w:cs="Times New Roman"/>
        </w:rPr>
        <w:footnoteReference w:id="51"/>
      </w:r>
      <w:r w:rsidRPr="00B0555F">
        <w:rPr>
          <w:rFonts w:cs="Times New Roman"/>
          <w:lang w:val="en-GB"/>
        </w:rPr>
        <w:t>, in terms of the “</w:t>
      </w:r>
      <w:r w:rsidRPr="00B42500">
        <w:rPr>
          <w:rFonts w:cs="Times New Roman"/>
          <w:i/>
          <w:iCs/>
          <w:lang w:val="en-GB"/>
        </w:rPr>
        <w:t>right of expression</w:t>
      </w:r>
      <w:r w:rsidRPr="00B0555F">
        <w:rPr>
          <w:rFonts w:cs="Times New Roman"/>
          <w:lang w:val="en-GB"/>
        </w:rPr>
        <w:t xml:space="preserve">,” this is a right which, in its negative dimension and in terms of </w:t>
      </w:r>
      <w:proofErr w:type="spellStart"/>
      <w:r w:rsidRPr="00B0555F">
        <w:rPr>
          <w:rFonts w:cs="Times New Roman"/>
          <w:lang w:val="en-GB"/>
        </w:rPr>
        <w:t>defense</w:t>
      </w:r>
      <w:proofErr w:type="spellEnd"/>
      <w:r w:rsidRPr="00B0555F">
        <w:rPr>
          <w:rFonts w:cs="Times New Roman"/>
          <w:lang w:val="en-GB"/>
        </w:rPr>
        <w:t xml:space="preserve"> against public authorities, implies “</w:t>
      </w:r>
      <w:r w:rsidRPr="00B42500">
        <w:rPr>
          <w:rFonts w:cs="Times New Roman"/>
          <w:i/>
          <w:iCs/>
          <w:lang w:val="en-GB"/>
        </w:rPr>
        <w:t>the right not to be prevented from expressing oneself</w:t>
      </w:r>
      <w:r w:rsidRPr="00B0555F">
        <w:rPr>
          <w:rFonts w:cs="Times New Roman"/>
          <w:lang w:val="en-GB"/>
        </w:rPr>
        <w:t>,” and, in its positive dimension, a right “</w:t>
      </w:r>
      <w:r w:rsidRPr="00B42500">
        <w:rPr>
          <w:rFonts w:cs="Times New Roman"/>
          <w:i/>
          <w:iCs/>
          <w:lang w:val="en-GB"/>
        </w:rPr>
        <w:t>of access to the means of expression</w:t>
      </w:r>
      <w:r w:rsidRPr="00B0555F">
        <w:rPr>
          <w:rFonts w:cs="Times New Roman"/>
          <w:lang w:val="en-GB"/>
        </w:rPr>
        <w:t>”</w:t>
      </w:r>
      <w:r w:rsidR="00B42500">
        <w:rPr>
          <w:rFonts w:cs="Times New Roman"/>
          <w:lang w:val="en-GB"/>
        </w:rPr>
        <w:t>,</w:t>
      </w:r>
      <w:r w:rsidRPr="00B0555F">
        <w:rPr>
          <w:rFonts w:cs="Times New Roman"/>
          <w:lang w:val="en-GB"/>
        </w:rPr>
        <w:t xml:space="preserve"> which is also touched upon in Article 37(4) and Articles 40 and 41(4) of the CRP. In terms of the “</w:t>
      </w:r>
      <w:r w:rsidRPr="00B42500">
        <w:rPr>
          <w:rFonts w:cs="Times New Roman"/>
          <w:i/>
          <w:iCs/>
          <w:lang w:val="en-GB"/>
        </w:rPr>
        <w:t>right to information</w:t>
      </w:r>
      <w:r w:rsidRPr="00B0555F">
        <w:rPr>
          <w:rFonts w:cs="Times New Roman"/>
          <w:lang w:val="en-GB"/>
        </w:rPr>
        <w:t>”</w:t>
      </w:r>
      <w:r w:rsidR="00B42500">
        <w:rPr>
          <w:rFonts w:cs="Times New Roman"/>
          <w:lang w:val="en-GB"/>
        </w:rPr>
        <w:t>,</w:t>
      </w:r>
      <w:r w:rsidRPr="00B0555F">
        <w:rPr>
          <w:rFonts w:cs="Times New Roman"/>
          <w:lang w:val="en-GB"/>
        </w:rPr>
        <w:t xml:space="preserve"> the right to inform “</w:t>
      </w:r>
      <w:r w:rsidRPr="00B42500">
        <w:rPr>
          <w:rFonts w:cs="Times New Roman"/>
          <w:i/>
          <w:iCs/>
          <w:lang w:val="en-GB"/>
        </w:rPr>
        <w:t xml:space="preserve">consists, first and </w:t>
      </w:r>
      <w:r w:rsidRPr="00B42500">
        <w:rPr>
          <w:rFonts w:cs="Times New Roman"/>
          <w:i/>
          <w:iCs/>
          <w:lang w:val="en-GB"/>
        </w:rPr>
        <w:lastRenderedPageBreak/>
        <w:t>foremost, in the freedom to transmit or communicate information to others, to disseminate it without hindrance</w:t>
      </w:r>
      <w:r w:rsidRPr="00B0555F">
        <w:rPr>
          <w:rFonts w:cs="Times New Roman"/>
          <w:lang w:val="en-GB"/>
        </w:rPr>
        <w:t>”</w:t>
      </w:r>
      <w:r w:rsidR="00B42500">
        <w:rPr>
          <w:rFonts w:cs="Times New Roman"/>
          <w:lang w:val="en-GB"/>
        </w:rPr>
        <w:t>,</w:t>
      </w:r>
      <w:r w:rsidRPr="00B0555F">
        <w:rPr>
          <w:rFonts w:cs="Times New Roman"/>
          <w:lang w:val="en-GB"/>
        </w:rPr>
        <w:t xml:space="preserve"> which implies the “</w:t>
      </w:r>
      <w:r w:rsidRPr="00B42500">
        <w:rPr>
          <w:rFonts w:cs="Times New Roman"/>
          <w:i/>
          <w:iCs/>
          <w:lang w:val="en-GB"/>
        </w:rPr>
        <w:t>right to the means to inform</w:t>
      </w:r>
      <w:r w:rsidRPr="00B0555F">
        <w:rPr>
          <w:rFonts w:cs="Times New Roman"/>
          <w:lang w:val="en-GB"/>
        </w:rPr>
        <w:t>.”</w:t>
      </w:r>
      <w:r w:rsidRPr="00B42500">
        <w:rPr>
          <w:rStyle w:val="FootnoteReference"/>
          <w:rFonts w:cs="Times New Roman"/>
          <w:lang w:val="en-GB"/>
        </w:rPr>
        <w:t xml:space="preserve"> </w:t>
      </w:r>
      <w:r w:rsidRPr="002D79FD">
        <w:rPr>
          <w:rStyle w:val="FootnoteReference"/>
          <w:rFonts w:cs="Times New Roman"/>
        </w:rPr>
        <w:footnoteReference w:id="52"/>
      </w:r>
      <w:r w:rsidRPr="00B0555F">
        <w:rPr>
          <w:rFonts w:cs="Times New Roman"/>
          <w:lang w:val="en-GB"/>
        </w:rPr>
        <w:t xml:space="preserve">  A fourth dimension of freedom of information could even be recognized, which translates into the right to refuse to express an opinion, to inform or to be informed by any individual.</w:t>
      </w:r>
      <w:r w:rsidR="00B42500" w:rsidRPr="002D79FD">
        <w:rPr>
          <w:rStyle w:val="FootnoteReference"/>
          <w:rFonts w:cs="Times New Roman"/>
        </w:rPr>
        <w:footnoteReference w:id="53"/>
      </w:r>
      <w:r w:rsidRPr="00B0555F">
        <w:rPr>
          <w:rFonts w:cs="Times New Roman"/>
          <w:lang w:val="en-GB"/>
        </w:rPr>
        <w:t xml:space="preserve"> In paragraph 2, the constitutional provision establishes the prohibition of any type of censorship, which does not mean, however, the absence of limits. Paragraph 4 guarantees a strengthened right of reply, including through the provisions of Article 40 (on broadcasting rights, the right of reply, and the right of political response), to which has been added the right of rectification, as well as the right to compensation for damages suffered. Paragraph 3, which initially referred violations of these rights to general law, now specifies that they shall be dealt with under criminal and administrative law and that jurisdiction shall lie with the courts and an independent administrative body (which has since been created), thus providing that freedom of information and expression, as they are subject to scrutiny in terms of liability, are subject to restrictions on their exercise. However, these limitations must not exceed the limits set out in the Constitution itself</w:t>
      </w:r>
      <w:r w:rsidR="00325993" w:rsidRPr="002D79FD">
        <w:rPr>
          <w:rStyle w:val="FootnoteReference"/>
          <w:rFonts w:cs="Times New Roman"/>
        </w:rPr>
        <w:footnoteReference w:id="54"/>
      </w:r>
      <w:r w:rsidR="00325993" w:rsidRPr="00B42500">
        <w:rPr>
          <w:rFonts w:cs="Times New Roman"/>
          <w:lang w:val="en-GB"/>
        </w:rPr>
        <w:t>.</w:t>
      </w:r>
    </w:p>
    <w:p w14:paraId="7813B904" w14:textId="5772BEC0" w:rsidR="00F4735C" w:rsidRDefault="00180657" w:rsidP="00172A3B">
      <w:pPr>
        <w:spacing w:line="480" w:lineRule="auto"/>
        <w:jc w:val="both"/>
        <w:rPr>
          <w:rFonts w:cs="Times New Roman"/>
          <w:lang w:val="en-GB"/>
        </w:rPr>
      </w:pPr>
      <w:r w:rsidRPr="00180657">
        <w:rPr>
          <w:rFonts w:cs="Times New Roman"/>
          <w:lang w:val="en-GB"/>
        </w:rPr>
        <w:t>Article 38 refers specifically to freedom of the press, considered as an extension of freedom of expression and the right to information, particularly in terms of its role as a constitutional guarantee of the free formation of public opinion</w:t>
      </w:r>
      <w:r w:rsidR="009A270A" w:rsidRPr="002D79FD">
        <w:rPr>
          <w:rStyle w:val="FootnoteReference"/>
          <w:rFonts w:cs="Times New Roman"/>
        </w:rPr>
        <w:footnoteReference w:id="55"/>
      </w:r>
      <w:r w:rsidR="00223524" w:rsidRPr="00180657">
        <w:rPr>
          <w:rFonts w:cs="Times New Roman"/>
          <w:lang w:val="en-GB"/>
        </w:rPr>
        <w:t xml:space="preserve">. </w:t>
      </w:r>
      <w:r w:rsidR="00E65220" w:rsidRPr="00E65220">
        <w:rPr>
          <w:rFonts w:cs="Times New Roman"/>
          <w:lang w:val="en-GB"/>
        </w:rPr>
        <w:t>It is, therefore, “</w:t>
      </w:r>
      <w:r w:rsidR="00E65220" w:rsidRPr="00E65220">
        <w:rPr>
          <w:rFonts w:cs="Times New Roman"/>
          <w:i/>
          <w:iCs/>
          <w:lang w:val="en-GB"/>
        </w:rPr>
        <w:t xml:space="preserve">a complex or </w:t>
      </w:r>
      <w:r w:rsidR="00E65220" w:rsidRPr="00E65220">
        <w:rPr>
          <w:rFonts w:cs="Times New Roman"/>
          <w:i/>
          <w:iCs/>
          <w:lang w:val="en-GB"/>
        </w:rPr>
        <w:lastRenderedPageBreak/>
        <w:t xml:space="preserve">constellation of rights and freedoms: the right to create media outlets, the rights of journalists within those outlets, and the rights of the media outlets themselves, etc.” </w:t>
      </w:r>
      <w:r w:rsidR="00E65220" w:rsidRPr="00A90872">
        <w:rPr>
          <w:rFonts w:cs="Times New Roman"/>
          <w:lang w:val="en-GB"/>
        </w:rPr>
        <w:t xml:space="preserve">which began as </w:t>
      </w:r>
      <w:r w:rsidR="00E65220" w:rsidRPr="00E65220">
        <w:rPr>
          <w:rFonts w:cs="Times New Roman"/>
          <w:i/>
          <w:iCs/>
          <w:lang w:val="en-GB"/>
        </w:rPr>
        <w:t>“a freedom-resistance against public authorities. (...) it also became a constitutional guarantee of the free formation of public opinion in a democratic constitutional state</w:t>
      </w:r>
      <w:r w:rsidR="00E65220" w:rsidRPr="00E65220">
        <w:rPr>
          <w:rFonts w:cs="Times New Roman"/>
          <w:lang w:val="en-GB"/>
        </w:rPr>
        <w:t>.”</w:t>
      </w:r>
      <w:r w:rsidR="007F4B32" w:rsidRPr="002D79FD">
        <w:rPr>
          <w:rStyle w:val="FootnoteReference"/>
          <w:rFonts w:cs="Times New Roman"/>
        </w:rPr>
        <w:footnoteReference w:id="56"/>
      </w:r>
      <w:r w:rsidR="009B1E21" w:rsidRPr="00E65220">
        <w:rPr>
          <w:rFonts w:cs="Times New Roman"/>
          <w:lang w:val="en-GB"/>
        </w:rPr>
        <w:t xml:space="preserve"> </w:t>
      </w:r>
      <w:r w:rsidR="00620FB6" w:rsidRPr="00620FB6">
        <w:rPr>
          <w:rFonts w:cs="Times New Roman"/>
          <w:lang w:val="en-GB"/>
        </w:rPr>
        <w:t xml:space="preserve">In other words, freedom of the press, like freedom of expression and information, has a subjective dimension of </w:t>
      </w:r>
      <w:proofErr w:type="spellStart"/>
      <w:r w:rsidR="00620FB6" w:rsidRPr="00620FB6">
        <w:rPr>
          <w:rFonts w:cs="Times New Roman"/>
          <w:lang w:val="en-GB"/>
        </w:rPr>
        <w:t>defense</w:t>
      </w:r>
      <w:proofErr w:type="spellEnd"/>
      <w:r w:rsidR="00620FB6" w:rsidRPr="00620FB6">
        <w:rPr>
          <w:rFonts w:cs="Times New Roman"/>
          <w:lang w:val="en-GB"/>
        </w:rPr>
        <w:t xml:space="preserve">, but also an objective and institutional dimension. Seen another way, it has a negative dimension of defending against state interference (but also against the economic power behind the media), and a positive dimension of promoting the rights of participation of the media and journalists. Furthermore, it is also anchored in the </w:t>
      </w:r>
      <w:proofErr w:type="spellStart"/>
      <w:r w:rsidR="00620FB6" w:rsidRPr="00620FB6">
        <w:rPr>
          <w:rFonts w:cs="Times New Roman"/>
          <w:lang w:val="en-GB"/>
        </w:rPr>
        <w:t>defense</w:t>
      </w:r>
      <w:proofErr w:type="spellEnd"/>
      <w:r w:rsidR="00620FB6" w:rsidRPr="00620FB6">
        <w:rPr>
          <w:rFonts w:cs="Times New Roman"/>
          <w:lang w:val="en-GB"/>
        </w:rPr>
        <w:t xml:space="preserve"> of citizens and their fundamental and personal rights from media activity, with these various dimensions justifying the need for regulation, namely public regulation, as provided for in Article 39 of the CRP.</w:t>
      </w:r>
      <w:r w:rsidR="00174A68" w:rsidRPr="002D79FD">
        <w:rPr>
          <w:rStyle w:val="FootnoteReference"/>
          <w:rFonts w:cs="Times New Roman"/>
        </w:rPr>
        <w:footnoteReference w:id="57"/>
      </w:r>
    </w:p>
    <w:p w14:paraId="7262E2BE" w14:textId="14CF1FE6" w:rsidR="00E37096" w:rsidRPr="00620FB6" w:rsidRDefault="00E37096" w:rsidP="00172A3B">
      <w:pPr>
        <w:spacing w:line="480" w:lineRule="auto"/>
        <w:jc w:val="both"/>
        <w:rPr>
          <w:rFonts w:cs="Times New Roman"/>
          <w:lang w:val="en-GB"/>
        </w:rPr>
      </w:pPr>
      <w:r w:rsidRPr="00E37096">
        <w:rPr>
          <w:rFonts w:cs="Times New Roman"/>
          <w:lang w:val="en-GB"/>
        </w:rPr>
        <w:t xml:space="preserve">Its constitutional scope was expressly extended to the media through constitutional revisions in 1982, 1989, and 1997. These amendments to constitutional law, whether due to democratic progress or the imperatives linked to entry into the then EEC, focused, on the one hand, on the ownership and economic dimension of the media, promoting competition and allowing, particularly in the case of television and radio, their privatization, and also established the independence and pluralism of publicly owned media and transparency regarding ownership and financing of the media. On the other hand, the revisions allowed for the extension and clarification of the content of press freedom. This thus includes: </w:t>
      </w:r>
      <w:proofErr w:type="spellStart"/>
      <w:r w:rsidRPr="00E37096">
        <w:rPr>
          <w:rFonts w:cs="Times New Roman"/>
          <w:lang w:val="en-GB"/>
        </w:rPr>
        <w:t>i</w:t>
      </w:r>
      <w:proofErr w:type="spellEnd"/>
      <w:r w:rsidRPr="00E37096">
        <w:rPr>
          <w:rFonts w:cs="Times New Roman"/>
          <w:lang w:val="en-GB"/>
        </w:rPr>
        <w:t xml:space="preserve">) </w:t>
      </w:r>
      <w:r w:rsidR="005E3250">
        <w:rPr>
          <w:rFonts w:cs="Times New Roman"/>
          <w:lang w:val="en-GB"/>
        </w:rPr>
        <w:t>f</w:t>
      </w:r>
      <w:r w:rsidRPr="00E37096">
        <w:rPr>
          <w:rFonts w:cs="Times New Roman"/>
          <w:lang w:val="en-GB"/>
        </w:rPr>
        <w:t xml:space="preserve">reedom of expression and creation for journalists and contributors; ii) the involvement of journalists in the editorial orientation of their respective media outlets, except when these are doctrinal or confessional in nature; iii) the right of journalists, under the terms of the law, </w:t>
      </w:r>
      <w:r w:rsidRPr="00E37096">
        <w:rPr>
          <w:rFonts w:cs="Times New Roman"/>
          <w:lang w:val="en-GB"/>
        </w:rPr>
        <w:lastRenderedPageBreak/>
        <w:t>to access sources of information and to the protection of professional independence and confidentiality; iv) the right of journalists to elect editorial boards; v) the right to found newspapers and any other publications, regardless of prior administrative authorization, security deposit, or qualification; and vi) the freedom and independence of the media from political and economic power. Here too, the bundle of rights is not absolute</w:t>
      </w:r>
      <w:r w:rsidR="009B0BB3" w:rsidRPr="002D79FD">
        <w:rPr>
          <w:rStyle w:val="FootnoteReference"/>
          <w:rFonts w:cs="Times New Roman"/>
        </w:rPr>
        <w:footnoteReference w:id="58"/>
      </w:r>
      <w:r w:rsidRPr="00E37096">
        <w:rPr>
          <w:rFonts w:cs="Times New Roman"/>
          <w:lang w:val="en-GB"/>
        </w:rPr>
        <w:t>, accepting constitutional restrictions (such as that in Article 37) whether legal, in line with Article 18(2) of the CRP - namely in line with the Press Law and the Journalist Statute (Article 3) - or arising from international law to which Portugal is bound, under the terms of Article 8(2) of the CRP - such as the European Convention on Human Rights (</w:t>
      </w:r>
      <w:r w:rsidR="00D60D66">
        <w:rPr>
          <w:rFonts w:cs="Times New Roman"/>
          <w:lang w:val="en-GB"/>
        </w:rPr>
        <w:t>ECHR</w:t>
      </w:r>
      <w:r w:rsidRPr="00E37096">
        <w:rPr>
          <w:rFonts w:cs="Times New Roman"/>
          <w:lang w:val="en-GB"/>
        </w:rPr>
        <w:t>), in its Article 10(2), or  the International Covenant on Civil and Political Rights, in its Article 19(3), which allow for restrictions on freedom of expression and, by extension, freedom of the press.</w:t>
      </w:r>
    </w:p>
    <w:p w14:paraId="1A5D9A37" w14:textId="0F5FC2C4" w:rsidR="00D03BB7" w:rsidRPr="00B22F45" w:rsidRDefault="00B22F45" w:rsidP="00172A3B">
      <w:pPr>
        <w:spacing w:line="480" w:lineRule="auto"/>
        <w:jc w:val="both"/>
        <w:rPr>
          <w:rFonts w:cs="Times New Roman"/>
          <w:lang w:val="en-GB"/>
        </w:rPr>
      </w:pPr>
      <w:r w:rsidRPr="00B22F45">
        <w:rPr>
          <w:rFonts w:cs="Times New Roman"/>
          <w:lang w:val="en-GB"/>
        </w:rPr>
        <w:t>For its part, Article 39, also amended in successive constitutional revisions, deals with the regulation of the media. While its initial version, now partially recast in Article 38, focused on public ownership of the media and the need to ensure independence and pluralism, and the consequent creation of pluralistic information councils, today it provides for an independent administrative authority, with a status to be developed by law, with broad regulatory powers, opting for a regulatory model that is not only dissatisfied with self-regulation, but also imposes public hetero-regulation that is agency-based and not supplementary</w:t>
      </w:r>
      <w:r w:rsidR="007D5794" w:rsidRPr="002D79FD">
        <w:rPr>
          <w:rStyle w:val="FootnoteReference"/>
          <w:rFonts w:cs="Times New Roman"/>
        </w:rPr>
        <w:footnoteReference w:id="59"/>
      </w:r>
      <w:r w:rsidR="009925D9" w:rsidRPr="00B22F45">
        <w:rPr>
          <w:rFonts w:cs="Times New Roman"/>
          <w:lang w:val="en-GB"/>
        </w:rPr>
        <w:t>.</w:t>
      </w:r>
    </w:p>
    <w:p w14:paraId="2CE6A824" w14:textId="2756B17B" w:rsidR="00BF23CC" w:rsidRPr="001A4902" w:rsidRDefault="00C06C8C" w:rsidP="00172A3B">
      <w:pPr>
        <w:spacing w:line="480" w:lineRule="auto"/>
        <w:jc w:val="both"/>
        <w:rPr>
          <w:rFonts w:cs="Times New Roman"/>
          <w:lang w:val="en-GB"/>
        </w:rPr>
      </w:pPr>
      <w:r w:rsidRPr="00C06C8C">
        <w:rPr>
          <w:rFonts w:cs="Times New Roman"/>
          <w:lang w:val="en-GB"/>
        </w:rPr>
        <w:t>In short, in line with the 1975 Press Law and contrary to the wishes of the revolutionary military regime</w:t>
      </w:r>
      <w:r w:rsidR="009923A8" w:rsidRPr="00C06C8C">
        <w:rPr>
          <w:rFonts w:cs="Times New Roman"/>
          <w:lang w:val="en-GB"/>
        </w:rPr>
        <w:t>, t</w:t>
      </w:r>
      <w:r w:rsidR="00FF642F" w:rsidRPr="00C06C8C">
        <w:rPr>
          <w:rFonts w:cs="Times New Roman"/>
          <w:lang w:val="en-GB"/>
        </w:rPr>
        <w:t xml:space="preserve">he 1976 Constitution not only abolished censorship but proactively articulated a robust conception of press freedom. </w:t>
      </w:r>
      <w:r w:rsidR="00FF642F" w:rsidRPr="002D79FD">
        <w:rPr>
          <w:rFonts w:cs="Times New Roman"/>
          <w:lang w:val="en-GB"/>
        </w:rPr>
        <w:t xml:space="preserve">Article 38 became a cornerstone of </w:t>
      </w:r>
      <w:r w:rsidR="00FF642F" w:rsidRPr="002D79FD">
        <w:rPr>
          <w:rFonts w:cs="Times New Roman"/>
          <w:lang w:val="en-GB"/>
        </w:rPr>
        <w:lastRenderedPageBreak/>
        <w:t xml:space="preserve">Portugal's democratic identity, establishing rights previously unimaginable under authoritarianism: freedom of expression and information, prohibition of prior censorship, protection of journalistic sources, </w:t>
      </w:r>
      <w:r w:rsidR="001D7812" w:rsidRPr="002D79FD">
        <w:rPr>
          <w:rFonts w:cs="Times New Roman"/>
          <w:lang w:val="en-GB"/>
        </w:rPr>
        <w:t xml:space="preserve">and editorial independence with </w:t>
      </w:r>
      <w:r w:rsidR="00FF642F" w:rsidRPr="002D79FD">
        <w:rPr>
          <w:rFonts w:cs="Times New Roman"/>
          <w:lang w:val="en-GB"/>
        </w:rPr>
        <w:t>the right to form media enterprises without political or administrative interference</w:t>
      </w:r>
      <w:r w:rsidR="002E38DC" w:rsidRPr="002D79FD">
        <w:rPr>
          <w:rFonts w:cs="Times New Roman"/>
          <w:lang w:val="en-GB"/>
        </w:rPr>
        <w:t>, which were reinforced by the several constitutional amendments</w:t>
      </w:r>
      <w:r w:rsidR="00CA7278" w:rsidRPr="002D79FD">
        <w:rPr>
          <w:rFonts w:cs="Times New Roman"/>
          <w:lang w:val="en-GB"/>
        </w:rPr>
        <w:t>.</w:t>
      </w:r>
    </w:p>
    <w:p w14:paraId="31B02C5B" w14:textId="77777777" w:rsidR="00160E65" w:rsidRPr="002D79FD" w:rsidRDefault="00A307EE" w:rsidP="00172A3B">
      <w:pPr>
        <w:spacing w:line="480" w:lineRule="auto"/>
        <w:jc w:val="both"/>
        <w:rPr>
          <w:rFonts w:cs="Times New Roman"/>
          <w:b/>
          <w:bCs/>
          <w:lang w:val="en-GB"/>
        </w:rPr>
      </w:pPr>
      <w:r w:rsidRPr="002D79FD">
        <w:rPr>
          <w:rFonts w:cs="Times New Roman"/>
          <w:b/>
          <w:bCs/>
          <w:lang w:val="en-GB"/>
        </w:rPr>
        <w:br/>
        <w:t>2.3. Legislative Developments: Press Law and Journalist Statute</w:t>
      </w:r>
    </w:p>
    <w:p w14:paraId="5B6D8F7D" w14:textId="652D5CBD" w:rsidR="00860C30" w:rsidRPr="00113F50" w:rsidRDefault="00113F50" w:rsidP="00172A3B">
      <w:pPr>
        <w:spacing w:line="480" w:lineRule="auto"/>
        <w:jc w:val="both"/>
        <w:rPr>
          <w:rFonts w:cs="Times New Roman"/>
          <w:lang w:val="en-GB"/>
        </w:rPr>
      </w:pPr>
      <w:r w:rsidRPr="00113F50">
        <w:rPr>
          <w:rFonts w:cs="Times New Roman"/>
          <w:lang w:val="en-GB"/>
        </w:rPr>
        <w:t xml:space="preserve">As previously mentioned, a new Press Law was an immediate imperative of the Armed Forces Movement Program. Thus, in August 1974, the Minister of Social Communication of the Second Provisional Government set up a commission to quickly draft the law and put an end to the ad hoc commission. The commission included representatives from the three parties of the governing coalition, the Daily and Non-Daily Press Associations, the SJ, and a </w:t>
      </w:r>
      <w:r w:rsidR="0066171A" w:rsidRPr="00113F50">
        <w:rPr>
          <w:rFonts w:cs="Times New Roman"/>
          <w:lang w:val="en-GB"/>
        </w:rPr>
        <w:t>chairman</w:t>
      </w:r>
      <w:r w:rsidRPr="00113F50">
        <w:rPr>
          <w:rFonts w:cs="Times New Roman"/>
          <w:lang w:val="en-GB"/>
        </w:rPr>
        <w:t xml:space="preserve"> and another member appointed by the Minister, in addition to the Secretary, who did not have voting rights.</w:t>
      </w:r>
      <w:r w:rsidR="00E67720" w:rsidRPr="00113F50">
        <w:rPr>
          <w:rFonts w:cs="Times New Roman"/>
          <w:lang w:val="en-GB"/>
        </w:rPr>
        <w:t xml:space="preserve"> </w:t>
      </w:r>
    </w:p>
    <w:p w14:paraId="3093D8E9" w14:textId="48F6E60E" w:rsidR="00936C7B" w:rsidRDefault="0066171A" w:rsidP="00172A3B">
      <w:pPr>
        <w:spacing w:line="480" w:lineRule="auto"/>
        <w:jc w:val="both"/>
        <w:rPr>
          <w:rFonts w:cs="Times New Roman"/>
          <w:lang w:val="en-GB"/>
        </w:rPr>
      </w:pPr>
      <w:r w:rsidRPr="0066171A">
        <w:rPr>
          <w:rFonts w:cs="Times New Roman"/>
          <w:lang w:val="en-GB"/>
        </w:rPr>
        <w:t>The work was carried out during a very heated political period, and the project presented and put up for public discussion was considered too liberal. As Sousa Franco</w:t>
      </w:r>
      <w:r w:rsidRPr="002D79FD">
        <w:rPr>
          <w:rStyle w:val="FootnoteReference"/>
          <w:rFonts w:cs="Times New Roman"/>
        </w:rPr>
        <w:footnoteReference w:id="60"/>
      </w:r>
      <w:r w:rsidRPr="0066171A">
        <w:rPr>
          <w:rFonts w:cs="Times New Roman"/>
          <w:lang w:val="en-GB"/>
        </w:rPr>
        <w:t xml:space="preserve">, who participated in this </w:t>
      </w:r>
      <w:proofErr w:type="spellStart"/>
      <w:r w:rsidRPr="0066171A">
        <w:rPr>
          <w:rFonts w:cs="Times New Roman"/>
          <w:lang w:val="en-GB"/>
        </w:rPr>
        <w:t>endeavor</w:t>
      </w:r>
      <w:proofErr w:type="spellEnd"/>
      <w:r w:rsidRPr="0066171A">
        <w:rPr>
          <w:rFonts w:cs="Times New Roman"/>
          <w:lang w:val="en-GB"/>
        </w:rPr>
        <w:t>, recalls, “</w:t>
      </w:r>
      <w:r w:rsidRPr="0066171A">
        <w:rPr>
          <w:rFonts w:cs="Times New Roman"/>
          <w:i/>
          <w:iCs/>
          <w:lang w:val="en-GB"/>
        </w:rPr>
        <w:t xml:space="preserve">that is, clearly in </w:t>
      </w:r>
      <w:proofErr w:type="spellStart"/>
      <w:r w:rsidRPr="0066171A">
        <w:rPr>
          <w:rFonts w:cs="Times New Roman"/>
          <w:i/>
          <w:iCs/>
          <w:lang w:val="en-GB"/>
        </w:rPr>
        <w:t>favor</w:t>
      </w:r>
      <w:proofErr w:type="spellEnd"/>
      <w:r w:rsidRPr="0066171A">
        <w:rPr>
          <w:rFonts w:cs="Times New Roman"/>
          <w:i/>
          <w:iCs/>
          <w:lang w:val="en-GB"/>
        </w:rPr>
        <w:t xml:space="preserve"> of a concept of the press as a forum for freedom, removing political or administrative restrictions and reducing jurisdictional restrictions to a minimum: all penalties would be applicable only by the courts, ending administrative penalties (...). The press was, above all, a space for responsible freedom, without fundamental concessions to misguided ideas of ‘public service’ or ‘</w:t>
      </w:r>
      <w:proofErr w:type="spellStart"/>
      <w:r w:rsidRPr="0066171A">
        <w:rPr>
          <w:rFonts w:cs="Times New Roman"/>
          <w:i/>
          <w:iCs/>
          <w:lang w:val="en-GB"/>
        </w:rPr>
        <w:t>defense</w:t>
      </w:r>
      <w:proofErr w:type="spellEnd"/>
      <w:r w:rsidRPr="0066171A">
        <w:rPr>
          <w:rFonts w:cs="Times New Roman"/>
          <w:i/>
          <w:iCs/>
          <w:lang w:val="en-GB"/>
        </w:rPr>
        <w:t xml:space="preserve"> of the revolution.</w:t>
      </w:r>
      <w:r w:rsidRPr="0066171A">
        <w:rPr>
          <w:rFonts w:cs="Times New Roman"/>
          <w:lang w:val="en-GB"/>
        </w:rPr>
        <w:t>’"</w:t>
      </w:r>
    </w:p>
    <w:p w14:paraId="560DE4D9" w14:textId="55229AA2" w:rsidR="00EB547C" w:rsidRPr="0047036D" w:rsidRDefault="007B68F5" w:rsidP="00172A3B">
      <w:pPr>
        <w:spacing w:line="480" w:lineRule="auto"/>
        <w:jc w:val="both"/>
        <w:rPr>
          <w:rFonts w:cs="Times New Roman"/>
          <w:lang w:val="en-GB"/>
        </w:rPr>
      </w:pPr>
      <w:r w:rsidRPr="007B68F5">
        <w:rPr>
          <w:rFonts w:cs="Times New Roman"/>
          <w:lang w:val="en-GB"/>
        </w:rPr>
        <w:lastRenderedPageBreak/>
        <w:t>However, despite the project's positive public reception, political changes with polarization to the left and increased militarization sparked considerable debate during the approval of the Press Law with Decree-Law No. 85-C/75 of February 26, 1975. Its more liberal bent was eventually eroded by "</w:t>
      </w:r>
      <w:r w:rsidRPr="00064899">
        <w:rPr>
          <w:rFonts w:cs="Times New Roman"/>
          <w:i/>
          <w:iCs/>
          <w:lang w:val="en-GB"/>
        </w:rPr>
        <w:t xml:space="preserve">the introduction of elements appointed by the Armed Forces Movement to the Press Council and a new and bad Article 66, which criminalized certain </w:t>
      </w:r>
      <w:proofErr w:type="spellStart"/>
      <w:r w:rsidRPr="00064899">
        <w:rPr>
          <w:rFonts w:cs="Times New Roman"/>
          <w:i/>
          <w:iCs/>
          <w:lang w:val="en-GB"/>
        </w:rPr>
        <w:t>behaviors</w:t>
      </w:r>
      <w:proofErr w:type="spellEnd"/>
      <w:r w:rsidRPr="00064899">
        <w:rPr>
          <w:rFonts w:cs="Times New Roman"/>
          <w:i/>
          <w:iCs/>
          <w:lang w:val="en-GB"/>
        </w:rPr>
        <w:t>, described in a very vague and broad manner, without any basis in the commission's preliminary draft. We were saved by the common sense of the courts, which recognized the anomaly of this provision and always applied it restrictively.</w:t>
      </w:r>
      <w:r w:rsidRPr="007B68F5">
        <w:rPr>
          <w:rFonts w:cs="Times New Roman"/>
          <w:lang w:val="en-GB"/>
        </w:rPr>
        <w:t>“</w:t>
      </w:r>
      <w:r w:rsidR="00064899" w:rsidRPr="0047036D">
        <w:rPr>
          <w:rStyle w:val="FootnoteReference"/>
          <w:rFonts w:cs="Times New Roman"/>
          <w:lang w:val="en-GB"/>
        </w:rPr>
        <w:t xml:space="preserve"> </w:t>
      </w:r>
      <w:r w:rsidR="00064899" w:rsidRPr="002D79FD">
        <w:rPr>
          <w:rStyle w:val="FootnoteReference"/>
          <w:rFonts w:cs="Times New Roman"/>
        </w:rPr>
        <w:footnoteReference w:id="61"/>
      </w:r>
      <w:r w:rsidRPr="007B68F5">
        <w:rPr>
          <w:rFonts w:cs="Times New Roman"/>
          <w:lang w:val="en-GB"/>
        </w:rPr>
        <w:t xml:space="preserve">  Furthermore, due to the ”Gonçalves</w:t>
      </w:r>
      <w:r w:rsidR="00064899">
        <w:rPr>
          <w:rFonts w:cs="Times New Roman"/>
          <w:lang w:val="en-GB"/>
        </w:rPr>
        <w:t>’</w:t>
      </w:r>
      <w:r w:rsidRPr="007B68F5">
        <w:rPr>
          <w:rFonts w:cs="Times New Roman"/>
          <w:lang w:val="en-GB"/>
        </w:rPr>
        <w:t xml:space="preserve"> assault" in 1975, with a wave of nationalizations and domination of the media by the extreme left, the law was not applied, either by the government or by the military, until the aftermath of the failed coup attempt of November 25, 1975, on the grounds that revolutionary legality had superseded the liberal dimension of the Press Law</w:t>
      </w:r>
      <w:r w:rsidR="00CC46FA" w:rsidRPr="002D79FD">
        <w:rPr>
          <w:rStyle w:val="FootnoteReference"/>
          <w:rFonts w:cs="Times New Roman"/>
        </w:rPr>
        <w:footnoteReference w:id="62"/>
      </w:r>
      <w:r w:rsidR="00CC46FA" w:rsidRPr="0047036D">
        <w:rPr>
          <w:rFonts w:cs="Times New Roman"/>
          <w:lang w:val="en-GB"/>
        </w:rPr>
        <w:t>.</w:t>
      </w:r>
    </w:p>
    <w:p w14:paraId="7DB79FD1" w14:textId="202E017C" w:rsidR="00DC2DEC" w:rsidRPr="00A9305B" w:rsidRDefault="00A9305B" w:rsidP="00172A3B">
      <w:pPr>
        <w:spacing w:line="480" w:lineRule="auto"/>
        <w:jc w:val="both"/>
        <w:rPr>
          <w:rFonts w:cs="Times New Roman"/>
          <w:lang w:val="en-GB"/>
        </w:rPr>
      </w:pPr>
      <w:r w:rsidRPr="00A9305B">
        <w:rPr>
          <w:rFonts w:cs="Times New Roman"/>
          <w:lang w:val="en-GB"/>
        </w:rPr>
        <w:t>Briefly, this law focused on the written press, which remained in force until it was replaced by the new Press Law approved in 1999 by Law No. 2/99 of January 13, and which underwent more than a dozen amendments during its approximately 24 years of validity. It established in addition to the direct relationship between freedom of the press and the democratic process</w:t>
      </w:r>
      <w:r w:rsidR="009E6A49" w:rsidRPr="00A9305B">
        <w:rPr>
          <w:rFonts w:cs="Times New Roman"/>
          <w:lang w:val="en-GB"/>
        </w:rPr>
        <w:t>:</w:t>
      </w:r>
    </w:p>
    <w:p w14:paraId="2B139C19" w14:textId="3B294E4E" w:rsidR="008925EB" w:rsidRPr="002D79FD" w:rsidRDefault="0073560D" w:rsidP="00172A3B">
      <w:pPr>
        <w:pStyle w:val="ListParagraph"/>
        <w:numPr>
          <w:ilvl w:val="0"/>
          <w:numId w:val="5"/>
        </w:numPr>
        <w:spacing w:line="480" w:lineRule="auto"/>
        <w:jc w:val="both"/>
        <w:rPr>
          <w:rFonts w:cs="Times New Roman"/>
        </w:rPr>
      </w:pPr>
      <w:r w:rsidRPr="0073560D">
        <w:rPr>
          <w:rFonts w:cs="Times New Roman"/>
          <w:lang w:val="en-GB"/>
        </w:rPr>
        <w:t>the guarantee of freedom of the press, with Article 4(1) emphasizing that “</w:t>
      </w:r>
      <w:r w:rsidRPr="0073560D">
        <w:rPr>
          <w:rFonts w:cs="Times New Roman"/>
          <w:i/>
          <w:iCs/>
          <w:lang w:val="en-GB"/>
        </w:rPr>
        <w:t>it shall be exercised without any form of censorship, authorization, deposit, or prior qualification</w:t>
      </w:r>
      <w:r w:rsidRPr="0073560D">
        <w:rPr>
          <w:rFonts w:cs="Times New Roman"/>
          <w:lang w:val="en-GB"/>
        </w:rPr>
        <w:t xml:space="preserve">.” </w:t>
      </w:r>
      <w:r w:rsidRPr="0073560D">
        <w:rPr>
          <w:rFonts w:cs="Times New Roman"/>
        </w:rPr>
        <w:t>No administrative punitive measures are provided for either</w:t>
      </w:r>
      <w:r w:rsidR="00BF08B4" w:rsidRPr="002D79FD">
        <w:rPr>
          <w:rFonts w:cs="Times New Roman"/>
        </w:rPr>
        <w:t>;</w:t>
      </w:r>
    </w:p>
    <w:p w14:paraId="6114828F" w14:textId="642D774D" w:rsidR="009D2172" w:rsidRPr="00597809" w:rsidRDefault="00597809" w:rsidP="00172A3B">
      <w:pPr>
        <w:pStyle w:val="ListParagraph"/>
        <w:numPr>
          <w:ilvl w:val="0"/>
          <w:numId w:val="5"/>
        </w:numPr>
        <w:spacing w:line="480" w:lineRule="auto"/>
        <w:jc w:val="both"/>
        <w:rPr>
          <w:rFonts w:cs="Times New Roman"/>
          <w:lang w:val="en-GB"/>
        </w:rPr>
      </w:pPr>
      <w:r w:rsidRPr="00597809">
        <w:rPr>
          <w:rFonts w:cs="Times New Roman"/>
          <w:lang w:val="en-GB"/>
        </w:rPr>
        <w:t xml:space="preserve">n extended right to information, in Article 1, providing for both the right to inform and to be informed, without discrimination, ensuring citizens various means of exercising their right to be </w:t>
      </w:r>
      <w:proofErr w:type="gramStart"/>
      <w:r w:rsidRPr="00597809">
        <w:rPr>
          <w:rFonts w:cs="Times New Roman"/>
          <w:lang w:val="en-GB"/>
        </w:rPr>
        <w:t>informed</w:t>
      </w:r>
      <w:r w:rsidR="00EC6561" w:rsidRPr="00597809">
        <w:rPr>
          <w:rFonts w:cs="Times New Roman"/>
          <w:lang w:val="en-GB"/>
        </w:rPr>
        <w:t>;</w:t>
      </w:r>
      <w:proofErr w:type="gramEnd"/>
      <w:r w:rsidR="009D2172" w:rsidRPr="00597809">
        <w:rPr>
          <w:rFonts w:cs="Times New Roman"/>
          <w:lang w:val="en-GB"/>
        </w:rPr>
        <w:t xml:space="preserve"> </w:t>
      </w:r>
    </w:p>
    <w:p w14:paraId="6821A53E" w14:textId="398A3411" w:rsidR="009D2172" w:rsidRPr="00C16923" w:rsidRDefault="00C16923" w:rsidP="00172A3B">
      <w:pPr>
        <w:pStyle w:val="ListParagraph"/>
        <w:numPr>
          <w:ilvl w:val="0"/>
          <w:numId w:val="5"/>
        </w:numPr>
        <w:spacing w:line="480" w:lineRule="auto"/>
        <w:jc w:val="both"/>
        <w:rPr>
          <w:rFonts w:cs="Times New Roman"/>
          <w:lang w:val="en-GB"/>
        </w:rPr>
      </w:pPr>
      <w:r w:rsidRPr="00C16923">
        <w:rPr>
          <w:rFonts w:cs="Times New Roman"/>
          <w:lang w:val="en-GB"/>
        </w:rPr>
        <w:lastRenderedPageBreak/>
        <w:t>restrictions on freedom of the press were established only by law (including general and military law), pursuant to Article 4(2), “</w:t>
      </w:r>
      <w:r w:rsidRPr="00C16923">
        <w:rPr>
          <w:rFonts w:cs="Times New Roman"/>
          <w:i/>
          <w:iCs/>
          <w:lang w:val="en-GB"/>
        </w:rPr>
        <w:t>in order to safeguard the moral integrity of citizens, to guarantee the objectivity and truthfulness of information, and to defend the public interest and democratic order.</w:t>
      </w:r>
      <w:r w:rsidRPr="00C16923">
        <w:rPr>
          <w:rFonts w:cs="Times New Roman"/>
          <w:lang w:val="en-GB"/>
        </w:rPr>
        <w:t xml:space="preserve">” In paragraph 3, and </w:t>
      </w:r>
      <w:proofErr w:type="gramStart"/>
      <w:r w:rsidRPr="00C16923">
        <w:rPr>
          <w:rFonts w:cs="Times New Roman"/>
          <w:lang w:val="en-GB"/>
        </w:rPr>
        <w:t>taking into account</w:t>
      </w:r>
      <w:proofErr w:type="gramEnd"/>
      <w:r w:rsidRPr="00C16923">
        <w:rPr>
          <w:rFonts w:cs="Times New Roman"/>
          <w:lang w:val="en-GB"/>
        </w:rPr>
        <w:t xml:space="preserve"> the historical context, it is expressly stated that “</w:t>
      </w:r>
      <w:r w:rsidRPr="00C16923">
        <w:rPr>
          <w:rFonts w:cs="Times New Roman"/>
          <w:i/>
          <w:iCs/>
          <w:lang w:val="en-GB"/>
        </w:rPr>
        <w:t xml:space="preserve">The discussion and criticism of political, social, and religious doctrines, of the laws and acts of the organs of sovereignty and public administration, as well as of the </w:t>
      </w:r>
      <w:proofErr w:type="spellStart"/>
      <w:r w:rsidRPr="00C16923">
        <w:rPr>
          <w:rFonts w:cs="Times New Roman"/>
          <w:i/>
          <w:iCs/>
          <w:lang w:val="en-GB"/>
        </w:rPr>
        <w:t>behavior</w:t>
      </w:r>
      <w:proofErr w:type="spellEnd"/>
      <w:r w:rsidRPr="00C16923">
        <w:rPr>
          <w:rFonts w:cs="Times New Roman"/>
          <w:i/>
          <w:iCs/>
          <w:lang w:val="en-GB"/>
        </w:rPr>
        <w:t xml:space="preserve"> of their agents, is lawful, provided that it is carried out in accordance with this Law</w:t>
      </w:r>
      <w:proofErr w:type="gramStart"/>
      <w:r w:rsidRPr="00C16923">
        <w:rPr>
          <w:rFonts w:cs="Times New Roman"/>
          <w:lang w:val="en-GB"/>
        </w:rPr>
        <w:t>”</w:t>
      </w:r>
      <w:r w:rsidR="004E12C6" w:rsidRPr="00C16923">
        <w:rPr>
          <w:rFonts w:cs="Times New Roman"/>
          <w:lang w:val="en-GB"/>
        </w:rPr>
        <w:t>;</w:t>
      </w:r>
      <w:proofErr w:type="gramEnd"/>
    </w:p>
    <w:p w14:paraId="3A6E7B38" w14:textId="7FD30242" w:rsidR="00C9184D" w:rsidRPr="002D79FD" w:rsidRDefault="009D09E0" w:rsidP="00172A3B">
      <w:pPr>
        <w:pStyle w:val="ListParagraph"/>
        <w:numPr>
          <w:ilvl w:val="0"/>
          <w:numId w:val="5"/>
        </w:numPr>
        <w:spacing w:line="480" w:lineRule="auto"/>
        <w:jc w:val="both"/>
        <w:rPr>
          <w:rFonts w:cs="Times New Roman"/>
        </w:rPr>
      </w:pPr>
      <w:r w:rsidRPr="009D09E0">
        <w:rPr>
          <w:rFonts w:cs="Times New Roman"/>
        </w:rPr>
        <w:t>the right of reply</w:t>
      </w:r>
      <w:r w:rsidR="00506C9B" w:rsidRPr="002D79FD">
        <w:rPr>
          <w:rFonts w:cs="Times New Roman"/>
        </w:rPr>
        <w:t>;</w:t>
      </w:r>
    </w:p>
    <w:p w14:paraId="6E9C47B0" w14:textId="12632CE1" w:rsidR="00D039BD" w:rsidRPr="00655991" w:rsidRDefault="00655991" w:rsidP="00172A3B">
      <w:pPr>
        <w:pStyle w:val="ListParagraph"/>
        <w:numPr>
          <w:ilvl w:val="0"/>
          <w:numId w:val="5"/>
        </w:numPr>
        <w:spacing w:line="480" w:lineRule="auto"/>
        <w:jc w:val="both"/>
        <w:rPr>
          <w:rFonts w:cs="Times New Roman"/>
          <w:lang w:val="en-GB"/>
        </w:rPr>
      </w:pPr>
      <w:r w:rsidRPr="00655991">
        <w:rPr>
          <w:rFonts w:cs="Times New Roman"/>
          <w:lang w:val="en-GB"/>
        </w:rPr>
        <w:t xml:space="preserve">the freedom to establish journalistic and publishing companies and the guarantee of free competition in the journalistic </w:t>
      </w:r>
      <w:proofErr w:type="gramStart"/>
      <w:r w:rsidRPr="00655991">
        <w:rPr>
          <w:rFonts w:cs="Times New Roman"/>
          <w:lang w:val="en-GB"/>
        </w:rPr>
        <w:t>market</w:t>
      </w:r>
      <w:r w:rsidR="00876F22" w:rsidRPr="00655991">
        <w:rPr>
          <w:rFonts w:cs="Times New Roman"/>
          <w:lang w:val="en-GB"/>
        </w:rPr>
        <w:t>;</w:t>
      </w:r>
      <w:proofErr w:type="gramEnd"/>
    </w:p>
    <w:p w14:paraId="1F6F27AC" w14:textId="523D0730" w:rsidR="004E12C6" w:rsidRPr="00EB46B4" w:rsidRDefault="00EB46B4" w:rsidP="00172A3B">
      <w:pPr>
        <w:pStyle w:val="ListParagraph"/>
        <w:numPr>
          <w:ilvl w:val="0"/>
          <w:numId w:val="5"/>
        </w:numPr>
        <w:spacing w:line="480" w:lineRule="auto"/>
        <w:jc w:val="both"/>
        <w:rPr>
          <w:rFonts w:cs="Times New Roman"/>
          <w:lang w:val="en-GB"/>
        </w:rPr>
      </w:pPr>
      <w:r w:rsidRPr="00EB46B4">
        <w:rPr>
          <w:rFonts w:cs="Times New Roman"/>
          <w:lang w:val="en-GB"/>
        </w:rPr>
        <w:t>the institutional framework for journalism, with the Journalist Statute (to be developed and regulated by a statute and a code of ethics), the structure of journalism companies, and the creation of a Press Council, inspired by the English Press Council, albeit with some peculiarities, as an independent co-regulatory body with a self-regulatory bent</w:t>
      </w:r>
      <w:r w:rsidRPr="002D79FD">
        <w:rPr>
          <w:rStyle w:val="FootnoteReference"/>
          <w:rFonts w:cs="Times New Roman"/>
        </w:rPr>
        <w:footnoteReference w:id="63"/>
      </w:r>
      <w:r w:rsidRPr="00EB46B4">
        <w:rPr>
          <w:rFonts w:cs="Times New Roman"/>
          <w:lang w:val="en-GB"/>
        </w:rPr>
        <w:t>, bringing together representatives of the press and Portuguese public opinion, with powers including the assessment of professional ethics issues or the issuance of recommendations or value judgments on complaints relating to the violation of personal rights, with eminently moral and soft power sanctions (with the obligation to publish opinions and recommendations by those concerned), especially with regard to the written press, but later extended to television and radio journalism</w:t>
      </w:r>
      <w:r w:rsidR="003124C8" w:rsidRPr="00EB46B4">
        <w:rPr>
          <w:rFonts w:cs="Times New Roman"/>
          <w:lang w:val="en-GB"/>
        </w:rPr>
        <w:t>;</w:t>
      </w:r>
    </w:p>
    <w:p w14:paraId="18F1BB14" w14:textId="385A1D3B" w:rsidR="009D2172" w:rsidRPr="00975E34" w:rsidRDefault="00975E34" w:rsidP="00172A3B">
      <w:pPr>
        <w:pStyle w:val="ListParagraph"/>
        <w:numPr>
          <w:ilvl w:val="0"/>
          <w:numId w:val="5"/>
        </w:numPr>
        <w:spacing w:line="480" w:lineRule="auto"/>
        <w:jc w:val="both"/>
        <w:rPr>
          <w:rFonts w:cs="Times New Roman"/>
          <w:lang w:val="en-GB"/>
        </w:rPr>
      </w:pPr>
      <w:proofErr w:type="spellStart"/>
      <w:r w:rsidRPr="00975E34">
        <w:rPr>
          <w:rFonts w:cs="Times New Roman"/>
          <w:lang w:val="en-GB"/>
        </w:rPr>
        <w:t>andatory</w:t>
      </w:r>
      <w:proofErr w:type="spellEnd"/>
      <w:r w:rsidRPr="00975E34">
        <w:rPr>
          <w:rFonts w:cs="Times New Roman"/>
          <w:lang w:val="en-GB"/>
        </w:rPr>
        <w:t xml:space="preserve"> prior and public registration for periodicals and national news organizations</w:t>
      </w:r>
      <w:r w:rsidR="009D2172" w:rsidRPr="00975E34">
        <w:rPr>
          <w:rFonts w:cs="Times New Roman"/>
          <w:lang w:val="en-GB"/>
        </w:rPr>
        <w:t>.</w:t>
      </w:r>
    </w:p>
    <w:p w14:paraId="0674E764" w14:textId="77777777" w:rsidR="009F231F" w:rsidRPr="009F231F" w:rsidRDefault="009F231F" w:rsidP="00172A3B">
      <w:pPr>
        <w:spacing w:line="480" w:lineRule="auto"/>
        <w:jc w:val="both"/>
        <w:rPr>
          <w:rFonts w:cs="Times New Roman"/>
          <w:lang w:val="en-GB"/>
        </w:rPr>
      </w:pPr>
      <w:r w:rsidRPr="009F231F">
        <w:rPr>
          <w:rFonts w:cs="Times New Roman"/>
          <w:lang w:val="en-GB"/>
        </w:rPr>
        <w:lastRenderedPageBreak/>
        <w:t xml:space="preserve">In terms of what concerns us here, namely the responsibility of journalists, the law, in addition to the aforementioned Article 66, which establishes a scattered set of diverse and vague offenses (such as insult, offense, or other unlawful attack on the Armed Forces Movement or its political program; or acts or facts that could seriously affect the maintenance or restoration of public order, because the content of the publication is likely to cause riots or serious damage), establishes an entire chapter, Chapter III, on forms of responsibility. </w:t>
      </w:r>
    </w:p>
    <w:p w14:paraId="19AFF833" w14:textId="4DDD9B07" w:rsidR="00081609" w:rsidRDefault="009F231F" w:rsidP="00172A3B">
      <w:pPr>
        <w:spacing w:line="480" w:lineRule="auto"/>
        <w:jc w:val="both"/>
        <w:rPr>
          <w:rFonts w:cs="Times New Roman"/>
          <w:lang w:val="en-GB"/>
        </w:rPr>
      </w:pPr>
      <w:r w:rsidRPr="009F231F">
        <w:rPr>
          <w:rFonts w:cs="Times New Roman"/>
          <w:lang w:val="en-GB"/>
        </w:rPr>
        <w:t xml:space="preserve">This chapter provides for civil liability in general terms and criminal liability for crimes of abuse of press freedom that result in acts or </w:t>
      </w:r>
      <w:proofErr w:type="spellStart"/>
      <w:r w:rsidRPr="009F231F">
        <w:rPr>
          <w:rFonts w:cs="Times New Roman"/>
          <w:lang w:val="en-GB"/>
        </w:rPr>
        <w:t>behavior</w:t>
      </w:r>
      <w:proofErr w:type="spellEnd"/>
      <w:r w:rsidRPr="009F231F">
        <w:rPr>
          <w:rFonts w:cs="Times New Roman"/>
          <w:lang w:val="en-GB"/>
        </w:rPr>
        <w:t xml:space="preserve"> harmful to legally protected interests and are committed through the publication of texts or images in the press. In this case, the author of the text or image, the editor of the periodical or their legal substitute, and the person responsible for the insertion are successively liable under the conditions defined in Article 26(2). It should be noted that, under the terms of Article 28, journalists may prove the truth of the facts in crimes of defamation and slander </w:t>
      </w:r>
      <w:proofErr w:type="gramStart"/>
      <w:r w:rsidRPr="009F231F">
        <w:rPr>
          <w:rFonts w:cs="Times New Roman"/>
          <w:lang w:val="en-GB"/>
        </w:rPr>
        <w:t>in order to</w:t>
      </w:r>
      <w:proofErr w:type="gramEnd"/>
      <w:r w:rsidRPr="009F231F">
        <w:rPr>
          <w:rFonts w:cs="Times New Roman"/>
          <w:lang w:val="en-GB"/>
        </w:rPr>
        <w:t xml:space="preserve"> be exempt from punishment. Criminal penalties may include a fine or imprisonment, depending on the case, but also the suspension of the newspaper or, for the editor of the newspaper, a five-year ban on editing any newspaper.</w:t>
      </w:r>
    </w:p>
    <w:p w14:paraId="1868A063" w14:textId="09623451" w:rsidR="00B829DD" w:rsidRPr="006A5786" w:rsidRDefault="00FC3361" w:rsidP="00172A3B">
      <w:pPr>
        <w:spacing w:line="480" w:lineRule="auto"/>
        <w:jc w:val="both"/>
        <w:rPr>
          <w:rFonts w:cs="Times New Roman"/>
          <w:lang w:val="en-GB"/>
        </w:rPr>
      </w:pPr>
      <w:r w:rsidRPr="00FC3361">
        <w:rPr>
          <w:rFonts w:cs="Times New Roman"/>
          <w:lang w:val="en-GB"/>
        </w:rPr>
        <w:t xml:space="preserve">This law, which came into effect in 1976, despite the nationalization of many media companies, despite the legal provision for their independence, was, as noted, subject to several amendments over the years, either for reasons of demilitarization or due to the privatization movement that emerged in the mid-1980s, either due to the production of new legislation or the modification of others, such as the regime of official notes, the Journalist Statute, the Radio and Television Laws, the new Code of Criminal Procedure of 1982, the “new” Penal Code in its 1995 version, or the abolition of the Press Council, which functioned as an independent press ombudsman, to create the High Authority for the Media </w:t>
      </w:r>
      <w:r w:rsidRPr="00FC3361">
        <w:rPr>
          <w:rFonts w:cs="Times New Roman"/>
          <w:lang w:val="en-GB"/>
        </w:rPr>
        <w:lastRenderedPageBreak/>
        <w:t>(AACS</w:t>
      </w:r>
      <w:r w:rsidR="006305E1">
        <w:rPr>
          <w:rStyle w:val="FootnoteReference"/>
          <w:rFonts w:cs="Times New Roman"/>
        </w:rPr>
        <w:footnoteReference w:id="64"/>
      </w:r>
      <w:r w:rsidRPr="00FC3361">
        <w:rPr>
          <w:rFonts w:cs="Times New Roman"/>
          <w:lang w:val="en-GB"/>
        </w:rPr>
        <w:t>) following the constitutional revision of 1989. Despite some setbacks in its application, the liberal spirit of the Press Law inspired the drafting of the 1976 Constitution, which thus imposed, against the will of the revolutionary military power, freedom of the press and a balance between this and the protection of privacy</w:t>
      </w:r>
      <w:r w:rsidR="006A5786" w:rsidRPr="002D79FD">
        <w:rPr>
          <w:rStyle w:val="FootnoteReference"/>
          <w:rFonts w:cs="Times New Roman"/>
        </w:rPr>
        <w:footnoteReference w:id="65"/>
      </w:r>
      <w:r w:rsidRPr="00FC3361">
        <w:rPr>
          <w:rFonts w:cs="Times New Roman"/>
          <w:lang w:val="en-GB"/>
        </w:rPr>
        <w:t xml:space="preserve"> and personal rights in general, making it a valuable instrument in the democratic process. Furthermore, it resisted restrictive temptations, even though some</w:t>
      </w:r>
      <w:r w:rsidR="006A5786" w:rsidRPr="002D79FD">
        <w:rPr>
          <w:rStyle w:val="FootnoteReference"/>
          <w:rFonts w:cs="Times New Roman"/>
        </w:rPr>
        <w:footnoteReference w:id="66"/>
      </w:r>
      <w:r w:rsidRPr="00FC3361">
        <w:rPr>
          <w:rFonts w:cs="Times New Roman"/>
          <w:lang w:val="en-GB"/>
        </w:rPr>
        <w:t xml:space="preserve"> argue, very critically, that the 1995 revision constituted an attack on freedom of the press by </w:t>
      </w:r>
      <w:proofErr w:type="gramStart"/>
      <w:r w:rsidRPr="00FC3361">
        <w:rPr>
          <w:rFonts w:cs="Times New Roman"/>
          <w:lang w:val="en-GB"/>
        </w:rPr>
        <w:t>the absolute majority of</w:t>
      </w:r>
      <w:proofErr w:type="gramEnd"/>
      <w:r w:rsidRPr="00FC3361">
        <w:rPr>
          <w:rFonts w:cs="Times New Roman"/>
          <w:lang w:val="en-GB"/>
        </w:rPr>
        <w:t xml:space="preserve"> the Right, which had been in power for several years and ended up falling at that very moment.</w:t>
      </w:r>
    </w:p>
    <w:p w14:paraId="2B434775" w14:textId="77777777" w:rsidR="00AD3675" w:rsidRPr="00AD3675" w:rsidRDefault="00AD3675" w:rsidP="00172A3B">
      <w:pPr>
        <w:spacing w:line="480" w:lineRule="auto"/>
        <w:jc w:val="both"/>
        <w:rPr>
          <w:rFonts w:cs="Times New Roman"/>
          <w:lang w:val="en-GB"/>
        </w:rPr>
      </w:pPr>
      <w:r w:rsidRPr="00AD3675">
        <w:rPr>
          <w:rFonts w:cs="Times New Roman"/>
          <w:lang w:val="en-GB"/>
        </w:rPr>
        <w:t>Its revocation and replacement in 1999 by a new law was mainly due to contextual developments, such as the privatization of the sector and pressure from economic interests, or the growth of new forms of communication and regulation, with new challenges for the press, as well as the process of European integration and economic liberalization. In other words, it is an exercise in modernization, without, however, seeking to modify the underlying liberal principles, which are enshrined in the Constitution, even if there are frequent attempts on the right and left to control the media, in the eternal struggle between politicians and journalists.</w:t>
      </w:r>
    </w:p>
    <w:p w14:paraId="3CABBC11" w14:textId="77777777" w:rsidR="00AD3675" w:rsidRDefault="00AD3675" w:rsidP="00172A3B">
      <w:pPr>
        <w:spacing w:line="480" w:lineRule="auto"/>
        <w:jc w:val="both"/>
        <w:rPr>
          <w:rFonts w:cs="Times New Roman"/>
          <w:lang w:val="en-GB"/>
        </w:rPr>
      </w:pPr>
      <w:r w:rsidRPr="00AD3675">
        <w:rPr>
          <w:rFonts w:cs="Times New Roman"/>
          <w:lang w:val="en-GB"/>
        </w:rPr>
        <w:t xml:space="preserve">The new Press Law, which has since been amended four times, most recently in 2015 by Law No. 78/2015 of July 29, is based, in principle, as already mentioned, on its predecessor and, naturally, on the 1976 Constitution with its amendments in this area. Nevertheless, it is worth highlighting the development of the right of reply and rectification in Articles 24 to 27 and Article 22, which specifically establishes the rights of journalists, essentially reinstating Articles 4 and 5 of the previous law, as well as Articles 18(4), 21, and 22 regarding </w:t>
      </w:r>
      <w:r w:rsidRPr="00AD3675">
        <w:rPr>
          <w:rFonts w:cs="Times New Roman"/>
          <w:lang w:val="en-GB"/>
        </w:rPr>
        <w:lastRenderedPageBreak/>
        <w:t>the right to participate in the orientation of the respective media organization (in this case through</w:t>
      </w:r>
      <w:r>
        <w:rPr>
          <w:rFonts w:cs="Times New Roman"/>
          <w:lang w:val="en-GB"/>
        </w:rPr>
        <w:t xml:space="preserve"> Newsrooms</w:t>
      </w:r>
      <w:r w:rsidRPr="00AD3675">
        <w:rPr>
          <w:rFonts w:cs="Times New Roman"/>
          <w:lang w:val="en-GB"/>
        </w:rPr>
        <w:t xml:space="preserve"> Boards).</w:t>
      </w:r>
    </w:p>
    <w:p w14:paraId="2D9342E2" w14:textId="41CCB785" w:rsidR="00A73913" w:rsidRPr="00A06595" w:rsidRDefault="00A06595" w:rsidP="00172A3B">
      <w:pPr>
        <w:spacing w:line="480" w:lineRule="auto"/>
        <w:jc w:val="both"/>
        <w:rPr>
          <w:rFonts w:cs="Times New Roman"/>
          <w:lang w:val="en-GB"/>
        </w:rPr>
      </w:pPr>
      <w:r w:rsidRPr="00A06595">
        <w:rPr>
          <w:rFonts w:cs="Times New Roman"/>
          <w:lang w:val="en-GB"/>
        </w:rPr>
        <w:t xml:space="preserve">In </w:t>
      </w:r>
      <w:proofErr w:type="spellStart"/>
      <w:r w:rsidRPr="00A06595">
        <w:rPr>
          <w:rFonts w:cs="Times New Roman"/>
          <w:lang w:val="en-GB"/>
        </w:rPr>
        <w:t>sofar</w:t>
      </w:r>
      <w:proofErr w:type="spellEnd"/>
      <w:r w:rsidRPr="00A06595">
        <w:rPr>
          <w:rFonts w:cs="Times New Roman"/>
          <w:lang w:val="en-GB"/>
        </w:rPr>
        <w:t xml:space="preserve"> as it is relevant here, the liability regime differs little from the previous one, providing for civil and criminal liability in general terms. Furthermore, Article 31 establishes, much like the previous solution, that the perpetrator of crimes committed through the press is the person who created the text or image whose publication constitutes an offense against protected legal rights, or the person who promoted it, in the case of non-consensual publications. Although not in a successive but additional, albeit conditional, logic, it is provided that the director, deputy director, assistant director, or whoever actually replaces them, as well as the publisher, in the case of non-periodical publications, who does not adequately oppose the commission of a crime through the press, when they are able to do so, shall be punished, even if the penalty is reduced by one-third. Furthermore, it is stipulated, in a different manner, that all those who, in the exercise of their profession, had a purely technical, subordinate, or routine involvement in the process of preparing or disseminating the publication containing the controversial writing or image are exempt from criminal liability.</w:t>
      </w:r>
      <w:r w:rsidR="00555CA0" w:rsidRPr="00A06595">
        <w:rPr>
          <w:rFonts w:cs="Times New Roman"/>
          <w:lang w:val="en-GB"/>
        </w:rPr>
        <w:t xml:space="preserve"> </w:t>
      </w:r>
    </w:p>
    <w:p w14:paraId="09839819" w14:textId="77777777" w:rsidR="00991D57" w:rsidRDefault="00991D57" w:rsidP="00172A3B">
      <w:pPr>
        <w:spacing w:line="480" w:lineRule="auto"/>
        <w:jc w:val="both"/>
        <w:rPr>
          <w:rFonts w:cs="Times New Roman"/>
          <w:lang w:val="en-GB"/>
        </w:rPr>
      </w:pPr>
      <w:r w:rsidRPr="00991D57">
        <w:rPr>
          <w:rFonts w:cs="Times New Roman"/>
          <w:lang w:val="en-GB"/>
        </w:rPr>
        <w:t>It should be stressed that the new framework does not contain any provisions regarding the crime of defamation or slander, which was developed in the previous law, particularly with regard to proving the truth of the alleged facts published, thus leaving the issue to the general rules of the Penal Code, which, in fact, represents a step backwards in this area.</w:t>
      </w:r>
    </w:p>
    <w:p w14:paraId="4AFC3459" w14:textId="44A7B205" w:rsidR="005B4215" w:rsidRPr="00AB672D" w:rsidRDefault="00AB672D" w:rsidP="00172A3B">
      <w:pPr>
        <w:spacing w:line="480" w:lineRule="auto"/>
        <w:jc w:val="both"/>
        <w:rPr>
          <w:rFonts w:cs="Times New Roman"/>
          <w:lang w:val="en-GB"/>
        </w:rPr>
      </w:pPr>
      <w:r w:rsidRPr="00AB672D">
        <w:rPr>
          <w:rFonts w:cs="Times New Roman"/>
          <w:lang w:val="en-GB"/>
        </w:rPr>
        <w:t xml:space="preserve">Complementing the Press Law, the Journalist Statute was introduced. In the 1975 law, its establishment was specifically provided for in Article 10, with general guidelines regarding its content, giving rise to Law No. 62/79 of September 20, which was later accompanied by the Regulation of the Professional Journalist's License, since the profession requires a specific qualification. With the New Press Law in 1999, the new Journalist Statute was also </w:t>
      </w:r>
      <w:r w:rsidRPr="00AB672D">
        <w:rPr>
          <w:rFonts w:cs="Times New Roman"/>
          <w:lang w:val="en-GB"/>
        </w:rPr>
        <w:lastRenderedPageBreak/>
        <w:t>published 12 days earlier, with Law No. 1/99 of January 1 (since amended in 2007 by Law No. 64/2007 of November 6), having previously published the new Regulations of the Professional Journalist Card Commission, approved on April 22, 1996, and amended in the meantime by Decree-Law No. 70/2008, of April 15. This joint publication helps to explain why the Press Law does not now contain a specific provision on this status, but only references in Articles 22 and 23.</w:t>
      </w:r>
    </w:p>
    <w:p w14:paraId="5B60BC42" w14:textId="1003594C" w:rsidR="007E1FCF" w:rsidRPr="000E567E" w:rsidRDefault="000E567E" w:rsidP="00172A3B">
      <w:pPr>
        <w:spacing w:line="480" w:lineRule="auto"/>
        <w:jc w:val="both"/>
        <w:rPr>
          <w:rFonts w:cs="Times New Roman"/>
          <w:lang w:val="en-GB"/>
        </w:rPr>
      </w:pPr>
      <w:r w:rsidRPr="000E567E">
        <w:rPr>
          <w:rFonts w:cs="Times New Roman"/>
          <w:lang w:val="en-GB"/>
        </w:rPr>
        <w:t>When comparing the two statutes, there is a clear distinction in the conceptual definition of a journalist, fewer barriers to entering the profession, and greater development and precision in terms of their rights and duties. In addition, provisions on foreign correspondents and collaborators in Portuguese-speaking communities were included, thereby broadening the geographical scope of the law, and in 2007, an amendment on the CCPJ was added. This institutionally changed access to the professional license, previously under the jurisdiction of the SJ, after a Constitutional Court ruling deemed this legal provision unconstitutional.</w:t>
      </w:r>
    </w:p>
    <w:p w14:paraId="22EACF66" w14:textId="77777777" w:rsidR="00DB0FBB" w:rsidRPr="00DB0FBB" w:rsidRDefault="00DB0FBB" w:rsidP="00172A3B">
      <w:pPr>
        <w:spacing w:line="480" w:lineRule="auto"/>
        <w:jc w:val="both"/>
        <w:rPr>
          <w:rFonts w:cs="Times New Roman"/>
          <w:lang w:val="en-GB"/>
        </w:rPr>
      </w:pPr>
      <w:r w:rsidRPr="00DB0FBB">
        <w:rPr>
          <w:rFonts w:cs="Times New Roman"/>
          <w:lang w:val="en-GB"/>
        </w:rPr>
        <w:t>As regards the first aspect, in terms of similarities, it is worth highlighting a definition based on the main, permanent, and remunerated activity, but also on the editorial scope/journalistic functions, associating both diplomas with the profession of performing journalistic functions (research, writing, reporting, selection, and processing of facts, news, or opinions). Furthermore, in both statutes, the scope of the media stands out, with journalistic activity being able to be carried out in newspapers, radio, television, news agencies, or other means of dissemination. Finally, both seek to establish objective criteria to distinguish journalists from other communication activities.</w:t>
      </w:r>
    </w:p>
    <w:p w14:paraId="2BF8D30A" w14:textId="77777777" w:rsidR="00EF6A52" w:rsidRDefault="00DB0FBB" w:rsidP="00172A3B">
      <w:pPr>
        <w:spacing w:line="480" w:lineRule="auto"/>
        <w:jc w:val="both"/>
        <w:rPr>
          <w:rFonts w:cs="Times New Roman"/>
          <w:lang w:val="en-GB"/>
        </w:rPr>
      </w:pPr>
      <w:r w:rsidRPr="00DB0FBB">
        <w:rPr>
          <w:rFonts w:cs="Times New Roman"/>
          <w:lang w:val="en-GB"/>
        </w:rPr>
        <w:t xml:space="preserve">In terms of differences, in terms of the structure and focus of the definition, the new Statute presents a more general and conceptual definition of journalist, focusing on editorial functions and the purpose of providing information, whereas the previous one was more </w:t>
      </w:r>
      <w:r w:rsidRPr="00DB0FBB">
        <w:rPr>
          <w:rFonts w:cs="Times New Roman"/>
          <w:lang w:val="en-GB"/>
        </w:rPr>
        <w:lastRenderedPageBreak/>
        <w:t xml:space="preserve">detailed and case-specific, expressly listing specific functions and not including an exclusion clause, unlike the current statute, which explicitly states that journalism does not include activities in the service of commercial or industrial publications.  On the other hand, unlike the previous statute, the 1999 statute retroactively recognizes journalists with </w:t>
      </w:r>
      <w:proofErr w:type="gramStart"/>
      <w:r w:rsidRPr="00DB0FBB">
        <w:rPr>
          <w:rFonts w:cs="Times New Roman"/>
          <w:lang w:val="en-GB"/>
        </w:rPr>
        <w:t>past experience</w:t>
      </w:r>
      <w:proofErr w:type="gramEnd"/>
      <w:r w:rsidRPr="00DB0FBB">
        <w:rPr>
          <w:rFonts w:cs="Times New Roman"/>
          <w:lang w:val="en-GB"/>
        </w:rPr>
        <w:t xml:space="preserve"> and does not distinguish between contractual regimes (employment or freelance), thus broadening the concept of journalist. In terms of </w:t>
      </w:r>
      <w:r w:rsidR="00EF6A52" w:rsidRPr="00DB0FBB">
        <w:rPr>
          <w:rFonts w:cs="Times New Roman"/>
          <w:lang w:val="en-GB"/>
        </w:rPr>
        <w:t>those equivalents</w:t>
      </w:r>
      <w:r w:rsidRPr="00DB0FBB">
        <w:rPr>
          <w:rFonts w:cs="Times New Roman"/>
          <w:lang w:val="en-GB"/>
        </w:rPr>
        <w:t xml:space="preserve"> to journalists, however, the new version is more restrictive, limiting itself to directors. Finally, the current version makes no explicit reference to journalists in management positions. As for incompatibilities, although much more detailed in the new law (due to the development of the sector and advertising) and adding local authorities, the two laws generally overlap, even though situations of exclusion from incompatibility are now established by negative means, the consequences of incompatibility are defined, and a cooling-off period is determined.</w:t>
      </w:r>
    </w:p>
    <w:p w14:paraId="115108B1" w14:textId="77777777" w:rsidR="002A3FFA" w:rsidRPr="002A3FFA" w:rsidRDefault="002A3FFA" w:rsidP="00172A3B">
      <w:pPr>
        <w:spacing w:line="480" w:lineRule="auto"/>
        <w:jc w:val="both"/>
        <w:rPr>
          <w:rFonts w:cs="Times New Roman"/>
          <w:lang w:val="en-GB"/>
        </w:rPr>
      </w:pPr>
      <w:r w:rsidRPr="002A3FFA">
        <w:rPr>
          <w:rFonts w:cs="Times New Roman"/>
          <w:lang w:val="en-GB"/>
        </w:rPr>
        <w:t xml:space="preserve">In summary, the 1999 Statute is more conceptual and inclusive (not least because it does not exclude those considered habitual offenders from practicing the profession), emphasizing the essence of the journalistic function and its necessary independence, particularly political and economic. </w:t>
      </w:r>
    </w:p>
    <w:p w14:paraId="74602E6D" w14:textId="77777777" w:rsidR="002A3FFA" w:rsidRPr="007A2A78" w:rsidRDefault="002A3FFA" w:rsidP="00172A3B">
      <w:pPr>
        <w:spacing w:line="480" w:lineRule="auto"/>
        <w:jc w:val="both"/>
        <w:rPr>
          <w:rFonts w:cs="Times New Roman"/>
          <w:lang w:val="en-GB"/>
        </w:rPr>
      </w:pPr>
      <w:r w:rsidRPr="002A3FFA">
        <w:rPr>
          <w:rFonts w:cs="Times New Roman"/>
          <w:lang w:val="en-GB"/>
        </w:rPr>
        <w:t xml:space="preserve">In terms of access, in addition to the degree that continues to be required, the new law provides for a shorter internship: instead of two years, one year for graduates in Media Studies or equivalent, and 18 months for others. </w:t>
      </w:r>
      <w:r w:rsidRPr="007A2A78">
        <w:rPr>
          <w:rFonts w:cs="Times New Roman"/>
          <w:lang w:val="en-GB"/>
        </w:rPr>
        <w:t>Furthermore, the internship is regulated. This is mainly due to changes in academic qualifications in Portugal and in the socio-demographic profile of journalists.</w:t>
      </w:r>
    </w:p>
    <w:p w14:paraId="31EA0350" w14:textId="77777777" w:rsidR="00636422" w:rsidRPr="00636422" w:rsidRDefault="00636422" w:rsidP="00172A3B">
      <w:pPr>
        <w:spacing w:line="480" w:lineRule="auto"/>
        <w:jc w:val="both"/>
        <w:rPr>
          <w:rFonts w:cs="Times New Roman"/>
          <w:lang w:val="en-GB"/>
        </w:rPr>
      </w:pPr>
      <w:r w:rsidRPr="00636422">
        <w:rPr>
          <w:rFonts w:cs="Times New Roman"/>
          <w:lang w:val="en-GB"/>
        </w:rPr>
        <w:t xml:space="preserve">As for the range of rights and duties, with regard to rights, in addition to reproducing in both statutes what is set forth in the Constitution and the Press Law, the 1999 Statute adds the right of access to public places, develops the exercise of the right of access to sources and </w:t>
      </w:r>
      <w:r w:rsidRPr="00636422">
        <w:rPr>
          <w:rFonts w:cs="Times New Roman"/>
          <w:lang w:val="en-GB"/>
        </w:rPr>
        <w:lastRenderedPageBreak/>
        <w:t xml:space="preserve">places, and deepens professional secrecy, independence, and the conscience clause. The 2007 revision adds a provision on freedom of creation and copyright, and another that develops the copyright of salaried journalists. </w:t>
      </w:r>
    </w:p>
    <w:p w14:paraId="798DDD7D" w14:textId="77777777" w:rsidR="00636422" w:rsidRPr="00636422" w:rsidRDefault="00636422" w:rsidP="00172A3B">
      <w:pPr>
        <w:spacing w:line="480" w:lineRule="auto"/>
        <w:jc w:val="both"/>
        <w:rPr>
          <w:rFonts w:cs="Times New Roman"/>
          <w:lang w:val="en-GB"/>
        </w:rPr>
      </w:pPr>
      <w:r w:rsidRPr="00636422">
        <w:rPr>
          <w:rFonts w:cs="Times New Roman"/>
          <w:lang w:val="en-GB"/>
        </w:rPr>
        <w:t>In terms of duties, both statutes require information to be provided with accuracy, impartiality, and objectivity, rejecting manipulation; respect for professional ethics and editorial status; and recognize a set of ethical duties that regulate journalistic activity. In terms of differences, the new version presents a very extensive and detailed list of duties (accuracy, refusal of censorship, independence, diversification of sources, confidentiality, respect for human dignity, privacy, prohibition of discrimination, presumption of innocence, not identifying victims, not using illicit means of gathering information, etc.) and includes very explicit exclusions as well as ethical duties that it expressly establishes, without, however, unlike the 1979 statute, explicitly mentioning the Constitution or the law as limits on journalistic activity. Furthermore, the 1999 Statute defines that the violation of ethical duties can only be sanctioned in the disciplinary sphere, without prejudice to civil or criminal liability, unlike the previous law, which did not mention a specific disciplinary regime, now defined in Article 21, only referring to a code of ethics to be approved by journalists themselves. In other words, the Statute is now very detailed and prescriptive, functioning almost as an “ethical manual” with concrete rules for the practice of journalism, seemingly obviating the need for an autonomous Code of Ethics and, therefore, removing its ethical normative dimension, subsuming it under the legal one.</w:t>
      </w:r>
    </w:p>
    <w:p w14:paraId="5A9CAE7E" w14:textId="77777777" w:rsidR="00636422" w:rsidRDefault="00636422" w:rsidP="00172A3B">
      <w:pPr>
        <w:spacing w:line="480" w:lineRule="auto"/>
        <w:jc w:val="both"/>
        <w:rPr>
          <w:rFonts w:cs="Times New Roman"/>
          <w:lang w:val="en-GB"/>
        </w:rPr>
      </w:pPr>
      <w:r w:rsidRPr="00636422">
        <w:rPr>
          <w:rFonts w:cs="Times New Roman"/>
          <w:lang w:val="en-GB"/>
        </w:rPr>
        <w:t>In a nutshell, legally, with some initial setbacks, the regulatory framework has ensured the consolidation of liberal ideals in terms of press freedom, balancing them with the protection of other constitutional rights and duties, which explain the provision for a system of disciplinary, civil, and criminal liability for journalists.</w:t>
      </w:r>
    </w:p>
    <w:p w14:paraId="57E552C4" w14:textId="6B8B5083" w:rsidR="004C7095" w:rsidRPr="007A2A78" w:rsidRDefault="00A307EE" w:rsidP="00172A3B">
      <w:pPr>
        <w:spacing w:line="480" w:lineRule="auto"/>
        <w:jc w:val="both"/>
        <w:rPr>
          <w:rFonts w:cs="Times New Roman"/>
          <w:b/>
          <w:bCs/>
          <w:lang w:val="en-GB"/>
        </w:rPr>
      </w:pPr>
      <w:r w:rsidRPr="00636422">
        <w:rPr>
          <w:rFonts w:cs="Times New Roman"/>
          <w:b/>
          <w:bCs/>
          <w:lang w:val="en-GB"/>
        </w:rPr>
        <w:lastRenderedPageBreak/>
        <w:br/>
      </w:r>
      <w:r w:rsidRPr="007A2A78">
        <w:rPr>
          <w:rFonts w:cs="Times New Roman"/>
          <w:b/>
          <w:bCs/>
          <w:lang w:val="en-GB"/>
        </w:rPr>
        <w:t>2.4. Europeanization and Supranational Influence</w:t>
      </w:r>
    </w:p>
    <w:p w14:paraId="0055A099" w14:textId="13581B33" w:rsidR="008B2044" w:rsidRDefault="008B2044" w:rsidP="00172A3B">
      <w:pPr>
        <w:spacing w:line="480" w:lineRule="auto"/>
        <w:jc w:val="both"/>
        <w:rPr>
          <w:rFonts w:cs="Times New Roman"/>
          <w:lang w:val="en-GB"/>
        </w:rPr>
      </w:pPr>
      <w:r w:rsidRPr="008B2044">
        <w:rPr>
          <w:rFonts w:cs="Times New Roman"/>
          <w:lang w:val="en-GB"/>
        </w:rPr>
        <w:t xml:space="preserve">It is not the purpose of this article to </w:t>
      </w:r>
      <w:proofErr w:type="spellStart"/>
      <w:r w:rsidRPr="008B2044">
        <w:rPr>
          <w:rFonts w:cs="Times New Roman"/>
          <w:lang w:val="en-GB"/>
        </w:rPr>
        <w:t>analyze</w:t>
      </w:r>
      <w:proofErr w:type="spellEnd"/>
      <w:r w:rsidRPr="008B2044">
        <w:rPr>
          <w:rFonts w:cs="Times New Roman"/>
          <w:lang w:val="en-GB"/>
        </w:rPr>
        <w:t xml:space="preserve"> European media law or journalism and </w:t>
      </w:r>
      <w:proofErr w:type="gramStart"/>
      <w:r w:rsidRPr="008B2044">
        <w:rPr>
          <w:rFonts w:cs="Times New Roman"/>
          <w:lang w:val="en-GB"/>
        </w:rPr>
        <w:t>journalists in particular</w:t>
      </w:r>
      <w:proofErr w:type="gramEnd"/>
      <w:r w:rsidRPr="008B2044">
        <w:rPr>
          <w:rFonts w:cs="Times New Roman"/>
          <w:lang w:val="en-GB"/>
        </w:rPr>
        <w:t xml:space="preserve">. For the purposes of this article, however, it is important to note that Portugal’s integration into the European Union added a supranational layer to its media law environment. </w:t>
      </w:r>
    </w:p>
    <w:p w14:paraId="2EAF0FF1" w14:textId="24B20F7C" w:rsidR="00D0586D" w:rsidRPr="00EE4904" w:rsidRDefault="00EE4904" w:rsidP="00172A3B">
      <w:pPr>
        <w:spacing w:line="480" w:lineRule="auto"/>
        <w:jc w:val="both"/>
        <w:rPr>
          <w:rFonts w:cs="Times New Roman"/>
          <w:lang w:val="en-GB"/>
        </w:rPr>
      </w:pPr>
      <w:r w:rsidRPr="00EE4904">
        <w:rPr>
          <w:rFonts w:cs="Times New Roman"/>
          <w:lang w:val="en-GB"/>
        </w:rPr>
        <w:t xml:space="preserve">Furthermore, despite the principle of economic neutrality, European options have in fact continually pushed Member States towards liberalization, privatization, and, consequently, towards ensuring free competition in markets, including journalism, albeit accompanied by a regulatory process that ensures respect for fundamental rights, services of general interest, and access to them. In view of the primacy of European law, the Portuguese Constitution has undergone several changes in this regard, eroding, </w:t>
      </w:r>
      <w:proofErr w:type="gramStart"/>
      <w:r w:rsidRPr="00EE4904">
        <w:rPr>
          <w:rFonts w:cs="Times New Roman"/>
          <w:lang w:val="en-GB"/>
        </w:rPr>
        <w:t>in particular,</w:t>
      </w:r>
      <w:proofErr w:type="gramEnd"/>
      <w:r w:rsidRPr="00EE4904">
        <w:rPr>
          <w:rFonts w:cs="Times New Roman"/>
          <w:lang w:val="en-GB"/>
        </w:rPr>
        <w:t xml:space="preserve"> the reservation of public ownership of certain media, namely television. It should be remembered that television and radio were nationalized by Decree-Laws No. 674-D/75 and No. 674-C/75, respectively, although in the case of radio, </w:t>
      </w:r>
      <w:proofErr w:type="spellStart"/>
      <w:r w:rsidRPr="00EE4904">
        <w:rPr>
          <w:rFonts w:cs="Times New Roman"/>
          <w:lang w:val="en-GB"/>
        </w:rPr>
        <w:t>Renascença</w:t>
      </w:r>
      <w:proofErr w:type="spellEnd"/>
      <w:r w:rsidRPr="00EE4904">
        <w:rPr>
          <w:rFonts w:cs="Times New Roman"/>
          <w:lang w:val="en-GB"/>
        </w:rPr>
        <w:t xml:space="preserve"> radio was allowed to remain in the hands of the Church. Furthermore, Article 38(6) of the CRP, in its original version, established that “</w:t>
      </w:r>
      <w:r w:rsidRPr="009B212F">
        <w:rPr>
          <w:rFonts w:cs="Times New Roman"/>
          <w:i/>
          <w:iCs/>
          <w:lang w:val="en-GB"/>
        </w:rPr>
        <w:t>television cannot be privately owned</w:t>
      </w:r>
      <w:r w:rsidRPr="00EE4904">
        <w:rPr>
          <w:rFonts w:cs="Times New Roman"/>
          <w:lang w:val="en-GB"/>
        </w:rPr>
        <w:t xml:space="preserve">” and Article 83 provided for the irreversibility of nationalizations, which led to the nationalization of the media, as a monopoly on TV and a duopoly on radio. However, the constitutional amendments of 1982 and 1989, namely with the introduction and clarification of Article 293 concerning the reprivatization of assets nationalized after April 25, 1974, driven by the need to bring the Portuguese constitutional framework into line with European law (both to allow accession and to avoid embarrassing problems of regulatory conflicts between </w:t>
      </w:r>
      <w:r w:rsidR="00EA20CE">
        <w:rPr>
          <w:rFonts w:cs="Times New Roman"/>
          <w:lang w:val="en-GB"/>
        </w:rPr>
        <w:t xml:space="preserve">the CRP </w:t>
      </w:r>
      <w:r w:rsidRPr="00EE4904">
        <w:rPr>
          <w:rFonts w:cs="Times New Roman"/>
          <w:lang w:val="en-GB"/>
        </w:rPr>
        <w:t xml:space="preserve">and the </w:t>
      </w:r>
      <w:r w:rsidRPr="00EA20CE">
        <w:rPr>
          <w:rFonts w:cs="Times New Roman"/>
          <w:i/>
          <w:iCs/>
          <w:lang w:val="en-GB"/>
        </w:rPr>
        <w:t xml:space="preserve">acquis </w:t>
      </w:r>
      <w:proofErr w:type="spellStart"/>
      <w:r w:rsidRPr="00EA20CE">
        <w:rPr>
          <w:rFonts w:cs="Times New Roman"/>
          <w:i/>
          <w:iCs/>
          <w:lang w:val="en-GB"/>
        </w:rPr>
        <w:t>communautaire</w:t>
      </w:r>
      <w:proofErr w:type="spellEnd"/>
      <w:r w:rsidRPr="00EE4904">
        <w:rPr>
          <w:rFonts w:cs="Times New Roman"/>
          <w:lang w:val="en-GB"/>
        </w:rPr>
        <w:t xml:space="preserve">, in the logic of primacy) promote economic liberalization and a movement of (re)privatization, enhancing competition and, consequently, the need to </w:t>
      </w:r>
      <w:r w:rsidRPr="00EE4904">
        <w:rPr>
          <w:rFonts w:cs="Times New Roman"/>
          <w:lang w:val="en-GB"/>
        </w:rPr>
        <w:lastRenderedPageBreak/>
        <w:t xml:space="preserve">create and institutionalize an independent entity for the regulation of the sector, the AACS, with Law No. 15/90. Thus, especially in the early 1990s, </w:t>
      </w:r>
      <w:r w:rsidR="003B0961">
        <w:rPr>
          <w:rFonts w:cs="Times New Roman"/>
          <w:lang w:val="en-GB"/>
        </w:rPr>
        <w:t xml:space="preserve">we </w:t>
      </w:r>
      <w:r w:rsidRPr="00EE4904">
        <w:rPr>
          <w:rFonts w:cs="Times New Roman"/>
          <w:lang w:val="en-GB"/>
        </w:rPr>
        <w:t xml:space="preserve">saw the emergence of two private television channels following the entry into force of the Television Law (Law No. 58/90), the privatization of </w:t>
      </w:r>
      <w:proofErr w:type="spellStart"/>
      <w:r w:rsidRPr="00EE4904">
        <w:rPr>
          <w:rFonts w:cs="Times New Roman"/>
          <w:lang w:val="en-GB"/>
        </w:rPr>
        <w:t>Rádio</w:t>
      </w:r>
      <w:proofErr w:type="spellEnd"/>
      <w:r w:rsidRPr="00EE4904">
        <w:rPr>
          <w:rFonts w:cs="Times New Roman"/>
          <w:lang w:val="en-GB"/>
        </w:rPr>
        <w:t xml:space="preserve"> </w:t>
      </w:r>
      <w:proofErr w:type="spellStart"/>
      <w:r w:rsidRPr="00EE4904">
        <w:rPr>
          <w:rFonts w:cs="Times New Roman"/>
          <w:lang w:val="en-GB"/>
        </w:rPr>
        <w:t>Comercial</w:t>
      </w:r>
      <w:proofErr w:type="spellEnd"/>
      <w:r w:rsidRPr="00EE4904">
        <w:rPr>
          <w:rFonts w:cs="Times New Roman"/>
          <w:lang w:val="en-GB"/>
        </w:rPr>
        <w:t xml:space="preserve"> and the allocation of hundreds of new frequencies, the reprivatization of several newspapers, and the emergence of new publishing projects and specialized press</w:t>
      </w:r>
      <w:r w:rsidR="000A7784" w:rsidRPr="002D79FD">
        <w:rPr>
          <w:rStyle w:val="FootnoteReference"/>
          <w:rFonts w:cs="Times New Roman"/>
        </w:rPr>
        <w:footnoteReference w:id="67"/>
      </w:r>
      <w:r w:rsidR="000A7784" w:rsidRPr="00EE4904">
        <w:rPr>
          <w:rFonts w:cs="Times New Roman"/>
          <w:lang w:val="en-GB"/>
        </w:rPr>
        <w:t>.</w:t>
      </w:r>
    </w:p>
    <w:p w14:paraId="42FAC6B4" w14:textId="70E9F8C5" w:rsidR="006D7245" w:rsidRDefault="0016092D" w:rsidP="00172A3B">
      <w:pPr>
        <w:spacing w:line="480" w:lineRule="auto"/>
        <w:jc w:val="both"/>
        <w:rPr>
          <w:rFonts w:cs="Times New Roman"/>
          <w:lang w:val="en-GB"/>
        </w:rPr>
      </w:pPr>
      <w:r w:rsidRPr="0016092D">
        <w:rPr>
          <w:rFonts w:cs="Times New Roman"/>
          <w:lang w:val="en-GB"/>
        </w:rPr>
        <w:t>Similarly, European law has had a significant influence on the legal treatment of journalists' copyright</w:t>
      </w:r>
      <w:r w:rsidR="0008612A" w:rsidRPr="002D79FD">
        <w:rPr>
          <w:rStyle w:val="FootnoteReference"/>
          <w:rFonts w:cs="Times New Roman"/>
        </w:rPr>
        <w:footnoteReference w:id="68"/>
      </w:r>
      <w:r w:rsidR="007C1EB4" w:rsidRPr="0016092D">
        <w:rPr>
          <w:rFonts w:cs="Times New Roman"/>
          <w:lang w:val="en-GB"/>
        </w:rPr>
        <w:t>.</w:t>
      </w:r>
    </w:p>
    <w:p w14:paraId="0B82E2A1" w14:textId="1A3CB9F1" w:rsidR="00CC1E73" w:rsidRPr="00CA25BF" w:rsidRDefault="00CA25BF" w:rsidP="00172A3B">
      <w:pPr>
        <w:spacing w:line="480" w:lineRule="auto"/>
        <w:jc w:val="both"/>
        <w:rPr>
          <w:rFonts w:cs="Times New Roman"/>
          <w:lang w:val="en-GB"/>
        </w:rPr>
      </w:pPr>
      <w:r w:rsidRPr="00CA25BF">
        <w:rPr>
          <w:rFonts w:cs="Times New Roman"/>
          <w:lang w:val="en-GB"/>
        </w:rPr>
        <w:t xml:space="preserve">In this regard, it is worth recalling the Charter of Fundamental Rights, particularly Article 11, which enshrines freedom of expression and information and serves as the legal basis for various pieces of legislation regulating the media in the EU, seeking to combat growing concerns about the decline of press freedom in some Member States. European law has thus sought to foster a freer, more independent, and more pluralistic media environment, </w:t>
      </w:r>
      <w:proofErr w:type="gramStart"/>
      <w:r w:rsidRPr="00CA25BF">
        <w:rPr>
          <w:rFonts w:cs="Times New Roman"/>
          <w:lang w:val="en-GB"/>
        </w:rPr>
        <w:t>in particular by</w:t>
      </w:r>
      <w:proofErr w:type="gramEnd"/>
      <w:r w:rsidRPr="00CA25BF">
        <w:rPr>
          <w:rFonts w:cs="Times New Roman"/>
          <w:lang w:val="en-GB"/>
        </w:rPr>
        <w:t xml:space="preserve"> promoting the independence of media regulatory authorities, transparency of media ownership, transparency and fairness in the allocation of state advertising, the safety of journalists, and access to information. This European framework for supporting media freedom in the EU is currently based on initiatives such as the Digital Services Package, the Action Plan for Media and the Audiovisual Sector, the Action Plan for European </w:t>
      </w:r>
      <w:r w:rsidRPr="00CA25BF">
        <w:rPr>
          <w:rFonts w:cs="Times New Roman"/>
          <w:lang w:val="en-GB"/>
        </w:rPr>
        <w:lastRenderedPageBreak/>
        <w:t>Democracy, and the Council Conclusions on the protection and safety of journalists and other media professionals</w:t>
      </w:r>
      <w:r w:rsidRPr="002D79FD">
        <w:rPr>
          <w:rStyle w:val="FootnoteReference"/>
          <w:rFonts w:cs="Times New Roman"/>
        </w:rPr>
        <w:footnoteReference w:id="69"/>
      </w:r>
      <w:r w:rsidRPr="00CA25BF">
        <w:rPr>
          <w:rFonts w:cs="Times New Roman"/>
          <w:lang w:val="en-GB"/>
        </w:rPr>
        <w:t>, in an unprecedented regulatory effort</w:t>
      </w:r>
      <w:r w:rsidR="001919BB" w:rsidRPr="00CA25BF">
        <w:rPr>
          <w:rFonts w:cs="Times New Roman"/>
          <w:lang w:val="en-GB"/>
        </w:rPr>
        <w:t>.</w:t>
      </w:r>
      <w:r w:rsidR="001919BB" w:rsidRPr="002D79FD">
        <w:rPr>
          <w:rStyle w:val="FootnoteReference"/>
          <w:rFonts w:cs="Times New Roman"/>
        </w:rPr>
        <w:footnoteReference w:id="70"/>
      </w:r>
    </w:p>
    <w:p w14:paraId="0C1CC8D7" w14:textId="1F0EDFAD" w:rsidR="004763E0" w:rsidRPr="00E657A9" w:rsidRDefault="00AB0898" w:rsidP="00172A3B">
      <w:pPr>
        <w:spacing w:line="480" w:lineRule="auto"/>
        <w:jc w:val="both"/>
        <w:rPr>
          <w:rFonts w:cs="Times New Roman"/>
          <w:lang w:val="en-GB"/>
        </w:rPr>
      </w:pPr>
      <w:r w:rsidRPr="002D79FD">
        <w:rPr>
          <w:rFonts w:cs="Times New Roman"/>
          <w:lang w:val="en-GB"/>
        </w:rPr>
        <w:t>Hence</w:t>
      </w:r>
      <w:r w:rsidR="00CC1E73" w:rsidRPr="002D79FD">
        <w:rPr>
          <w:rFonts w:cs="Times New Roman"/>
          <w:lang w:val="en-GB"/>
        </w:rPr>
        <w:t xml:space="preserve">, </w:t>
      </w:r>
      <w:r w:rsidR="001854DE" w:rsidRPr="002D79FD">
        <w:rPr>
          <w:rFonts w:cs="Times New Roman"/>
          <w:lang w:val="en-GB"/>
        </w:rPr>
        <w:t>d</w:t>
      </w:r>
      <w:r w:rsidR="00E22223" w:rsidRPr="002D79FD">
        <w:rPr>
          <w:rFonts w:cs="Times New Roman"/>
          <w:lang w:val="en-GB"/>
        </w:rPr>
        <w:t>irectives such as the Audiovisual Media Services Directive</w:t>
      </w:r>
      <w:r w:rsidR="00521C9C" w:rsidRPr="002D79FD">
        <w:rPr>
          <w:rStyle w:val="FootnoteReference"/>
          <w:rFonts w:cs="Times New Roman"/>
          <w:lang w:val="en-GB"/>
        </w:rPr>
        <w:footnoteReference w:id="71"/>
      </w:r>
      <w:r w:rsidR="00E22223" w:rsidRPr="002D79FD">
        <w:rPr>
          <w:rFonts w:cs="Times New Roman"/>
          <w:lang w:val="en-GB"/>
        </w:rPr>
        <w:t>, and more recently the</w:t>
      </w:r>
      <w:r w:rsidR="00BE7DFF" w:rsidRPr="002D79FD">
        <w:rPr>
          <w:rFonts w:cs="Times New Roman"/>
          <w:lang w:val="en-GB"/>
        </w:rPr>
        <w:t xml:space="preserve"> anti-SLAPP Directive</w:t>
      </w:r>
      <w:r w:rsidR="00A57695" w:rsidRPr="002D79FD">
        <w:rPr>
          <w:rStyle w:val="FootnoteReference"/>
          <w:rFonts w:cs="Times New Roman"/>
          <w:lang w:val="en-GB"/>
        </w:rPr>
        <w:footnoteReference w:id="72"/>
      </w:r>
      <w:r w:rsidR="00BE7DFF" w:rsidRPr="002D79FD">
        <w:rPr>
          <w:rFonts w:cs="Times New Roman"/>
          <w:lang w:val="en-GB"/>
        </w:rPr>
        <w:t>,</w:t>
      </w:r>
      <w:r w:rsidR="00E22223" w:rsidRPr="002D79FD">
        <w:rPr>
          <w:rFonts w:cs="Times New Roman"/>
          <w:lang w:val="en-GB"/>
        </w:rPr>
        <w:t xml:space="preserve"> Digital Services Act</w:t>
      </w:r>
      <w:r w:rsidR="0051779A" w:rsidRPr="002D79FD">
        <w:rPr>
          <w:rFonts w:cs="Times New Roman"/>
          <w:lang w:val="en-GB"/>
        </w:rPr>
        <w:t xml:space="preserve"> (DSA)</w:t>
      </w:r>
      <w:r w:rsidR="0010371C" w:rsidRPr="002D79FD">
        <w:rPr>
          <w:rStyle w:val="FootnoteReference"/>
          <w:rFonts w:cs="Times New Roman"/>
          <w:lang w:val="en-GB"/>
        </w:rPr>
        <w:footnoteReference w:id="73"/>
      </w:r>
      <w:r w:rsidR="00E22223" w:rsidRPr="002D79FD">
        <w:rPr>
          <w:rFonts w:cs="Times New Roman"/>
          <w:lang w:val="en-GB"/>
        </w:rPr>
        <w:t xml:space="preserve"> and the European Media Freedom Act</w:t>
      </w:r>
      <w:r w:rsidR="00AD4240" w:rsidRPr="002D79FD">
        <w:rPr>
          <w:rFonts w:cs="Times New Roman"/>
          <w:lang w:val="en-GB"/>
        </w:rPr>
        <w:t xml:space="preserve"> (EMFA)</w:t>
      </w:r>
      <w:r w:rsidR="00A57695" w:rsidRPr="002D79FD">
        <w:rPr>
          <w:rStyle w:val="FootnoteReference"/>
          <w:rFonts w:cs="Times New Roman"/>
          <w:lang w:val="en-GB"/>
        </w:rPr>
        <w:footnoteReference w:id="74"/>
      </w:r>
      <w:r w:rsidR="00E22223" w:rsidRPr="002D79FD">
        <w:rPr>
          <w:rFonts w:cs="Times New Roman"/>
          <w:lang w:val="en-GB"/>
        </w:rPr>
        <w:t>, have introduced obligations related to transparency, pluralism, and digital accountability</w:t>
      </w:r>
      <w:r w:rsidR="00BE7DFF" w:rsidRPr="002D79FD">
        <w:rPr>
          <w:rFonts w:cs="Times New Roman"/>
          <w:lang w:val="en-GB"/>
        </w:rPr>
        <w:t xml:space="preserve"> and reinforced </w:t>
      </w:r>
      <w:r w:rsidR="00AF416E" w:rsidRPr="002D79FD">
        <w:rPr>
          <w:rFonts w:cs="Times New Roman"/>
          <w:lang w:val="en-GB"/>
        </w:rPr>
        <w:t>journalists’</w:t>
      </w:r>
      <w:r w:rsidR="00BE7DFF" w:rsidRPr="002D79FD">
        <w:rPr>
          <w:rFonts w:cs="Times New Roman"/>
          <w:lang w:val="en-GB"/>
        </w:rPr>
        <w:t xml:space="preserve"> rights</w:t>
      </w:r>
      <w:r w:rsidR="00E22223" w:rsidRPr="002D79FD">
        <w:rPr>
          <w:rFonts w:cs="Times New Roman"/>
          <w:lang w:val="en-GB"/>
        </w:rPr>
        <w:t xml:space="preserve">. </w:t>
      </w:r>
      <w:r w:rsidR="00E657A9" w:rsidRPr="00E657A9">
        <w:rPr>
          <w:rFonts w:cs="Times New Roman"/>
          <w:lang w:val="en-GB"/>
        </w:rPr>
        <w:t>Without prejudice to returning to some of these laws, it should be highlighted that</w:t>
      </w:r>
      <w:r w:rsidR="006B1DE1" w:rsidRPr="00E657A9">
        <w:rPr>
          <w:rFonts w:cs="Times New Roman"/>
          <w:lang w:val="en-GB"/>
        </w:rPr>
        <w:t xml:space="preserve">: </w:t>
      </w:r>
    </w:p>
    <w:p w14:paraId="3C651AFB" w14:textId="531FABB8" w:rsidR="001B2BC5" w:rsidRPr="00987196" w:rsidRDefault="00483CD0" w:rsidP="00172A3B">
      <w:pPr>
        <w:pStyle w:val="ListParagraph"/>
        <w:numPr>
          <w:ilvl w:val="0"/>
          <w:numId w:val="15"/>
        </w:numPr>
        <w:spacing w:line="480" w:lineRule="auto"/>
        <w:jc w:val="both"/>
        <w:rPr>
          <w:rFonts w:cs="Times New Roman"/>
          <w:lang w:val="en-GB"/>
        </w:rPr>
      </w:pPr>
      <w:r w:rsidRPr="002D79FD">
        <w:rPr>
          <w:rFonts w:cs="Times New Roman"/>
          <w:lang w:val="en-GB"/>
        </w:rPr>
        <w:t>The Audiovisual Media Services Directive</w:t>
      </w:r>
      <w:r w:rsidR="00F74C76" w:rsidRPr="002D79FD">
        <w:rPr>
          <w:rFonts w:cs="Times New Roman"/>
          <w:lang w:val="en-GB"/>
        </w:rPr>
        <w:t xml:space="preserve"> (AMVS)</w:t>
      </w:r>
      <w:r w:rsidRPr="002D79FD">
        <w:rPr>
          <w:rFonts w:cs="Times New Roman"/>
          <w:lang w:val="en-GB"/>
        </w:rPr>
        <w:t xml:space="preserve"> sets out rules for audiovisual media services, including traditional TV broadcasts, on-demand video services (like Netflix), and video-sharing platforms (like YouTube). The directive, last revised in 2018, aims to update regulations for the digital age by extending rules to online services, promoting European content, protecting minors and the public from hate speech, and ensuring the independence of national regulators.</w:t>
      </w:r>
      <w:r w:rsidR="00B046FF" w:rsidRPr="002D79FD">
        <w:rPr>
          <w:rFonts w:cs="Times New Roman"/>
          <w:lang w:val="en-GB"/>
        </w:rPr>
        <w:t xml:space="preserve"> </w:t>
      </w:r>
      <w:r w:rsidR="00703827" w:rsidRPr="00703827">
        <w:rPr>
          <w:rFonts w:cs="Times New Roman"/>
          <w:lang w:val="en-GB"/>
        </w:rPr>
        <w:t xml:space="preserve">The Commission </w:t>
      </w:r>
      <w:r w:rsidR="00703827" w:rsidRPr="00703827">
        <w:rPr>
          <w:rFonts w:cs="Times New Roman"/>
          <w:lang w:val="en-GB"/>
        </w:rPr>
        <w:lastRenderedPageBreak/>
        <w:t>Report on the application of the AVMS Directive</w:t>
      </w:r>
      <w:r w:rsidR="00703827" w:rsidRPr="002D79FD">
        <w:rPr>
          <w:rStyle w:val="FootnoteReference"/>
          <w:rFonts w:cs="Times New Roman"/>
        </w:rPr>
        <w:footnoteReference w:id="75"/>
      </w:r>
      <w:r w:rsidR="00703827" w:rsidRPr="00703827">
        <w:rPr>
          <w:rFonts w:cs="Times New Roman"/>
          <w:lang w:val="en-GB"/>
        </w:rPr>
        <w:t xml:space="preserve"> considers that it remains a key instrument for harmonizing the rules applicable to audiovisual services and coordinating national legislative initiatives on audiovisual media in the European Union. It should be stressed that the report points out, among other things, the strengthening of the protection of minors, the development of self- and co-regulation initiatives in Member States, and the absence of significant problems with the independence or impartiality of national regulatory and supervisory authorities, although problems with a lack of financial and human resources have been reported, which could ultimately affect compliance with the requirements of the AVMS Directive and, currently, the EMFA</w:t>
      </w:r>
      <w:r w:rsidR="00302427" w:rsidRPr="00987196">
        <w:rPr>
          <w:rFonts w:cs="Times New Roman"/>
          <w:lang w:val="en-GB"/>
        </w:rPr>
        <w:t xml:space="preserve">. </w:t>
      </w:r>
    </w:p>
    <w:p w14:paraId="1D5B868A" w14:textId="7AF2249F" w:rsidR="004763E0" w:rsidRPr="002D79FD" w:rsidRDefault="00145A61" w:rsidP="00172A3B">
      <w:pPr>
        <w:pStyle w:val="ListParagraph"/>
        <w:numPr>
          <w:ilvl w:val="0"/>
          <w:numId w:val="15"/>
        </w:numPr>
        <w:spacing w:line="480" w:lineRule="auto"/>
        <w:jc w:val="both"/>
        <w:rPr>
          <w:rFonts w:cs="Times New Roman"/>
          <w:lang w:val="en-GB"/>
        </w:rPr>
      </w:pPr>
      <w:r w:rsidRPr="00145A61">
        <w:rPr>
          <w:rFonts w:cs="Times New Roman"/>
          <w:lang w:val="en-GB"/>
        </w:rPr>
        <w:t xml:space="preserve">The anti-SLAPP </w:t>
      </w:r>
      <w:r w:rsidR="008C6964">
        <w:rPr>
          <w:rFonts w:cs="Times New Roman"/>
          <w:lang w:val="en-GB"/>
        </w:rPr>
        <w:t>D</w:t>
      </w:r>
      <w:r w:rsidRPr="00145A61">
        <w:rPr>
          <w:rFonts w:cs="Times New Roman"/>
          <w:lang w:val="en-GB"/>
        </w:rPr>
        <w:t xml:space="preserve">irective protects journalists and other persons involved in public participation against manifestly unfounded or abusive legal actions aimed at silencing their activity, involving </w:t>
      </w:r>
      <w:proofErr w:type="gramStart"/>
      <w:r w:rsidRPr="00145A61">
        <w:rPr>
          <w:rFonts w:cs="Times New Roman"/>
          <w:lang w:val="en-GB"/>
        </w:rPr>
        <w:t>in particular defamation</w:t>
      </w:r>
      <w:proofErr w:type="gramEnd"/>
      <w:r w:rsidRPr="00145A61">
        <w:rPr>
          <w:rFonts w:cs="Times New Roman"/>
          <w:lang w:val="en-GB"/>
        </w:rPr>
        <w:t xml:space="preserve"> or infringement of privacy. The main aspects of the anti-SLAPP Directive include the introduction of a mechanism for the summary dismissal of manifestly unfounded claims and corrective measures against abusive legal proceedings against public participation, namely the right to recover costs incurred by the defendant, compensation for damages caused by abusive proceedings, and the publication of the court decision by the party who brought the action. This new type of procedural solution in Europe, which has already existed for some time in the United States and Canada, nevertheless presents some obstacles to its application at the European level and in Portugal in particular. First, according to its Article 1</w:t>
      </w:r>
      <w:r w:rsidR="00AC46EE">
        <w:rPr>
          <w:rFonts w:cs="Times New Roman"/>
          <w:lang w:val="en-GB"/>
        </w:rPr>
        <w:t xml:space="preserve">, </w:t>
      </w:r>
      <w:r w:rsidR="00C626AE">
        <w:rPr>
          <w:rFonts w:cs="Times New Roman"/>
          <w:lang w:val="en-GB"/>
        </w:rPr>
        <w:t>the Directive</w:t>
      </w:r>
      <w:r w:rsidR="00701A92" w:rsidRPr="002D79FD">
        <w:rPr>
          <w:rFonts w:cs="Times New Roman"/>
          <w:lang w:val="en-GB"/>
        </w:rPr>
        <w:t xml:space="preserve"> </w:t>
      </w:r>
      <w:r w:rsidR="00C811CB" w:rsidRPr="002D79FD">
        <w:rPr>
          <w:rFonts w:cs="Times New Roman"/>
          <w:lang w:val="en-GB"/>
        </w:rPr>
        <w:t xml:space="preserve">applies to </w:t>
      </w:r>
      <w:r w:rsidR="00C811CB" w:rsidRPr="002D79FD">
        <w:rPr>
          <w:rFonts w:cs="Times New Roman"/>
          <w:lang w:val="en-GB"/>
        </w:rPr>
        <w:lastRenderedPageBreak/>
        <w:t xml:space="preserve">manifestly unfounded claims or abusive court proceedings in civil matters with cross-border implications. Therefore, it </w:t>
      </w:r>
      <w:r w:rsidR="008A6ABC" w:rsidRPr="002D79FD">
        <w:rPr>
          <w:rFonts w:cs="Times New Roman"/>
          <w:lang w:val="en-GB"/>
        </w:rPr>
        <w:t xml:space="preserve">cannot involve purely domestic cases. </w:t>
      </w:r>
      <w:r w:rsidR="0074345A" w:rsidRPr="002D79FD">
        <w:rPr>
          <w:rFonts w:cs="Times New Roman"/>
          <w:lang w:val="en-GB"/>
        </w:rPr>
        <w:t>In accordance with Article 5(1) of the Anti-SLAPP Directive, this requirement is nevertheless fulfilled “</w:t>
      </w:r>
      <w:r w:rsidR="0074345A" w:rsidRPr="00AC46EE">
        <w:rPr>
          <w:rFonts w:cs="Times New Roman"/>
          <w:i/>
          <w:iCs/>
          <w:lang w:val="en-GB"/>
        </w:rPr>
        <w:t xml:space="preserve">unless both parties are domiciled in the same Member State as the court </w:t>
      </w:r>
      <w:proofErr w:type="spellStart"/>
      <w:r w:rsidR="0074345A" w:rsidRPr="00AC46EE">
        <w:rPr>
          <w:rFonts w:cs="Times New Roman"/>
          <w:i/>
          <w:iCs/>
          <w:lang w:val="en-GB"/>
        </w:rPr>
        <w:t>seised</w:t>
      </w:r>
      <w:proofErr w:type="spellEnd"/>
      <w:r w:rsidR="0074345A" w:rsidRPr="00AC46EE">
        <w:rPr>
          <w:rFonts w:cs="Times New Roman"/>
          <w:i/>
          <w:iCs/>
          <w:lang w:val="en-GB"/>
        </w:rPr>
        <w:t xml:space="preserve"> and all other elements relevant to the situation at hand are located only in that Member State</w:t>
      </w:r>
      <w:r w:rsidR="0074345A" w:rsidRPr="002D79FD">
        <w:rPr>
          <w:rFonts w:cs="Times New Roman"/>
          <w:lang w:val="en-GB"/>
        </w:rPr>
        <w:t>”.</w:t>
      </w:r>
      <w:r w:rsidR="0020082C" w:rsidRPr="002D79FD">
        <w:rPr>
          <w:rFonts w:cs="Times New Roman"/>
          <w:lang w:val="en-GB"/>
        </w:rPr>
        <w:t xml:space="preserve"> </w:t>
      </w:r>
      <w:r w:rsidR="00AC46EE" w:rsidRPr="00AC46EE">
        <w:rPr>
          <w:rFonts w:cs="Times New Roman"/>
          <w:lang w:val="en-GB"/>
        </w:rPr>
        <w:t>Secondly</w:t>
      </w:r>
      <w:r w:rsidR="00AC46EE">
        <w:rPr>
          <w:rFonts w:cs="Times New Roman"/>
          <w:lang w:val="en-GB"/>
        </w:rPr>
        <w:t xml:space="preserve">, </w:t>
      </w:r>
      <w:r w:rsidR="00AE43ED" w:rsidRPr="002D79FD">
        <w:rPr>
          <w:rFonts w:cs="Times New Roman"/>
          <w:shd w:val="clear" w:color="auto" w:fill="FFFFFF"/>
          <w:lang w:val="en-GB"/>
        </w:rPr>
        <w:t xml:space="preserve">the </w:t>
      </w:r>
      <w:r w:rsidR="00AE43ED" w:rsidRPr="002D79FD">
        <w:rPr>
          <w:rFonts w:cs="Times New Roman"/>
          <w:lang w:val="en-GB"/>
        </w:rPr>
        <w:t>procedural safeguards for SLAPP targets provided by Articles 6 to 15 of the Directive</w:t>
      </w:r>
      <w:r w:rsidR="001A16C3" w:rsidRPr="002D79FD">
        <w:rPr>
          <w:rFonts w:cs="Times New Roman"/>
          <w:lang w:val="en-GB"/>
        </w:rPr>
        <w:t xml:space="preserve"> do not effectively address the problem that SLAPP targets can be abusively sued in multiple EU Member States</w:t>
      </w:r>
      <w:r w:rsidR="00A4254F" w:rsidRPr="002D79FD">
        <w:rPr>
          <w:rFonts w:cs="Times New Roman"/>
          <w:lang w:val="en-GB"/>
        </w:rPr>
        <w:t xml:space="preserve"> where the infringing content is accessible online</w:t>
      </w:r>
      <w:r w:rsidR="00C13CB0" w:rsidRPr="002D79FD">
        <w:rPr>
          <w:rFonts w:cs="Times New Roman"/>
          <w:lang w:val="en-GB"/>
        </w:rPr>
        <w:t xml:space="preserve">, in consequence of </w:t>
      </w:r>
      <w:r w:rsidR="00A4254F" w:rsidRPr="002D79FD">
        <w:rPr>
          <w:rFonts w:cs="Times New Roman"/>
          <w:lang w:val="en-GB"/>
        </w:rPr>
        <w:t>CJEU’s approach under Article 7(2) of the Brussels I </w:t>
      </w:r>
      <w:r w:rsidR="00A4254F" w:rsidRPr="002D79FD">
        <w:rPr>
          <w:rFonts w:cs="Times New Roman"/>
          <w:i/>
          <w:iCs/>
          <w:lang w:val="en-GB"/>
        </w:rPr>
        <w:t>bis</w:t>
      </w:r>
      <w:r w:rsidR="00A4254F" w:rsidRPr="002D79FD">
        <w:rPr>
          <w:rFonts w:cs="Times New Roman"/>
          <w:lang w:val="en-GB"/>
        </w:rPr>
        <w:t> Regulation No 1215/2012</w:t>
      </w:r>
      <w:r w:rsidR="00C13CB0" w:rsidRPr="002D79FD">
        <w:rPr>
          <w:rFonts w:cs="Times New Roman"/>
          <w:lang w:val="en-GB"/>
        </w:rPr>
        <w:t>.</w:t>
      </w:r>
      <w:r w:rsidR="003A3150" w:rsidRPr="002D79FD">
        <w:rPr>
          <w:rStyle w:val="FootnoteReference"/>
          <w:rFonts w:cs="Times New Roman"/>
          <w:lang w:val="en-GB"/>
        </w:rPr>
        <w:footnoteReference w:id="76"/>
      </w:r>
      <w:r w:rsidR="00C13CB0" w:rsidRPr="002D79FD">
        <w:rPr>
          <w:rFonts w:cs="Times New Roman"/>
          <w:lang w:val="en-GB"/>
        </w:rPr>
        <w:t xml:space="preserve"> </w:t>
      </w:r>
      <w:r w:rsidR="00AC46EE">
        <w:rPr>
          <w:rFonts w:cs="Times New Roman"/>
          <w:lang w:val="en-GB"/>
        </w:rPr>
        <w:t>Thirdly</w:t>
      </w:r>
      <w:r w:rsidR="00D33316" w:rsidRPr="002D79FD">
        <w:rPr>
          <w:rFonts w:cs="Times New Roman"/>
          <w:lang w:val="en-GB"/>
        </w:rPr>
        <w:t xml:space="preserve">, </w:t>
      </w:r>
      <w:r w:rsidR="00C626AE">
        <w:rPr>
          <w:rFonts w:cs="Times New Roman"/>
          <w:lang w:val="en-GB"/>
        </w:rPr>
        <w:t xml:space="preserve">the </w:t>
      </w:r>
      <w:r w:rsidR="003E7334" w:rsidRPr="002D79FD">
        <w:rPr>
          <w:rFonts w:cs="Times New Roman"/>
          <w:lang w:val="en-GB"/>
        </w:rPr>
        <w:t xml:space="preserve">lack of a definition in the Directive </w:t>
      </w:r>
      <w:r w:rsidR="00BF307B" w:rsidRPr="002D79FD">
        <w:rPr>
          <w:rFonts w:cs="Times New Roman"/>
          <w:lang w:val="en-GB"/>
        </w:rPr>
        <w:t xml:space="preserve">of </w:t>
      </w:r>
      <w:r w:rsidR="003E7334" w:rsidRPr="002D79FD">
        <w:rPr>
          <w:rFonts w:cs="Times New Roman"/>
          <w:lang w:val="en-GB"/>
        </w:rPr>
        <w:t xml:space="preserve">the </w:t>
      </w:r>
      <w:r w:rsidR="00766C8C">
        <w:rPr>
          <w:rFonts w:cs="Times New Roman"/>
          <w:lang w:val="en-GB"/>
        </w:rPr>
        <w:t>“</w:t>
      </w:r>
      <w:r w:rsidR="003E7334" w:rsidRPr="00766C8C">
        <w:rPr>
          <w:rFonts w:cs="Times New Roman"/>
          <w:i/>
          <w:iCs/>
          <w:lang w:val="en-GB"/>
        </w:rPr>
        <w:t>manifestly unfounded claims</w:t>
      </w:r>
      <w:r w:rsidR="003E7334" w:rsidRPr="002D79FD">
        <w:rPr>
          <w:rFonts w:cs="Times New Roman"/>
          <w:lang w:val="en-GB"/>
        </w:rPr>
        <w:t>’</w:t>
      </w:r>
      <w:r w:rsidR="00766C8C">
        <w:rPr>
          <w:rFonts w:cs="Times New Roman"/>
          <w:lang w:val="en-GB"/>
        </w:rPr>
        <w:t xml:space="preserve">” </w:t>
      </w:r>
      <w:r w:rsidR="003E7334" w:rsidRPr="002D79FD">
        <w:rPr>
          <w:rFonts w:cs="Times New Roman"/>
          <w:lang w:val="en-GB"/>
        </w:rPr>
        <w:t xml:space="preserve">requirement of the </w:t>
      </w:r>
      <w:r w:rsidR="00766C8C">
        <w:rPr>
          <w:rFonts w:cs="Times New Roman"/>
          <w:lang w:val="en-GB"/>
        </w:rPr>
        <w:t>“</w:t>
      </w:r>
      <w:r w:rsidR="003E7334" w:rsidRPr="00766C8C">
        <w:rPr>
          <w:rFonts w:cs="Times New Roman"/>
          <w:i/>
          <w:iCs/>
          <w:lang w:val="en-GB"/>
        </w:rPr>
        <w:t>early dismissal mechanism</w:t>
      </w:r>
      <w:r w:rsidR="00766C8C">
        <w:rPr>
          <w:rFonts w:cs="Times New Roman"/>
          <w:i/>
          <w:iCs/>
          <w:lang w:val="en-GB"/>
        </w:rPr>
        <w:t>”</w:t>
      </w:r>
      <w:r w:rsidR="003E7334" w:rsidRPr="002D79FD">
        <w:rPr>
          <w:rFonts w:cs="Times New Roman"/>
          <w:lang w:val="en-GB"/>
        </w:rPr>
        <w:t xml:space="preserve"> of Article 11 of the Anti-SLAPP Directive</w:t>
      </w:r>
      <w:r w:rsidR="00BF307B" w:rsidRPr="002D79FD">
        <w:rPr>
          <w:rFonts w:cs="Times New Roman"/>
          <w:lang w:val="en-GB"/>
        </w:rPr>
        <w:t xml:space="preserve"> </w:t>
      </w:r>
      <w:r w:rsidR="003E7334" w:rsidRPr="002D79FD">
        <w:rPr>
          <w:rFonts w:cs="Times New Roman"/>
          <w:lang w:val="en-GB"/>
        </w:rPr>
        <w:t xml:space="preserve">may </w:t>
      </w:r>
      <w:r w:rsidR="00BF307B" w:rsidRPr="002D79FD">
        <w:rPr>
          <w:rFonts w:cs="Times New Roman"/>
          <w:lang w:val="en-GB"/>
        </w:rPr>
        <w:t xml:space="preserve">lead courts to </w:t>
      </w:r>
      <w:r w:rsidR="003E7334" w:rsidRPr="002D79FD">
        <w:rPr>
          <w:rFonts w:cs="Times New Roman"/>
          <w:lang w:val="en-GB"/>
        </w:rPr>
        <w:t>interpret this criterion differently</w:t>
      </w:r>
      <w:r w:rsidR="00A24C42" w:rsidRPr="002D79FD">
        <w:rPr>
          <w:rFonts w:cs="Times New Roman"/>
          <w:lang w:val="en-GB"/>
        </w:rPr>
        <w:t xml:space="preserve"> given the diverse substantive legal approaches among Member States in balancing the right to reputation and the right to freedom of expression. In sum, there may </w:t>
      </w:r>
      <w:r w:rsidR="00593A92" w:rsidRPr="002D79FD">
        <w:rPr>
          <w:rFonts w:cs="Times New Roman"/>
          <w:lang w:val="en-GB"/>
        </w:rPr>
        <w:t xml:space="preserve">not be an equal level of protection across </w:t>
      </w:r>
      <w:r w:rsidR="0063424C">
        <w:rPr>
          <w:rFonts w:cs="Times New Roman"/>
          <w:lang w:val="en-GB"/>
        </w:rPr>
        <w:t>M</w:t>
      </w:r>
      <w:r w:rsidR="00593A92" w:rsidRPr="002D79FD">
        <w:rPr>
          <w:rFonts w:cs="Times New Roman"/>
          <w:lang w:val="en-GB"/>
        </w:rPr>
        <w:t>ember States.</w:t>
      </w:r>
      <w:r w:rsidR="009B1186" w:rsidRPr="002D79FD">
        <w:rPr>
          <w:rStyle w:val="FootnoteReference"/>
          <w:rFonts w:cs="Times New Roman"/>
          <w:lang w:val="en-GB"/>
        </w:rPr>
        <w:footnoteReference w:id="77"/>
      </w:r>
      <w:r w:rsidR="004029CC" w:rsidRPr="002D79FD">
        <w:rPr>
          <w:rFonts w:cs="Times New Roman"/>
          <w:lang w:val="en-GB"/>
        </w:rPr>
        <w:t xml:space="preserve"> </w:t>
      </w:r>
      <w:r w:rsidR="005D68F3" w:rsidRPr="005D68F3">
        <w:rPr>
          <w:rFonts w:cs="Times New Roman"/>
          <w:lang w:val="en-GB"/>
        </w:rPr>
        <w:t xml:space="preserve">Fourthly, there is a problem of extraterritoriality of the recognition of judgments imposing penalties under Article 15 of the Anti-SLAPP Directive that may not be recognized or enforced in non-EU states. Fifthly, </w:t>
      </w:r>
      <w:r w:rsidR="00D202C4" w:rsidRPr="002D79FD">
        <w:rPr>
          <w:rFonts w:cs="Times New Roman"/>
          <w:lang w:val="en-GB"/>
        </w:rPr>
        <w:t xml:space="preserve">if SLAPPs </w:t>
      </w:r>
      <w:r w:rsidR="00DD0DFA" w:rsidRPr="002D79FD">
        <w:rPr>
          <w:rFonts w:cs="Times New Roman"/>
          <w:lang w:val="en-GB"/>
        </w:rPr>
        <w:t xml:space="preserve">are </w:t>
      </w:r>
      <w:r w:rsidR="00D202C4" w:rsidRPr="002D79FD">
        <w:rPr>
          <w:rFonts w:cs="Times New Roman"/>
          <w:lang w:val="en-GB"/>
        </w:rPr>
        <w:t>brought in courts outside the EU</w:t>
      </w:r>
      <w:r w:rsidR="00DD0DFA" w:rsidRPr="002D79FD">
        <w:rPr>
          <w:rFonts w:cs="Times New Roman"/>
          <w:lang w:val="en-GB"/>
        </w:rPr>
        <w:t xml:space="preserve"> </w:t>
      </w:r>
      <w:r w:rsidR="00D202C4" w:rsidRPr="002D79FD">
        <w:rPr>
          <w:rFonts w:cs="Times New Roman"/>
          <w:lang w:val="en-GB"/>
        </w:rPr>
        <w:t xml:space="preserve">against a SLAPP target domiciled in a Member State, Article 16 of the Anti-SLAPP Directive provides that Member State courts should refuse the recognition and enforcement of that </w:t>
      </w:r>
      <w:r w:rsidR="00D202C4" w:rsidRPr="002D79FD">
        <w:rPr>
          <w:rFonts w:cs="Times New Roman"/>
          <w:lang w:val="en-GB"/>
        </w:rPr>
        <w:lastRenderedPageBreak/>
        <w:t>judgment if the third-country proceedings are considered manifestly unfounded or abusive under the law of the Member State of the requested court.</w:t>
      </w:r>
      <w:r w:rsidR="00DD0DFA" w:rsidRPr="002D79FD">
        <w:rPr>
          <w:rFonts w:cs="Times New Roman"/>
          <w:lang w:val="en-GB"/>
        </w:rPr>
        <w:t xml:space="preserve"> Nevertheless, </w:t>
      </w:r>
      <w:r w:rsidR="00C93439" w:rsidRPr="002D79FD">
        <w:rPr>
          <w:rFonts w:cs="Times New Roman"/>
          <w:lang w:val="en-GB"/>
        </w:rPr>
        <w:t xml:space="preserve">the outcome of </w:t>
      </w:r>
      <w:r w:rsidR="00A730EA" w:rsidRPr="002D79FD">
        <w:rPr>
          <w:rFonts w:cs="Times New Roman"/>
          <w:lang w:val="en-GB"/>
        </w:rPr>
        <w:t xml:space="preserve">examination of the merits of the case </w:t>
      </w:r>
      <w:r w:rsidR="00C93439" w:rsidRPr="002D79FD">
        <w:rPr>
          <w:rFonts w:cs="Times New Roman"/>
          <w:lang w:val="en-GB"/>
        </w:rPr>
        <w:t>may vary from one Member State to another</w:t>
      </w:r>
      <w:r w:rsidR="00A730EA" w:rsidRPr="002D79FD">
        <w:rPr>
          <w:rFonts w:cs="Times New Roman"/>
          <w:lang w:val="en-GB"/>
        </w:rPr>
        <w:t xml:space="preserve">, </w:t>
      </w:r>
      <w:r w:rsidR="00F25C25" w:rsidRPr="002D79FD">
        <w:rPr>
          <w:rFonts w:cs="Times New Roman"/>
          <w:lang w:val="en-GB"/>
        </w:rPr>
        <w:t>creating</w:t>
      </w:r>
      <w:r w:rsidR="00664309" w:rsidRPr="002D79FD">
        <w:rPr>
          <w:rFonts w:cs="Times New Roman"/>
          <w:lang w:val="en-GB"/>
        </w:rPr>
        <w:t xml:space="preserve"> problems around legal certainty</w:t>
      </w:r>
      <w:r w:rsidR="00F25C25" w:rsidRPr="002D79FD">
        <w:rPr>
          <w:rFonts w:cs="Times New Roman"/>
          <w:lang w:val="en-GB"/>
        </w:rPr>
        <w:t xml:space="preserve">, which also arise in the cases of article 17 (1 and 2) </w:t>
      </w:r>
      <w:r w:rsidR="002B33B1" w:rsidRPr="002D79FD">
        <w:rPr>
          <w:rFonts w:cs="Times New Roman"/>
          <w:lang w:val="en-GB"/>
        </w:rPr>
        <w:t>when the claimant is domiciled outside the EU</w:t>
      </w:r>
      <w:r w:rsidR="00664309" w:rsidRPr="002D79FD">
        <w:rPr>
          <w:rFonts w:cs="Times New Roman"/>
          <w:lang w:val="en-GB"/>
        </w:rPr>
        <w:t>.</w:t>
      </w:r>
      <w:r w:rsidR="00664309" w:rsidRPr="002D79FD">
        <w:rPr>
          <w:rStyle w:val="FootnoteReference"/>
          <w:rFonts w:cs="Times New Roman"/>
          <w:lang w:val="en-GB"/>
        </w:rPr>
        <w:footnoteReference w:id="78"/>
      </w:r>
      <w:r w:rsidR="002D6F60" w:rsidRPr="002D79FD">
        <w:rPr>
          <w:rFonts w:cs="Times New Roman"/>
          <w:lang w:val="en-GB"/>
        </w:rPr>
        <w:t xml:space="preserve"> As for </w:t>
      </w:r>
      <w:r w:rsidR="004B2FA0" w:rsidRPr="002D79FD">
        <w:rPr>
          <w:rFonts w:cs="Times New Roman"/>
          <w:lang w:val="en-GB"/>
        </w:rPr>
        <w:t>Portugal</w:t>
      </w:r>
      <w:r w:rsidR="002D6F60" w:rsidRPr="002D79FD">
        <w:rPr>
          <w:rFonts w:cs="Times New Roman"/>
          <w:lang w:val="en-GB"/>
        </w:rPr>
        <w:t>,</w:t>
      </w:r>
      <w:r w:rsidR="004B2FA0" w:rsidRPr="002D79FD">
        <w:rPr>
          <w:rFonts w:cs="Times New Roman"/>
          <w:lang w:val="en-GB"/>
        </w:rPr>
        <w:t xml:space="preserve"> e</w:t>
      </w:r>
      <w:r w:rsidR="00DF4566" w:rsidRPr="002D79FD">
        <w:rPr>
          <w:rFonts w:cs="Times New Roman"/>
          <w:lang w:val="en-GB"/>
        </w:rPr>
        <w:t xml:space="preserve">ffective transposition into Portuguese law remains pending, but its principles underscore the need for procedural reforms and alignment with </w:t>
      </w:r>
      <w:r w:rsidR="00D60D66">
        <w:rPr>
          <w:rFonts w:cs="Times New Roman"/>
          <w:lang w:val="en-GB"/>
        </w:rPr>
        <w:t>EC</w:t>
      </w:r>
      <w:r w:rsidR="00F25CD9">
        <w:rPr>
          <w:rFonts w:cs="Times New Roman"/>
          <w:lang w:val="en-GB"/>
        </w:rPr>
        <w:t>t</w:t>
      </w:r>
      <w:r w:rsidR="00D60D66">
        <w:rPr>
          <w:rFonts w:cs="Times New Roman"/>
          <w:lang w:val="en-GB"/>
        </w:rPr>
        <w:t>HR</w:t>
      </w:r>
      <w:r w:rsidR="00DF4566" w:rsidRPr="002D79FD">
        <w:rPr>
          <w:rFonts w:cs="Times New Roman"/>
          <w:lang w:val="en-GB"/>
        </w:rPr>
        <w:t xml:space="preserve"> standards</w:t>
      </w:r>
      <w:r w:rsidR="0063424C">
        <w:rPr>
          <w:rFonts w:cs="Times New Roman"/>
          <w:lang w:val="en-GB"/>
        </w:rPr>
        <w:t>,</w:t>
      </w:r>
      <w:r w:rsidR="008E4CA9">
        <w:rPr>
          <w:rFonts w:cs="Times New Roman"/>
          <w:lang w:val="en-GB"/>
        </w:rPr>
        <w:t xml:space="preserve"> </w:t>
      </w:r>
      <w:r w:rsidR="00814C99" w:rsidRPr="00814C99">
        <w:rPr>
          <w:rFonts w:cs="Times New Roman"/>
          <w:lang w:val="en-GB"/>
        </w:rPr>
        <w:t>especially in the legal and judicial understanding of defamation</w:t>
      </w:r>
      <w:r w:rsidR="00FD021A">
        <w:rPr>
          <w:rFonts w:cs="Times New Roman"/>
          <w:lang w:val="en-GB"/>
        </w:rPr>
        <w:t>.</w:t>
      </w:r>
    </w:p>
    <w:p w14:paraId="3DBCFCA2" w14:textId="3467877B" w:rsidR="004275B3" w:rsidRPr="002D79FD" w:rsidRDefault="0051779A" w:rsidP="00172A3B">
      <w:pPr>
        <w:pStyle w:val="ListParagraph"/>
        <w:numPr>
          <w:ilvl w:val="0"/>
          <w:numId w:val="15"/>
        </w:numPr>
        <w:spacing w:line="480" w:lineRule="auto"/>
        <w:jc w:val="both"/>
        <w:rPr>
          <w:rFonts w:cs="Times New Roman"/>
          <w:lang w:val="en-GB"/>
        </w:rPr>
      </w:pPr>
      <w:r w:rsidRPr="002D79FD">
        <w:rPr>
          <w:rFonts w:cs="Times New Roman"/>
          <w:lang w:val="en-GB"/>
        </w:rPr>
        <w:t>The DSA establishes a comprehensive framework to create a safer, more predictable, and trusted online environment by ensuring platform accountability and protecting users' fundamental rights. It creates rules for intermediary services like online marketplaces, social networks, and search engines, imposing varying obligations based on their size and function, with additional obligations for very large online platforms (VLOPs) and search engines (VLOSEs). The DSA regulates online content, transparency, and algorithmic systems, and non-compliance can result in significant fines.</w:t>
      </w:r>
      <w:r w:rsidR="000E2D33" w:rsidRPr="002D79FD">
        <w:rPr>
          <w:rFonts w:cs="Times New Roman"/>
          <w:lang w:val="en-GB"/>
        </w:rPr>
        <w:t xml:space="preserve"> In sum, it aims to c</w:t>
      </w:r>
      <w:r w:rsidRPr="002D79FD">
        <w:rPr>
          <w:rFonts w:cs="Times New Roman"/>
          <w:lang w:val="en-GB"/>
        </w:rPr>
        <w:t>ombat illegal content</w:t>
      </w:r>
      <w:r w:rsidR="000E2D33" w:rsidRPr="002D79FD">
        <w:rPr>
          <w:rFonts w:cs="Times New Roman"/>
          <w:lang w:val="en-GB"/>
        </w:rPr>
        <w:t xml:space="preserve"> and its dissemination; the protection of user’s </w:t>
      </w:r>
      <w:r w:rsidRPr="002D79FD">
        <w:rPr>
          <w:rFonts w:cs="Times New Roman"/>
          <w:lang w:val="en-GB"/>
        </w:rPr>
        <w:t>fundamental rights</w:t>
      </w:r>
      <w:r w:rsidR="000E2D33" w:rsidRPr="002D79FD">
        <w:rPr>
          <w:rFonts w:cs="Times New Roman"/>
          <w:lang w:val="en-GB"/>
        </w:rPr>
        <w:t xml:space="preserve"> </w:t>
      </w:r>
      <w:r w:rsidRPr="002D79FD">
        <w:rPr>
          <w:rFonts w:cs="Times New Roman"/>
          <w:lang w:val="en-GB"/>
        </w:rPr>
        <w:t>in the digital space</w:t>
      </w:r>
      <w:r w:rsidR="000E2D33" w:rsidRPr="002D79FD">
        <w:rPr>
          <w:rFonts w:cs="Times New Roman"/>
          <w:lang w:val="en-GB"/>
        </w:rPr>
        <w:t>; the p</w:t>
      </w:r>
      <w:r w:rsidRPr="002D79FD">
        <w:rPr>
          <w:rFonts w:cs="Times New Roman"/>
          <w:lang w:val="en-GB"/>
        </w:rPr>
        <w:t>romoti</w:t>
      </w:r>
      <w:r w:rsidR="000E2D33" w:rsidRPr="002D79FD">
        <w:rPr>
          <w:rFonts w:cs="Times New Roman"/>
          <w:lang w:val="en-GB"/>
        </w:rPr>
        <w:t>on of</w:t>
      </w:r>
      <w:r w:rsidRPr="002D79FD">
        <w:rPr>
          <w:rFonts w:cs="Times New Roman"/>
          <w:lang w:val="en-GB"/>
        </w:rPr>
        <w:t xml:space="preserve"> transparency</w:t>
      </w:r>
      <w:r w:rsidR="000E2D33" w:rsidRPr="002D79FD">
        <w:rPr>
          <w:rFonts w:cs="Times New Roman"/>
          <w:lang w:val="en-GB"/>
        </w:rPr>
        <w:t xml:space="preserve"> by r</w:t>
      </w:r>
      <w:r w:rsidRPr="002D79FD">
        <w:rPr>
          <w:rFonts w:cs="Times New Roman"/>
          <w:lang w:val="en-GB"/>
        </w:rPr>
        <w:t>equir</w:t>
      </w:r>
      <w:r w:rsidR="000E2D33" w:rsidRPr="002D79FD">
        <w:rPr>
          <w:rFonts w:cs="Times New Roman"/>
          <w:lang w:val="en-GB"/>
        </w:rPr>
        <w:t>ing</w:t>
      </w:r>
      <w:r w:rsidRPr="002D79FD">
        <w:rPr>
          <w:rFonts w:cs="Times New Roman"/>
          <w:lang w:val="en-GB"/>
        </w:rPr>
        <w:t xml:space="preserve"> platforms to be </w:t>
      </w:r>
      <w:r w:rsidR="006E15AC" w:rsidRPr="002D79FD">
        <w:rPr>
          <w:rFonts w:cs="Times New Roman"/>
          <w:lang w:val="en-GB"/>
        </w:rPr>
        <w:t>clearer</w:t>
      </w:r>
      <w:r w:rsidRPr="002D79FD">
        <w:rPr>
          <w:rFonts w:cs="Times New Roman"/>
          <w:lang w:val="en-GB"/>
        </w:rPr>
        <w:t xml:space="preserve"> about their services, content moderation policies, and how their algorithms work</w:t>
      </w:r>
      <w:r w:rsidR="006E15AC" w:rsidRPr="002D79FD">
        <w:rPr>
          <w:rFonts w:cs="Times New Roman"/>
          <w:lang w:val="en-GB"/>
        </w:rPr>
        <w:t>; and</w:t>
      </w:r>
      <w:r w:rsidR="00F81EDB" w:rsidRPr="002D79FD">
        <w:rPr>
          <w:rFonts w:cs="Times New Roman"/>
          <w:lang w:val="en-GB"/>
        </w:rPr>
        <w:t xml:space="preserve"> to guarantee</w:t>
      </w:r>
      <w:r w:rsidRPr="002D79FD">
        <w:rPr>
          <w:rFonts w:cs="Times New Roman"/>
          <w:lang w:val="en-GB"/>
        </w:rPr>
        <w:t xml:space="preserve"> platform accountability, increasing their responsibility for the content they ho</w:t>
      </w:r>
      <w:r w:rsidR="00F81EDB" w:rsidRPr="002D79FD">
        <w:rPr>
          <w:rFonts w:cs="Times New Roman"/>
          <w:lang w:val="en-GB"/>
        </w:rPr>
        <w:t>st.</w:t>
      </w:r>
    </w:p>
    <w:p w14:paraId="199AA28F" w14:textId="42CFDD74" w:rsidR="00AF416E" w:rsidRPr="00F57E7E" w:rsidRDefault="00F57E7E" w:rsidP="00172A3B">
      <w:pPr>
        <w:pStyle w:val="ListParagraph"/>
        <w:numPr>
          <w:ilvl w:val="0"/>
          <w:numId w:val="15"/>
        </w:numPr>
        <w:spacing w:line="480" w:lineRule="auto"/>
        <w:jc w:val="both"/>
        <w:rPr>
          <w:rFonts w:cs="Times New Roman"/>
          <w:lang w:val="en-GB"/>
        </w:rPr>
      </w:pPr>
      <w:r w:rsidRPr="00F57E7E">
        <w:rPr>
          <w:rFonts w:cs="Times New Roman"/>
          <w:lang w:val="en-GB"/>
        </w:rPr>
        <w:t xml:space="preserve">The EMFA, which is based on the revised version of the AMVS </w:t>
      </w:r>
      <w:r w:rsidR="008C6964">
        <w:rPr>
          <w:rFonts w:cs="Times New Roman"/>
          <w:lang w:val="en-GB"/>
        </w:rPr>
        <w:t xml:space="preserve">Directive </w:t>
      </w:r>
      <w:r w:rsidRPr="00F57E7E">
        <w:rPr>
          <w:rFonts w:cs="Times New Roman"/>
          <w:lang w:val="en-GB"/>
        </w:rPr>
        <w:t xml:space="preserve">and extends its scope to include radio and the press, transfers powers previously held by Member States to the European level. This explains some resistance to it, with some Member States challenging it in the CJEU, although no decision has yet been </w:t>
      </w:r>
      <w:r w:rsidRPr="00F57E7E">
        <w:rPr>
          <w:rFonts w:cs="Times New Roman"/>
          <w:lang w:val="en-GB"/>
        </w:rPr>
        <w:lastRenderedPageBreak/>
        <w:t xml:space="preserve">reached. The EMFA, which is the result of a diagnosis of the decline of press freedom in the face of political and economic capture in the European space and vulnerabilities to external interference, aims to ensure: 1) the protection of sources, guaranteeing the confidentiality of journalistic sources, including against the use of spyware by governments; 2) editorial independence, requiring Member States to respect the freedom of decision of media providers and ensuring the independent functioning of public service media; 3) transparency, strengthening the transparency of media ownership and the disclosure of information about service providers; 4) pluralism, establishing safeguards to prevent media concentration and imbalance between media providers and large online platforms. </w:t>
      </w:r>
      <w:proofErr w:type="gramStart"/>
      <w:r w:rsidRPr="00F57E7E">
        <w:rPr>
          <w:rFonts w:cs="Times New Roman"/>
          <w:lang w:val="en-GB"/>
        </w:rPr>
        <w:t>In particular, VLOPs</w:t>
      </w:r>
      <w:proofErr w:type="gramEnd"/>
      <w:r w:rsidRPr="00F57E7E">
        <w:rPr>
          <w:rFonts w:cs="Times New Roman"/>
          <w:lang w:val="en-GB"/>
        </w:rPr>
        <w:t xml:space="preserve"> will have to make new features available so that service recipients can declare that they are media service providers, subject to regulatory requirements for the exercise of editorial responsibility. If content produced by a recognized media service provider is removed, the platform must notify them and justify the decision. The provider has the right to appeal; 5) citizenship, safeguarding the right of citizens to access free and pluralistic information; 6) greater institutionalization with the creation of a new European Media Services Committee to oversee the application of legislation and market concentration. This Committee will be composed of representatives of national authorities and assisted by a Commission secretariat, acting independently and promoting the effective and consistent application of the EU legal framework for media services. It thus replaces the European Regulators Group for Audiovisual Media Services (ERGA), established by the AVMS Directive. In this case, one wonders whether this is not a reverse movement of institutional influence, with the EU feeling the need to follow the agency model in Member States in the field of media, contrary to the more frequent tendency for it to persuade (if not impose) this type of model on its Member States.</w:t>
      </w:r>
    </w:p>
    <w:p w14:paraId="511AE0B2" w14:textId="591764FA" w:rsidR="00E72C6F" w:rsidRDefault="008218FF" w:rsidP="00172A3B">
      <w:pPr>
        <w:spacing w:line="480" w:lineRule="auto"/>
        <w:jc w:val="both"/>
        <w:rPr>
          <w:rFonts w:cs="Times New Roman"/>
          <w:lang w:val="en-GB"/>
        </w:rPr>
      </w:pPr>
      <w:r w:rsidRPr="002D79FD">
        <w:rPr>
          <w:rFonts w:cs="Times New Roman"/>
          <w:lang w:val="en-GB"/>
        </w:rPr>
        <w:lastRenderedPageBreak/>
        <w:t>EU media regulations</w:t>
      </w:r>
      <w:r w:rsidR="00AD4240" w:rsidRPr="002D79FD">
        <w:rPr>
          <w:rFonts w:cs="Times New Roman"/>
          <w:lang w:val="en-GB"/>
        </w:rPr>
        <w:t xml:space="preserve"> </w:t>
      </w:r>
      <w:r w:rsidRPr="002D79FD">
        <w:rPr>
          <w:rFonts w:cs="Times New Roman"/>
          <w:lang w:val="en-GB"/>
        </w:rPr>
        <w:t>are implemented in Portugal by adapting national laws and establishing cooperation between Portuguese authorities, like the ERC, and EU bodies</w:t>
      </w:r>
      <w:r w:rsidR="00826E3F" w:rsidRPr="002D79FD">
        <w:rPr>
          <w:rFonts w:cs="Times New Roman"/>
          <w:lang w:val="en-GB"/>
        </w:rPr>
        <w:t xml:space="preserve"> to ensure effective implementation</w:t>
      </w:r>
      <w:r w:rsidRPr="002D79FD">
        <w:rPr>
          <w:rFonts w:cs="Times New Roman"/>
          <w:lang w:val="en-GB"/>
        </w:rPr>
        <w:t xml:space="preserve">. </w:t>
      </w:r>
      <w:r w:rsidR="00AD4240" w:rsidRPr="002D79FD">
        <w:rPr>
          <w:rFonts w:cs="Times New Roman"/>
          <w:lang w:val="en-GB"/>
        </w:rPr>
        <w:t>For instance, t</w:t>
      </w:r>
      <w:r w:rsidRPr="002D79FD">
        <w:rPr>
          <w:rFonts w:cs="Times New Roman"/>
          <w:lang w:val="en-GB"/>
        </w:rPr>
        <w:t>he EMFA mandates national media regulations to align with EU standards to protect editorial independence and media pluralism</w:t>
      </w:r>
      <w:r w:rsidR="00826E3F" w:rsidRPr="002D79FD">
        <w:rPr>
          <w:rFonts w:cs="Times New Roman"/>
          <w:lang w:val="en-GB"/>
        </w:rPr>
        <w:t xml:space="preserve"> and </w:t>
      </w:r>
      <w:r w:rsidR="005E4FF1" w:rsidRPr="002D79FD">
        <w:rPr>
          <w:rFonts w:cs="Times New Roman"/>
          <w:lang w:val="en-GB"/>
        </w:rPr>
        <w:t>establishes the European Board for Media Services, which includes Portuguese representatives, to promote consistent application of the Act's provisions and advise the European Commission</w:t>
      </w:r>
      <w:r w:rsidR="00B84D08" w:rsidRPr="002D79FD">
        <w:rPr>
          <w:rFonts w:cs="Times New Roman"/>
          <w:lang w:val="en-GB"/>
        </w:rPr>
        <w:t xml:space="preserve">. </w:t>
      </w:r>
      <w:r w:rsidR="008E7294" w:rsidRPr="002D79FD">
        <w:rPr>
          <w:rFonts w:cs="Times New Roman"/>
          <w:lang w:val="en-GB"/>
        </w:rPr>
        <w:t xml:space="preserve">The </w:t>
      </w:r>
      <w:r w:rsidRPr="002D79FD">
        <w:rPr>
          <w:rFonts w:cs="Times New Roman"/>
          <w:lang w:val="en-GB"/>
        </w:rPr>
        <w:t xml:space="preserve">ERC ensures national legal </w:t>
      </w:r>
      <w:r w:rsidR="003F60CE" w:rsidRPr="002D79FD">
        <w:rPr>
          <w:rFonts w:cs="Times New Roman"/>
          <w:lang w:val="en-GB"/>
        </w:rPr>
        <w:t>a</w:t>
      </w:r>
      <w:r w:rsidRPr="002D79FD">
        <w:rPr>
          <w:rFonts w:cs="Times New Roman"/>
          <w:lang w:val="en-GB"/>
        </w:rPr>
        <w:t xml:space="preserve">lignment and </w:t>
      </w:r>
      <w:r w:rsidR="003F60CE" w:rsidRPr="002D79FD">
        <w:rPr>
          <w:rFonts w:cs="Times New Roman"/>
          <w:lang w:val="en-GB"/>
        </w:rPr>
        <w:t>p</w:t>
      </w:r>
      <w:r w:rsidRPr="002D79FD">
        <w:rPr>
          <w:rFonts w:cs="Times New Roman"/>
          <w:lang w:val="en-GB"/>
        </w:rPr>
        <w:t>reparedness</w:t>
      </w:r>
      <w:r w:rsidR="003F60CE" w:rsidRPr="002D79FD">
        <w:rPr>
          <w:rFonts w:cs="Times New Roman"/>
          <w:lang w:val="en-GB"/>
        </w:rPr>
        <w:t xml:space="preserve"> by </w:t>
      </w:r>
      <w:r w:rsidRPr="002D79FD">
        <w:rPr>
          <w:rFonts w:cs="Times New Roman"/>
          <w:lang w:val="en-GB"/>
        </w:rPr>
        <w:t>confirm</w:t>
      </w:r>
      <w:r w:rsidR="003F60CE" w:rsidRPr="002D79FD">
        <w:rPr>
          <w:rFonts w:cs="Times New Roman"/>
          <w:lang w:val="en-GB"/>
        </w:rPr>
        <w:t>ing</w:t>
      </w:r>
      <w:r w:rsidRPr="002D79FD">
        <w:rPr>
          <w:rFonts w:cs="Times New Roman"/>
          <w:lang w:val="en-GB"/>
        </w:rPr>
        <w:t xml:space="preserve"> that Portugal's national legislation and regulatory framework are prepared to meet the challenges presented by new EU media regulations, such as the EMFA.</w:t>
      </w:r>
      <w:r w:rsidR="008E7294" w:rsidRPr="002D79FD">
        <w:rPr>
          <w:rFonts w:cs="Times New Roman"/>
          <w:lang w:val="en-GB"/>
        </w:rPr>
        <w:t xml:space="preserve"> Additionally, the</w:t>
      </w:r>
      <w:r w:rsidRPr="002D79FD">
        <w:rPr>
          <w:rFonts w:cs="Times New Roman"/>
          <w:lang w:val="en-GB"/>
        </w:rPr>
        <w:t xml:space="preserve"> ERC highlights the need for national authorities to have the necessary resources and powers to efficiently monitor and coordinate the implementation of these EU regulations. </w:t>
      </w:r>
    </w:p>
    <w:p w14:paraId="784E7D24" w14:textId="5DD1A467" w:rsidR="007A5D15" w:rsidRPr="00EE3712" w:rsidRDefault="00C739DD" w:rsidP="00172A3B">
      <w:pPr>
        <w:spacing w:line="480" w:lineRule="auto"/>
        <w:jc w:val="both"/>
        <w:rPr>
          <w:rFonts w:cs="Times New Roman"/>
          <w:lang w:val="en-GB"/>
        </w:rPr>
      </w:pPr>
      <w:r w:rsidRPr="00C739DD">
        <w:rPr>
          <w:rFonts w:cs="Times New Roman"/>
          <w:lang w:val="en-GB"/>
        </w:rPr>
        <w:t xml:space="preserve">Several of the obligations set out in the EMFA are not, in fact, new to the Portuguese legal system, unlike in other Member States. The centrality of press freedom in the Portuguese democratic system (in contrast to the period of the Estado Novo) may help to explain this alignment. Thus, for example, the safeguarding of editorial independence, pluralism, and the rights of journalists, </w:t>
      </w:r>
      <w:r w:rsidR="00EE3712" w:rsidRPr="00C739DD">
        <w:rPr>
          <w:rFonts w:cs="Times New Roman"/>
          <w:lang w:val="en-GB"/>
        </w:rPr>
        <w:t>particularly</w:t>
      </w:r>
      <w:r w:rsidRPr="00C739DD">
        <w:rPr>
          <w:rFonts w:cs="Times New Roman"/>
          <w:lang w:val="en-GB"/>
        </w:rPr>
        <w:t xml:space="preserve"> the protection of sources, represent fundamental values of the national legislative acquis. Transparency of ownership</w:t>
      </w:r>
      <w:r w:rsidR="00EE3712" w:rsidRPr="002D79FD">
        <w:rPr>
          <w:rStyle w:val="FootnoteReference"/>
          <w:rFonts w:cs="Times New Roman"/>
        </w:rPr>
        <w:footnoteReference w:id="79"/>
      </w:r>
      <w:r w:rsidRPr="00C739DD">
        <w:rPr>
          <w:rFonts w:cs="Times New Roman"/>
          <w:lang w:val="en-GB"/>
        </w:rPr>
        <w:t xml:space="preserve"> is regulated in detail by Law No. 78/2015 of July 29, which aims to promote transparency in the ownership, management, and financing of entities engaged in media activities. With regard to market concentration operations, Law No. 27/2007 of July 30 (Law on Television and On-Demand Audiovisual Services) and Law No. 54/2010 of July 24 12 (Radio Law) lay down specific rules </w:t>
      </w:r>
      <w:r w:rsidRPr="00C739DD">
        <w:rPr>
          <w:rFonts w:cs="Times New Roman"/>
          <w:lang w:val="en-GB"/>
        </w:rPr>
        <w:lastRenderedPageBreak/>
        <w:t xml:space="preserve">that make concentration operations subject to intervention by the Competition Authority subject to a prior opinion from the ERC, and also make changes to the ownership of operators subject to prior approval by the ERC. Also </w:t>
      </w:r>
      <w:r w:rsidR="00EE3712" w:rsidRPr="00C739DD">
        <w:rPr>
          <w:rFonts w:cs="Times New Roman"/>
          <w:lang w:val="en-GB"/>
        </w:rPr>
        <w:t>in</w:t>
      </w:r>
      <w:r w:rsidRPr="00C739DD">
        <w:rPr>
          <w:rFonts w:cs="Times New Roman"/>
          <w:lang w:val="en-GB"/>
        </w:rPr>
        <w:t xml:space="preserve"> state advertising, Law No. 95/2015, of 17.08, establishes the rules and transparency obligations to which the implementation of institutional state advertising campaigns is subject, as well as the rules applicable to their distribution in national territory through local and regional media outlets. The challenge for the Portuguese legislator, which in some areas goes further than the European legislator, will therefore be to adapt the current regulatory framework to the specific aspects introduced by the EMFA, </w:t>
      </w:r>
      <w:proofErr w:type="gramStart"/>
      <w:r w:rsidRPr="00C739DD">
        <w:rPr>
          <w:rFonts w:cs="Times New Roman"/>
          <w:lang w:val="en-GB"/>
        </w:rPr>
        <w:t>in order to</w:t>
      </w:r>
      <w:proofErr w:type="gramEnd"/>
      <w:r w:rsidRPr="00C739DD">
        <w:rPr>
          <w:rFonts w:cs="Times New Roman"/>
          <w:lang w:val="en-GB"/>
        </w:rPr>
        <w:t xml:space="preserve"> ensure that national rules do not conflict with or overlap with EMFA rules and that political pressures are removed from the media</w:t>
      </w:r>
      <w:r w:rsidR="00F97AB9" w:rsidRPr="00EE3712">
        <w:rPr>
          <w:rFonts w:cs="Times New Roman"/>
          <w:lang w:val="en-GB"/>
        </w:rPr>
        <w:t>.</w:t>
      </w:r>
      <w:r w:rsidR="00F97AB9" w:rsidRPr="002D79FD">
        <w:rPr>
          <w:rStyle w:val="FootnoteReference"/>
          <w:rFonts w:cs="Times New Roman"/>
        </w:rPr>
        <w:footnoteReference w:id="80"/>
      </w:r>
    </w:p>
    <w:p w14:paraId="7758D49B" w14:textId="4C7BF85E" w:rsidR="00E22223" w:rsidRPr="002D79FD" w:rsidRDefault="008218FF" w:rsidP="00172A3B">
      <w:pPr>
        <w:spacing w:line="480" w:lineRule="auto"/>
        <w:jc w:val="both"/>
        <w:rPr>
          <w:rFonts w:cs="Times New Roman"/>
          <w:lang w:val="en-GB"/>
        </w:rPr>
      </w:pPr>
      <w:r w:rsidRPr="002D79FD">
        <w:rPr>
          <w:rFonts w:cs="Times New Roman"/>
          <w:lang w:val="en-GB"/>
        </w:rPr>
        <w:t>In essence, Portugal interacts with EU media regulation by aligning its national laws with EU directives and regulations and through its participation in EU bodies like the European Board for Media Services.</w:t>
      </w:r>
      <w:r w:rsidR="00015DA8" w:rsidRPr="002D79FD">
        <w:rPr>
          <w:rFonts w:cs="Times New Roman"/>
          <w:lang w:val="en-GB"/>
        </w:rPr>
        <w:t xml:space="preserve"> </w:t>
      </w:r>
      <w:r w:rsidR="004E27E1" w:rsidRPr="002D79FD">
        <w:rPr>
          <w:rFonts w:cs="Times New Roman"/>
          <w:lang w:val="en-GB"/>
        </w:rPr>
        <w:t xml:space="preserve">In </w:t>
      </w:r>
      <w:r w:rsidR="00015DA8" w:rsidRPr="002D79FD">
        <w:rPr>
          <w:rFonts w:cs="Times New Roman"/>
          <w:lang w:val="en-GB"/>
        </w:rPr>
        <w:t>fact</w:t>
      </w:r>
      <w:r w:rsidR="004E27E1" w:rsidRPr="002D79FD">
        <w:rPr>
          <w:rFonts w:cs="Times New Roman"/>
          <w:lang w:val="en-GB"/>
        </w:rPr>
        <w:t>, t</w:t>
      </w:r>
      <w:r w:rsidR="00E22223" w:rsidRPr="002D79FD">
        <w:rPr>
          <w:rFonts w:cs="Times New Roman"/>
          <w:lang w:val="en-GB"/>
        </w:rPr>
        <w:t xml:space="preserve">he </w:t>
      </w:r>
      <w:r w:rsidR="004E27E1" w:rsidRPr="002D79FD">
        <w:rPr>
          <w:rFonts w:cs="Times New Roman"/>
          <w:lang w:val="en-GB"/>
        </w:rPr>
        <w:t xml:space="preserve">Portuguese </w:t>
      </w:r>
      <w:r w:rsidR="00E22223" w:rsidRPr="002D79FD">
        <w:rPr>
          <w:rFonts w:cs="Times New Roman"/>
          <w:lang w:val="en-GB"/>
        </w:rPr>
        <w:t xml:space="preserve">constitutional and statutory framework thus exist in dynamic interaction with EU legal developments, </w:t>
      </w:r>
      <w:r w:rsidR="00D30B05" w:rsidRPr="002D79FD">
        <w:rPr>
          <w:rFonts w:cs="Times New Roman"/>
          <w:lang w:val="en-GB"/>
        </w:rPr>
        <w:t>therefore</w:t>
      </w:r>
      <w:r w:rsidR="007A7E97" w:rsidRPr="002D79FD">
        <w:rPr>
          <w:rFonts w:cs="Times New Roman"/>
          <w:lang w:val="en-GB"/>
        </w:rPr>
        <w:t xml:space="preserve"> </w:t>
      </w:r>
      <w:r w:rsidR="00E22223" w:rsidRPr="002D79FD">
        <w:rPr>
          <w:rFonts w:cs="Times New Roman"/>
          <w:lang w:val="en-GB"/>
        </w:rPr>
        <w:t>requiring continual harmonization and reinterpretation.</w:t>
      </w:r>
      <w:r w:rsidR="00697D0C" w:rsidRPr="002D79FD">
        <w:rPr>
          <w:rFonts w:cs="Times New Roman"/>
          <w:lang w:val="en-GB"/>
        </w:rPr>
        <w:t xml:space="preserve"> </w:t>
      </w:r>
    </w:p>
    <w:p w14:paraId="4C635191" w14:textId="77777777" w:rsidR="006402BE" w:rsidRPr="002D79FD" w:rsidRDefault="006402BE" w:rsidP="00172A3B">
      <w:pPr>
        <w:spacing w:line="480" w:lineRule="auto"/>
        <w:jc w:val="both"/>
        <w:rPr>
          <w:rFonts w:cs="Times New Roman"/>
          <w:lang w:val="en-GB"/>
        </w:rPr>
      </w:pPr>
    </w:p>
    <w:p w14:paraId="725BB16E" w14:textId="1BECDC84" w:rsidR="0065238A" w:rsidRPr="002D79FD" w:rsidRDefault="00A43FA9" w:rsidP="00172A3B">
      <w:pPr>
        <w:spacing w:line="480" w:lineRule="auto"/>
        <w:jc w:val="both"/>
        <w:rPr>
          <w:rFonts w:cs="Times New Roman"/>
          <w:b/>
          <w:bCs/>
          <w:lang w:val="en-GB"/>
        </w:rPr>
      </w:pPr>
      <w:r w:rsidRPr="002D79FD">
        <w:rPr>
          <w:rFonts w:cs="Times New Roman"/>
          <w:b/>
          <w:bCs/>
          <w:lang w:val="en-GB"/>
        </w:rPr>
        <w:t>3. Theoretical and Conceptual Framework</w:t>
      </w:r>
    </w:p>
    <w:p w14:paraId="4B811F02" w14:textId="2D88C8F4" w:rsidR="00A43FA9" w:rsidRPr="002D79FD" w:rsidRDefault="00A43FA9" w:rsidP="00172A3B">
      <w:pPr>
        <w:spacing w:line="480" w:lineRule="auto"/>
        <w:jc w:val="both"/>
        <w:rPr>
          <w:rFonts w:cs="Times New Roman"/>
          <w:b/>
          <w:bCs/>
          <w:lang w:val="en-GB"/>
        </w:rPr>
      </w:pPr>
      <w:r w:rsidRPr="002D79FD">
        <w:rPr>
          <w:rFonts w:cs="Times New Roman"/>
          <w:b/>
          <w:bCs/>
          <w:lang w:val="en-GB"/>
        </w:rPr>
        <w:t xml:space="preserve">3.1. Normative Tensions </w:t>
      </w:r>
      <w:r w:rsidR="00310108" w:rsidRPr="002D79FD">
        <w:rPr>
          <w:rFonts w:cs="Times New Roman"/>
          <w:b/>
          <w:bCs/>
          <w:lang w:val="en-GB"/>
        </w:rPr>
        <w:t xml:space="preserve">and Balancing Rights </w:t>
      </w:r>
      <w:r w:rsidRPr="002D79FD">
        <w:rPr>
          <w:rFonts w:cs="Times New Roman"/>
          <w:b/>
          <w:bCs/>
          <w:lang w:val="en-GB"/>
        </w:rPr>
        <w:t>in Media Law</w:t>
      </w:r>
      <w:r w:rsidR="00F56A5C" w:rsidRPr="002D79FD">
        <w:rPr>
          <w:rFonts w:cs="Times New Roman"/>
          <w:b/>
          <w:bCs/>
          <w:lang w:val="en-GB"/>
        </w:rPr>
        <w:t>: Press Freedom, Accountability,</w:t>
      </w:r>
      <w:r w:rsidR="00310108" w:rsidRPr="002D79FD">
        <w:rPr>
          <w:rFonts w:cs="Times New Roman"/>
          <w:b/>
          <w:bCs/>
          <w:lang w:val="en-GB"/>
        </w:rPr>
        <w:t xml:space="preserve"> Public Interest,</w:t>
      </w:r>
      <w:r w:rsidR="00F56A5C" w:rsidRPr="002D79FD">
        <w:rPr>
          <w:rFonts w:cs="Times New Roman"/>
          <w:b/>
          <w:bCs/>
          <w:lang w:val="en-GB"/>
        </w:rPr>
        <w:t xml:space="preserve"> and Legal Theory</w:t>
      </w:r>
    </w:p>
    <w:p w14:paraId="338F69CB" w14:textId="77777777" w:rsidR="00A43FA9" w:rsidRPr="002D79FD" w:rsidRDefault="00A43FA9" w:rsidP="00172A3B">
      <w:pPr>
        <w:spacing w:line="480" w:lineRule="auto"/>
        <w:jc w:val="both"/>
        <w:rPr>
          <w:rFonts w:cs="Times New Roman"/>
          <w:lang w:val="en-GB"/>
        </w:rPr>
      </w:pPr>
      <w:r w:rsidRPr="002D79FD">
        <w:rPr>
          <w:rFonts w:cs="Times New Roman"/>
          <w:lang w:val="en-GB"/>
        </w:rPr>
        <w:t xml:space="preserve">Legal responsibility in journalism operates at the intersection of two competing paradigms: press freedom as a cornerstone of democracy and accountability as a mechanism of public </w:t>
      </w:r>
      <w:r w:rsidRPr="002D79FD">
        <w:rPr>
          <w:rFonts w:cs="Times New Roman"/>
          <w:lang w:val="en-GB"/>
        </w:rPr>
        <w:lastRenderedPageBreak/>
        <w:t>trust. These are often framed as dichotomous, but the real challenge lies in their reconciliation.</w:t>
      </w:r>
    </w:p>
    <w:p w14:paraId="28FE95B6" w14:textId="77777777" w:rsidR="008C252C" w:rsidRPr="008C252C" w:rsidRDefault="008C252C" w:rsidP="00172A3B">
      <w:pPr>
        <w:spacing w:line="480" w:lineRule="auto"/>
        <w:jc w:val="both"/>
        <w:rPr>
          <w:rFonts w:cs="Times New Roman"/>
          <w:lang w:val="en-GB"/>
        </w:rPr>
      </w:pPr>
      <w:r w:rsidRPr="008C252C">
        <w:rPr>
          <w:rFonts w:cs="Times New Roman"/>
          <w:lang w:val="en-GB"/>
        </w:rPr>
        <w:t>Freedom of the press is one of the pillars of contemporary constitutionalism, but its normativity is not linear. Comparative tradition shows that press protection oscillates between an almost absolute conception of freedom of communication and a logic of constant balancing with other fundamental rights.</w:t>
      </w:r>
    </w:p>
    <w:p w14:paraId="2C00707D" w14:textId="471C1F5D" w:rsidR="006514D6" w:rsidRDefault="008C252C" w:rsidP="00172A3B">
      <w:pPr>
        <w:spacing w:line="480" w:lineRule="auto"/>
        <w:jc w:val="both"/>
        <w:rPr>
          <w:rFonts w:cs="Times New Roman"/>
          <w:lang w:val="en-GB"/>
        </w:rPr>
      </w:pPr>
      <w:r w:rsidRPr="008C252C">
        <w:rPr>
          <w:rFonts w:cs="Times New Roman"/>
          <w:lang w:val="en-GB"/>
        </w:rPr>
        <w:t>In the American experience, Supreme Court jurisprudence has crystallized, since New York Times v. Sullivan (376 U.S. 254, 1964), a robust model of press protection, anchored in the idea that democratic accountability is only possible in a “marketplace of ideas” without significant barriers. The logic is eminently liberal: truth emerges from discursive competition, and abuses are the price of democratic vitality. Legal scholars such as Ronald Dworkin</w:t>
      </w:r>
      <w:r w:rsidRPr="002D79FD">
        <w:rPr>
          <w:rStyle w:val="FootnoteReference"/>
          <w:rFonts w:cs="Times New Roman"/>
        </w:rPr>
        <w:footnoteReference w:id="81"/>
      </w:r>
      <w:r w:rsidRPr="008C252C">
        <w:rPr>
          <w:rFonts w:cs="Times New Roman"/>
          <w:lang w:val="en-GB"/>
        </w:rPr>
        <w:t xml:space="preserve"> have emphasized that freedom of expression and of the press are substantive conditions, not merely instrumental ones, of the legitimacy of law, insofar as they are part of the very interpretive practice that confers authority on the legal system and </w:t>
      </w:r>
      <w:r w:rsidR="00FB660E" w:rsidRPr="008C252C">
        <w:rPr>
          <w:rFonts w:cs="Times New Roman"/>
          <w:lang w:val="en-GB"/>
        </w:rPr>
        <w:t>the</w:t>
      </w:r>
      <w:r w:rsidR="006A228C" w:rsidRPr="008C252C">
        <w:rPr>
          <w:rFonts w:cs="Times New Roman"/>
          <w:lang w:val="en-GB"/>
        </w:rPr>
        <w:t xml:space="preserve"> democratic process must allow for dissent and the expression of all convictions, making government restriction of expression—even potentially harmful forms—a threat to this legitimacy</w:t>
      </w:r>
      <w:r w:rsidR="00FB660E" w:rsidRPr="008C252C">
        <w:rPr>
          <w:rFonts w:cs="Times New Roman"/>
          <w:lang w:val="en-GB"/>
        </w:rPr>
        <w:t>.</w:t>
      </w:r>
    </w:p>
    <w:p w14:paraId="27E8489F" w14:textId="17C4BE69" w:rsidR="006514D6" w:rsidRPr="00B500D7" w:rsidRDefault="00BB53CC" w:rsidP="00172A3B">
      <w:pPr>
        <w:spacing w:line="480" w:lineRule="auto"/>
        <w:jc w:val="both"/>
        <w:rPr>
          <w:rFonts w:cs="Times New Roman"/>
          <w:lang w:val="en-GB"/>
        </w:rPr>
      </w:pPr>
      <w:r w:rsidRPr="00BB53CC">
        <w:rPr>
          <w:rFonts w:cs="Times New Roman"/>
          <w:lang w:val="en-GB"/>
        </w:rPr>
        <w:t xml:space="preserve">In contrast, European law adopts a more relational interpretation of rights. Freedom of the press is recognized as an institutional right (with a public function of overseeing power), but </w:t>
      </w:r>
      <w:r w:rsidRPr="00BB53CC">
        <w:rPr>
          <w:rFonts w:cs="Times New Roman"/>
          <w:lang w:val="en-GB"/>
        </w:rPr>
        <w:lastRenderedPageBreak/>
        <w:t>not an absolute one: it conflicts with dignity, privacy, or the presumption of innocence. The EC</w:t>
      </w:r>
      <w:r w:rsidR="00F25CD9">
        <w:rPr>
          <w:rFonts w:cs="Times New Roman"/>
          <w:lang w:val="en-GB"/>
        </w:rPr>
        <w:t>t</w:t>
      </w:r>
      <w:r w:rsidRPr="00BB53CC">
        <w:rPr>
          <w:rFonts w:cs="Times New Roman"/>
          <w:lang w:val="en-GB"/>
        </w:rPr>
        <w:t>HR, in cases such as Von Hannover v. Germany (2004 and 2012)</w:t>
      </w:r>
      <w:r w:rsidR="00B500D7" w:rsidRPr="00B500D7">
        <w:rPr>
          <w:rStyle w:val="FootnoteReference"/>
          <w:rFonts w:cs="Times New Roman"/>
          <w:lang w:val="en-GB"/>
        </w:rPr>
        <w:t xml:space="preserve"> </w:t>
      </w:r>
      <w:r w:rsidR="00B500D7" w:rsidRPr="002D79FD">
        <w:rPr>
          <w:rStyle w:val="FootnoteReference"/>
          <w:rFonts w:cs="Times New Roman"/>
        </w:rPr>
        <w:footnoteReference w:id="82"/>
      </w:r>
      <w:r w:rsidRPr="00BB53CC">
        <w:rPr>
          <w:rFonts w:cs="Times New Roman"/>
          <w:lang w:val="en-GB"/>
        </w:rPr>
        <w:t xml:space="preserve"> and Axel Springer v. Germany (2012)</w:t>
      </w:r>
      <w:r w:rsidR="00B500D7" w:rsidRPr="002D79FD">
        <w:rPr>
          <w:rStyle w:val="FootnoteReference"/>
          <w:rFonts w:cs="Times New Roman"/>
        </w:rPr>
        <w:footnoteReference w:id="83"/>
      </w:r>
      <w:r w:rsidRPr="00BB53CC">
        <w:rPr>
          <w:rFonts w:cs="Times New Roman"/>
          <w:lang w:val="en-GB"/>
        </w:rPr>
        <w:t>, has developed balancing criteria that articulate the public interest in information with the need to protect privacy. Authors such as Robert Alexy</w:t>
      </w:r>
      <w:r w:rsidRPr="002D79FD">
        <w:rPr>
          <w:rStyle w:val="FootnoteReference"/>
          <w:rFonts w:cs="Times New Roman"/>
        </w:rPr>
        <w:footnoteReference w:id="84"/>
      </w:r>
      <w:r w:rsidRPr="00BB53CC">
        <w:rPr>
          <w:rFonts w:cs="Times New Roman"/>
          <w:lang w:val="en-GB"/>
        </w:rPr>
        <w:t xml:space="preserve"> have theoretically structured this model: fundamental rights are “principles” subject to optimization, imposing proportional weighing and transparent argumentative justification, which requires</w:t>
      </w:r>
      <w:r w:rsidR="00B500D7">
        <w:rPr>
          <w:rFonts w:cs="Times New Roman"/>
          <w:lang w:val="en-GB"/>
        </w:rPr>
        <w:t xml:space="preserve"> a </w:t>
      </w:r>
      <w:r w:rsidR="00507964" w:rsidRPr="00B500D7">
        <w:rPr>
          <w:rFonts w:cs="Times New Roman"/>
          <w:lang w:val="en-GB"/>
        </w:rPr>
        <w:t xml:space="preserve">three-stage process (suitability, necessity, and proportionality stricto </w:t>
      </w:r>
      <w:r w:rsidR="00507964" w:rsidRPr="00B500D7">
        <w:rPr>
          <w:rFonts w:cs="Times New Roman"/>
          <w:lang w:val="en-GB"/>
        </w:rPr>
        <w:lastRenderedPageBreak/>
        <w:t xml:space="preserve">sensu), to resolve conflicts between competing principles by "balancing" them and determining the "weight" of each principle </w:t>
      </w:r>
      <w:proofErr w:type="gramStart"/>
      <w:r w:rsidR="00507964" w:rsidRPr="00B500D7">
        <w:rPr>
          <w:rFonts w:cs="Times New Roman"/>
          <w:lang w:val="en-GB"/>
        </w:rPr>
        <w:t>in a given</w:t>
      </w:r>
      <w:proofErr w:type="gramEnd"/>
      <w:r w:rsidR="00507964" w:rsidRPr="00B500D7">
        <w:rPr>
          <w:rFonts w:cs="Times New Roman"/>
          <w:lang w:val="en-GB"/>
        </w:rPr>
        <w:t xml:space="preserve"> case. </w:t>
      </w:r>
      <w:r w:rsidR="002B260C" w:rsidRPr="00B500D7">
        <w:rPr>
          <w:rFonts w:cs="Times New Roman"/>
          <w:lang w:val="en-GB"/>
        </w:rPr>
        <w:t xml:space="preserve"> </w:t>
      </w:r>
    </w:p>
    <w:p w14:paraId="3E50225E" w14:textId="2B4E12F5" w:rsidR="001D1A92" w:rsidRDefault="00137827" w:rsidP="00172A3B">
      <w:pPr>
        <w:spacing w:line="480" w:lineRule="auto"/>
        <w:jc w:val="both"/>
        <w:rPr>
          <w:rFonts w:cs="Times New Roman"/>
          <w:lang w:val="en-GB"/>
        </w:rPr>
      </w:pPr>
      <w:r w:rsidRPr="00137827">
        <w:rPr>
          <w:rFonts w:cs="Times New Roman"/>
          <w:lang w:val="en-GB"/>
        </w:rPr>
        <w:t xml:space="preserve">Portuguese case law fits into this European framework, offering relevant examples of consideration. In </w:t>
      </w:r>
      <w:r>
        <w:rPr>
          <w:rFonts w:cs="Times New Roman"/>
          <w:lang w:val="en-GB"/>
        </w:rPr>
        <w:t>Ruling</w:t>
      </w:r>
      <w:r w:rsidRPr="00137827">
        <w:rPr>
          <w:rFonts w:cs="Times New Roman"/>
          <w:lang w:val="en-GB"/>
        </w:rPr>
        <w:t xml:space="preserve"> No. 201/2004</w:t>
      </w:r>
      <w:r w:rsidR="00C9792C" w:rsidRPr="002D79FD">
        <w:rPr>
          <w:rStyle w:val="FootnoteReference"/>
          <w:rFonts w:cs="Times New Roman"/>
        </w:rPr>
        <w:footnoteReference w:id="85"/>
      </w:r>
      <w:r w:rsidRPr="00137827">
        <w:rPr>
          <w:rFonts w:cs="Times New Roman"/>
          <w:lang w:val="en-GB"/>
        </w:rPr>
        <w:t xml:space="preserve">, the </w:t>
      </w:r>
      <w:r w:rsidR="00C9792C">
        <w:rPr>
          <w:rFonts w:cs="Times New Roman"/>
          <w:lang w:val="en-GB"/>
        </w:rPr>
        <w:t>TC</w:t>
      </w:r>
      <w:r w:rsidRPr="00137827">
        <w:rPr>
          <w:rFonts w:cs="Times New Roman"/>
          <w:lang w:val="en-GB"/>
        </w:rPr>
        <w:t xml:space="preserve"> was called upon to rule on a request for the unconstitutionality of Articles 31(2)(b) b) and 180(2)(b) (relating to defamation) of the Penal Code (CP), insofar as they excluded the possibility of considering offensive value judgments, formulated within the scope of freedom of expression and of the press, to be justified. As for Article 31(2)(b) of the CP, the TC did not hear the appeal due to a lack of coincidence between the interpreted rule and the syndicated interpretation. As for Article 180(2)(b) of the CP, it was not deemed unconstitutional when interpreted to mean that the exclusion of illegality applies only to allegations of facts, not to value judgments. To this end, the TC relied on doctrine</w:t>
      </w:r>
      <w:r w:rsidR="00C60050" w:rsidRPr="002D79FD">
        <w:rPr>
          <w:rStyle w:val="FootnoteReference"/>
          <w:rFonts w:cs="Times New Roman"/>
        </w:rPr>
        <w:footnoteReference w:id="86"/>
      </w:r>
      <w:r w:rsidRPr="00137827">
        <w:rPr>
          <w:rFonts w:cs="Times New Roman"/>
          <w:lang w:val="en-GB"/>
        </w:rPr>
        <w:t xml:space="preserve"> to uphold the distinction between fact and judgment and emphasized that the protection of freedom of the press does not require that the “truth” of offensive value judgments be proven, as these are, by their very nature, unprovable. The constitutional protection of freedom of the press, in cases of value judgments, can be ensured by other rules (such as Article 31(2) of the CP – exercise of a right), when such judgments are made in good faith and based on true facts. Thus, the rule in Article 180(2)(b) of the PC, interpreted as restricted to facts, is not unconstitutional, as it does not violate Articles 37 and 38 of the CRP and respects the principles of necessity, adequacy, and proportionality as provided for in Article 18 of the CRP.</w:t>
      </w:r>
    </w:p>
    <w:p w14:paraId="55149A86" w14:textId="5B4A288F" w:rsidR="00CC3701" w:rsidRPr="00B500D7" w:rsidRDefault="00CC3701" w:rsidP="00172A3B">
      <w:pPr>
        <w:spacing w:line="480" w:lineRule="auto"/>
        <w:jc w:val="both"/>
        <w:rPr>
          <w:rFonts w:cs="Times New Roman"/>
          <w:lang w:val="en-GB"/>
        </w:rPr>
      </w:pPr>
      <w:r w:rsidRPr="00CC3701">
        <w:rPr>
          <w:rFonts w:cs="Times New Roman"/>
          <w:lang w:val="en-GB"/>
        </w:rPr>
        <w:lastRenderedPageBreak/>
        <w:t>Equally interesting is Ruling No. 292/2008</w:t>
      </w:r>
      <w:r w:rsidR="00DB0BA5" w:rsidRPr="002D79FD">
        <w:rPr>
          <w:rStyle w:val="FootnoteReference"/>
          <w:rFonts w:cs="Times New Roman"/>
        </w:rPr>
        <w:footnoteReference w:id="87"/>
      </w:r>
      <w:r w:rsidRPr="00CC3701">
        <w:rPr>
          <w:rFonts w:cs="Times New Roman"/>
          <w:lang w:val="en-GB"/>
        </w:rPr>
        <w:t xml:space="preserve"> of the TC concerning the collision of rights to a good name (especially of legal persons) and freedom of information, focusing specifically on the question of whether, when the right to inform is at stake, the expression mere fault, contained in Article 483(1) of the Civil Code (CC), can be read as unconscious negligence, in the sense of establishing the duty to compensate anyone who asserts or disseminates a fact capable of damaging the credit or good name of any person, whether natural or legal (Article 484 CC). Based on civil law</w:t>
      </w:r>
      <w:r w:rsidR="00DB0BA5" w:rsidRPr="002D79FD">
        <w:rPr>
          <w:rStyle w:val="FootnoteReference"/>
          <w:rFonts w:cs="Times New Roman"/>
        </w:rPr>
        <w:footnoteReference w:id="88"/>
      </w:r>
      <w:r w:rsidRPr="00CC3701">
        <w:rPr>
          <w:rFonts w:cs="Times New Roman"/>
          <w:lang w:val="en-GB"/>
        </w:rPr>
        <w:t xml:space="preserve"> and constitutional law</w:t>
      </w:r>
      <w:r w:rsidR="00DB0BA5" w:rsidRPr="002D79FD">
        <w:rPr>
          <w:rStyle w:val="FootnoteReference"/>
          <w:rFonts w:cs="Times New Roman"/>
        </w:rPr>
        <w:footnoteReference w:id="89"/>
      </w:r>
      <w:r w:rsidR="00DB0BA5">
        <w:rPr>
          <w:rFonts w:cs="Times New Roman"/>
          <w:lang w:val="en-GB"/>
        </w:rPr>
        <w:t xml:space="preserve"> </w:t>
      </w:r>
      <w:r w:rsidR="00DB0BA5" w:rsidRPr="00CC3701">
        <w:rPr>
          <w:rFonts w:cs="Times New Roman"/>
          <w:lang w:val="en-GB"/>
        </w:rPr>
        <w:t>doctrine</w:t>
      </w:r>
      <w:r w:rsidRPr="00CC3701">
        <w:rPr>
          <w:rFonts w:cs="Times New Roman"/>
          <w:lang w:val="en-GB"/>
        </w:rPr>
        <w:t>, as well as on previous case law of the TC on conflicts of rights involving freedom of the press (and even freedom of expression)</w:t>
      </w:r>
      <w:r w:rsidR="00C03673" w:rsidRPr="002D79FD">
        <w:rPr>
          <w:rStyle w:val="FootnoteReference"/>
          <w:rFonts w:cs="Times New Roman"/>
        </w:rPr>
        <w:footnoteReference w:id="90"/>
      </w:r>
      <w:r w:rsidRPr="00CC3701">
        <w:rPr>
          <w:rFonts w:cs="Times New Roman"/>
          <w:lang w:val="en-GB"/>
        </w:rPr>
        <w:t xml:space="preserve">, namely Ruling No. 113/97, the Court decides that civil liability for mere negligence, including unconscious negligence, in violation of the right to a good name is not unconstitutional. The protection of the right to information and freedom of the press is maintained, provided that the journalist acts with zeal, diligence, and respect for legal and ethical rules. There is no violation of the essential content of freedom of expression, as it is not a matter of preventing information, but of requiring that it be exercised responsibly. As grounds, the Court argues that Article 483 of the CC covers intent and fault (conscious and unconscious negligence). Even unconscious negligence is reprehensible and legally </w:t>
      </w:r>
      <w:r w:rsidRPr="00CC3701">
        <w:rPr>
          <w:rFonts w:cs="Times New Roman"/>
          <w:lang w:val="en-GB"/>
        </w:rPr>
        <w:lastRenderedPageBreak/>
        <w:t>relevant</w:t>
      </w:r>
      <w:r w:rsidR="00C03673" w:rsidRPr="002D79FD">
        <w:rPr>
          <w:rStyle w:val="FootnoteReference"/>
          <w:rFonts w:cs="Times New Roman"/>
        </w:rPr>
        <w:footnoteReference w:id="91"/>
      </w:r>
      <w:r w:rsidRPr="00CC3701">
        <w:rPr>
          <w:rFonts w:cs="Times New Roman"/>
          <w:lang w:val="en-GB"/>
        </w:rPr>
        <w:t xml:space="preserve">. Furthermore, this is a conflict between fundamental rights, with the case pitting the right to a good name and reputation (even for legal entities and public figures) against the freedom to inform. The technique of practical agreement must therefore be applied, preventing one right from nullifying the essential content of the other. Furthermore, the status of public figure does not eliminate the protection of the right to a good name. This thus acts as a limit to freedom of the press regardless of the type of fault (conscious or unconscious negligence). Requiring intent or only conscious negligence would excessively reduce the constitutional protection of the right to a good name. This decision, according to the TC's own understanding, does not contradict the case law of the </w:t>
      </w:r>
      <w:r w:rsidR="00F25CD9" w:rsidRPr="003839A7">
        <w:rPr>
          <w:rFonts w:cs="Times New Roman"/>
          <w:lang w:val="en-GB"/>
        </w:rPr>
        <w:t xml:space="preserve">ECtHR </w:t>
      </w:r>
      <w:r w:rsidR="00F457C9" w:rsidRPr="002D79FD">
        <w:rPr>
          <w:rStyle w:val="FootnoteReference"/>
          <w:rFonts w:cs="Times New Roman"/>
        </w:rPr>
        <w:footnoteReference w:id="92"/>
      </w:r>
      <w:r w:rsidRPr="00CC3701">
        <w:rPr>
          <w:rFonts w:cs="Times New Roman"/>
          <w:lang w:val="en-GB"/>
        </w:rPr>
        <w:t xml:space="preserve">, which only allows restrictions on freedom of expression if they are proportionate and justified by an overriding social need. After all, the TC only assesses the issue of constitutionality and cannot reevaluate facts, the public interest of the news, or the amount of compensation. Thus, in terms of journalists' duties, civil liability does not eliminate freedom of information if journalists act diligently. In this specific case, it was proven that they did not comply with </w:t>
      </w:r>
      <w:r w:rsidRPr="00CC3701">
        <w:rPr>
          <w:rFonts w:cs="Times New Roman"/>
          <w:lang w:val="en-GB"/>
        </w:rPr>
        <w:lastRenderedPageBreak/>
        <w:t>their ethical duties (e.g., they did not respond to relevant denials, they did not sufficiently confirm the information). In short, the ruling reinforces the idea that freedom of the press, although essential in a democracy, cannot completely suppress the rights of personality, even of legal entities and public figures.</w:t>
      </w:r>
    </w:p>
    <w:p w14:paraId="43501893" w14:textId="69743CF1" w:rsidR="00224B98" w:rsidRPr="00131BA9" w:rsidRDefault="00131BA9" w:rsidP="00172A3B">
      <w:pPr>
        <w:spacing w:line="480" w:lineRule="auto"/>
        <w:jc w:val="both"/>
        <w:rPr>
          <w:rFonts w:cs="Times New Roman"/>
          <w:lang w:val="en-GB"/>
        </w:rPr>
      </w:pPr>
      <w:r w:rsidRPr="00131BA9">
        <w:rPr>
          <w:rFonts w:cs="Times New Roman"/>
          <w:lang w:val="en-GB"/>
        </w:rPr>
        <w:t xml:space="preserve">This idea of </w:t>
      </w:r>
      <w:r w:rsidRPr="00131BA9">
        <w:rPr>
          <w:rFonts w:ascii="Arial" w:hAnsi="Arial" w:cs="Arial"/>
          <w:lang w:val="en-GB"/>
        </w:rPr>
        <w:t>​​</w:t>
      </w:r>
      <w:r w:rsidRPr="00131BA9">
        <w:rPr>
          <w:rFonts w:cs="Times New Roman"/>
          <w:lang w:val="en-GB"/>
        </w:rPr>
        <w:t xml:space="preserve">weighing fundamental rights, considering the application of the principle of proportionality based on the nature of the specific case and the status of the individuals involved (e.g., location, notoriety of those involved, public interest, police or judicial requirements, scientific, educational, or cultural purposes), can be found in Opinions of the Attorney General's Office, notably in Opinion No. PGRP00002317/P000952003 of 2004. In the present case, having weighed the right to image and freedom of the press/right to information, it is concluded that, at the courthouse gates, </w:t>
      </w:r>
      <w:r w:rsidR="0013073E">
        <w:rPr>
          <w:rFonts w:cs="Times New Roman"/>
          <w:lang w:val="en-GB"/>
        </w:rPr>
        <w:t>police</w:t>
      </w:r>
      <w:r w:rsidRPr="00131BA9">
        <w:rPr>
          <w:rFonts w:cs="Times New Roman"/>
          <w:lang w:val="en-GB"/>
        </w:rPr>
        <w:t xml:space="preserve"> forces may only restrict the right to information, to the extent that the principle of proportionality is respected and the essential content of that right is respected, "in order to: (a) Ensure the free entry and exit of individuals and vehicles into and out of the courtroom; (b) Safeguard the life, physical integrity, liberty, and safety of parties to the proceedings, particularly those benefiting from specific police protection measures."</w:t>
      </w:r>
    </w:p>
    <w:p w14:paraId="6F1C708A" w14:textId="3B3AD930" w:rsidR="000045E0" w:rsidRPr="00CC6B1E" w:rsidRDefault="000045E0" w:rsidP="00172A3B">
      <w:pPr>
        <w:spacing w:line="480" w:lineRule="auto"/>
        <w:jc w:val="both"/>
        <w:rPr>
          <w:rFonts w:cs="Times New Roman"/>
          <w:lang w:val="en-GB"/>
        </w:rPr>
      </w:pPr>
      <w:r w:rsidRPr="00CC6B1E">
        <w:rPr>
          <w:rFonts w:cs="Times New Roman"/>
          <w:lang w:val="en-GB"/>
        </w:rPr>
        <w:t xml:space="preserve">The Supreme Court of Justice (STJ) has also highlighted the need for increased responsibility on the part of the media, using proportionality tests in the relationship between conflicting rights that, at least in theory, have equal constitutional hierarchy, namely freedom of expression and the right to information and personality rights, </w:t>
      </w:r>
      <w:r w:rsidR="00CC6B1E">
        <w:rPr>
          <w:rFonts w:cs="Times New Roman"/>
          <w:lang w:val="en-GB"/>
        </w:rPr>
        <w:t>specifically</w:t>
      </w:r>
      <w:r w:rsidRPr="00CC6B1E">
        <w:rPr>
          <w:rFonts w:cs="Times New Roman"/>
          <w:lang w:val="en-GB"/>
        </w:rPr>
        <w:t xml:space="preserve"> by weighing up the degree of specialization of the press and the legitimate public interest in the case</w:t>
      </w:r>
      <w:r w:rsidR="008C6FB4">
        <w:rPr>
          <w:rFonts w:cs="Times New Roman"/>
          <w:lang w:val="en-GB"/>
        </w:rPr>
        <w:t xml:space="preserve"> under </w:t>
      </w:r>
      <w:proofErr w:type="spellStart"/>
      <w:r w:rsidR="008C6FB4">
        <w:rPr>
          <w:rFonts w:cs="Times New Roman"/>
          <w:lang w:val="en-GB"/>
        </w:rPr>
        <w:t>anal</w:t>
      </w:r>
      <w:r w:rsidR="007879D8">
        <w:rPr>
          <w:rFonts w:cs="Times New Roman"/>
          <w:lang w:val="en-GB"/>
        </w:rPr>
        <w:t>yze</w:t>
      </w:r>
      <w:proofErr w:type="spellEnd"/>
      <w:r w:rsidRPr="00CC6B1E">
        <w:rPr>
          <w:rFonts w:cs="Times New Roman"/>
          <w:lang w:val="en-GB"/>
        </w:rPr>
        <w:t>.</w:t>
      </w:r>
    </w:p>
    <w:p w14:paraId="25FB6179" w14:textId="4A1B54A5" w:rsidR="0037161A" w:rsidRPr="0037161A" w:rsidRDefault="00D51486" w:rsidP="00172A3B">
      <w:pPr>
        <w:spacing w:line="480" w:lineRule="auto"/>
        <w:jc w:val="both"/>
        <w:rPr>
          <w:rFonts w:cs="Times New Roman"/>
          <w:lang w:val="en-GB"/>
        </w:rPr>
      </w:pPr>
      <w:r w:rsidRPr="00D51486">
        <w:rPr>
          <w:rFonts w:cs="Times New Roman"/>
          <w:lang w:val="en-GB"/>
        </w:rPr>
        <w:t xml:space="preserve">Portuguese doctrine has naturally accompanied and promoted this evolution, which is based on the assumption that the CRP does not establish any hierarchy between personality rights (including the right to </w:t>
      </w:r>
      <w:proofErr w:type="spellStart"/>
      <w:r w:rsidRPr="00D51486">
        <w:rPr>
          <w:rFonts w:cs="Times New Roman"/>
          <w:lang w:val="en-GB"/>
        </w:rPr>
        <w:t>honor</w:t>
      </w:r>
      <w:proofErr w:type="spellEnd"/>
      <w:r w:rsidRPr="00D51486">
        <w:rPr>
          <w:rFonts w:cs="Times New Roman"/>
          <w:lang w:val="en-GB"/>
        </w:rPr>
        <w:t xml:space="preserve"> and good name, image, freedom of speech, </w:t>
      </w:r>
      <w:r w:rsidRPr="00D51486">
        <w:rPr>
          <w:rFonts w:cs="Times New Roman"/>
          <w:lang w:val="en-GB"/>
        </w:rPr>
        <w:lastRenderedPageBreak/>
        <w:t xml:space="preserve">personal development, and privacy in private and family life) and the right to freedom of expression and information, particularly through the press, assuming that these are values on the same level and that it is not possible to make an abstract assessment of constitutionally protected values. When in real or apparent conflict, such rights should be considered as principles that can be weighed or balanced in specific cases, ruling out any idea of abstract overvaluation or undervaluation. In other words, a practical agreement must be reached based on a principle of harmonization that does not affect the essential content of the rights in question and does not impose their optimal exercise. </w:t>
      </w:r>
      <w:r w:rsidR="0037161A" w:rsidRPr="0037161A">
        <w:rPr>
          <w:rFonts w:cs="Times New Roman"/>
          <w:lang w:val="en-GB"/>
        </w:rPr>
        <w:t>Thus, as Viera de Andrade</w:t>
      </w:r>
      <w:r w:rsidR="0037161A" w:rsidRPr="002D79FD">
        <w:rPr>
          <w:rStyle w:val="FootnoteReference"/>
          <w:rFonts w:cs="Times New Roman"/>
        </w:rPr>
        <w:footnoteReference w:id="93"/>
      </w:r>
      <w:r w:rsidR="0037161A" w:rsidRPr="0037161A">
        <w:rPr>
          <w:rFonts w:cs="Times New Roman"/>
          <w:lang w:val="en-GB"/>
        </w:rPr>
        <w:t xml:space="preserve"> aptly summarizes, “</w:t>
      </w:r>
      <w:r w:rsidR="0037161A" w:rsidRPr="0037161A">
        <w:rPr>
          <w:rFonts w:cs="Times New Roman"/>
          <w:i/>
          <w:iCs/>
          <w:lang w:val="en-GB"/>
        </w:rPr>
        <w:t>The principle of practical agreement is therefore implemented through a criterion of proportionality in the distribution of the costs of the conflict. On the one hand, it requires that the sacrifice of each of the constitutional values be adequate and necessary to safeguard the others. If this is not the case, there is not even a real conflict. On the other hand, and here we are faced with the idea of proportionality in the strict sense, it is imperative that the choice between the various ways of resolving the issue in the case (the concrete preference) be made in terms of compressing as little as possible each of the values in question according to their weight in the situation, based on the intensity and extent to which their compression in the case affects the protection granted to them by the Constitution."</w:t>
      </w:r>
      <w:r w:rsidR="0037161A" w:rsidRPr="0037161A">
        <w:rPr>
          <w:rFonts w:cs="Times New Roman"/>
          <w:lang w:val="en-GB"/>
        </w:rPr>
        <w:t xml:space="preserve"> </w:t>
      </w:r>
    </w:p>
    <w:p w14:paraId="61DAFE9E" w14:textId="77777777" w:rsidR="00702ADC" w:rsidRDefault="0037161A" w:rsidP="00172A3B">
      <w:pPr>
        <w:spacing w:line="480" w:lineRule="auto"/>
        <w:jc w:val="both"/>
        <w:rPr>
          <w:rFonts w:cs="Times New Roman"/>
          <w:lang w:val="en-GB"/>
        </w:rPr>
      </w:pPr>
      <w:r w:rsidRPr="0037161A">
        <w:rPr>
          <w:rFonts w:cs="Times New Roman"/>
          <w:lang w:val="en-GB"/>
        </w:rPr>
        <w:t xml:space="preserve">Ultimately, in constitutional theory, this difference in paradigms reflects deeper tensions. While the American model </w:t>
      </w:r>
      <w:proofErr w:type="spellStart"/>
      <w:r w:rsidRPr="0037161A">
        <w:rPr>
          <w:rFonts w:cs="Times New Roman"/>
          <w:lang w:val="en-GB"/>
        </w:rPr>
        <w:t>favors</w:t>
      </w:r>
      <w:proofErr w:type="spellEnd"/>
      <w:r w:rsidRPr="0037161A">
        <w:rPr>
          <w:rFonts w:cs="Times New Roman"/>
          <w:lang w:val="en-GB"/>
        </w:rPr>
        <w:t xml:space="preserve"> a more libertarian interpretation, which protects the press almost unconditionally, the European model is based on a hermeneutic of collision, in which the core of press freedom must be reconciled with other constitutional rights, without </w:t>
      </w:r>
      <w:r w:rsidRPr="0037161A">
        <w:rPr>
          <w:rFonts w:cs="Times New Roman"/>
          <w:i/>
          <w:iCs/>
          <w:lang w:val="en-GB"/>
        </w:rPr>
        <w:t>a priori</w:t>
      </w:r>
      <w:r w:rsidRPr="0037161A">
        <w:rPr>
          <w:rFonts w:cs="Times New Roman"/>
          <w:lang w:val="en-GB"/>
        </w:rPr>
        <w:t xml:space="preserve"> prevalence and facing constitutional and legal restrictions.</w:t>
      </w:r>
    </w:p>
    <w:p w14:paraId="37D72803" w14:textId="52ECFE6A" w:rsidR="0037161A" w:rsidRPr="0037161A" w:rsidRDefault="0037161A" w:rsidP="00172A3B">
      <w:pPr>
        <w:spacing w:line="480" w:lineRule="auto"/>
        <w:jc w:val="both"/>
        <w:rPr>
          <w:rFonts w:cs="Times New Roman"/>
          <w:lang w:val="en-GB"/>
        </w:rPr>
      </w:pPr>
      <w:r w:rsidRPr="0037161A">
        <w:rPr>
          <w:rFonts w:cs="Times New Roman"/>
          <w:lang w:val="en-GB"/>
        </w:rPr>
        <w:lastRenderedPageBreak/>
        <w:t xml:space="preserve"> </w:t>
      </w:r>
      <w:r w:rsidR="00702ADC" w:rsidRPr="00702ADC">
        <w:rPr>
          <w:rFonts w:cs="Times New Roman"/>
          <w:lang w:val="en-GB"/>
        </w:rPr>
        <w:t>While it is true that the Portuguese Constitution, like several others, including the ECHR, was inspired by the US Constitution and its First Amendment regarding freedom of the press and freedom of expression, in reality, its interpretation and application, including judicial application, differs.</w:t>
      </w:r>
      <w:r w:rsidR="00702ADC" w:rsidRPr="00702ADC">
        <w:rPr>
          <w:rStyle w:val="FootnoteReference"/>
          <w:rFonts w:cs="Times New Roman"/>
          <w:lang w:val="en-GB"/>
        </w:rPr>
        <w:t xml:space="preserve"> </w:t>
      </w:r>
      <w:r w:rsidR="00702ADC" w:rsidRPr="002D79FD">
        <w:rPr>
          <w:rStyle w:val="FootnoteReference"/>
          <w:rFonts w:cs="Times New Roman"/>
        </w:rPr>
        <w:footnoteReference w:id="94"/>
      </w:r>
      <w:r w:rsidR="00702ADC" w:rsidRPr="00702ADC">
        <w:rPr>
          <w:rFonts w:cs="Times New Roman"/>
          <w:lang w:val="en-GB"/>
        </w:rPr>
        <w:t xml:space="preserve"> In fact, from what has been written, it is easy to understand that the European versions</w:t>
      </w:r>
      <w:r w:rsidR="00702ADC" w:rsidRPr="002D79FD">
        <w:rPr>
          <w:rStyle w:val="FootnoteReference"/>
          <w:rFonts w:cs="Times New Roman"/>
        </w:rPr>
        <w:footnoteReference w:id="95"/>
      </w:r>
      <w:r w:rsidR="00702ADC" w:rsidRPr="00702ADC">
        <w:rPr>
          <w:rFonts w:cs="Times New Roman"/>
          <w:lang w:val="en-GB"/>
        </w:rPr>
        <w:t xml:space="preserve">, and the Portuguese one in particular, are clearer in enshrining freedom of the press and </w:t>
      </w:r>
      <w:r w:rsidR="00F26B7A">
        <w:rPr>
          <w:rFonts w:cs="Times New Roman"/>
          <w:lang w:val="en-GB"/>
        </w:rPr>
        <w:t>free speech</w:t>
      </w:r>
      <w:r w:rsidR="00702ADC" w:rsidRPr="00702ADC">
        <w:rPr>
          <w:rFonts w:cs="Times New Roman"/>
          <w:lang w:val="en-GB"/>
        </w:rPr>
        <w:t xml:space="preserve">, with predetermined constitutional and legal limits for the repression of abuse, while in the American First Amendment the main focus is on freedom itself, whose existence - predetermined - will prevent Congress itself from legislating to restrict it. Thus, as will be discussed again in relation to defamation, the weighing of values at stake is done differently, even if, as will be seen, the position of the </w:t>
      </w:r>
      <w:r w:rsidR="00F25CD9" w:rsidRPr="003839A7">
        <w:rPr>
          <w:rFonts w:cs="Times New Roman"/>
          <w:lang w:val="en-GB"/>
        </w:rPr>
        <w:t xml:space="preserve">ECtHR </w:t>
      </w:r>
      <w:r w:rsidR="00702ADC" w:rsidRPr="00702ADC">
        <w:rPr>
          <w:rFonts w:cs="Times New Roman"/>
          <w:lang w:val="en-GB"/>
        </w:rPr>
        <w:t>is closer to the American interpretation.</w:t>
      </w:r>
    </w:p>
    <w:p w14:paraId="6DBBB3EA" w14:textId="18796420" w:rsidR="006514D6" w:rsidRPr="00C54965" w:rsidRDefault="00C54965" w:rsidP="00172A3B">
      <w:pPr>
        <w:spacing w:line="480" w:lineRule="auto"/>
        <w:jc w:val="both"/>
        <w:rPr>
          <w:rFonts w:cs="Times New Roman"/>
          <w:lang w:val="en-GB"/>
        </w:rPr>
      </w:pPr>
      <w:r w:rsidRPr="00C54965">
        <w:rPr>
          <w:rFonts w:cs="Times New Roman"/>
          <w:lang w:val="en-GB"/>
        </w:rPr>
        <w:t>Thus, freedom of the press must be understood as a right in structural tension: (</w:t>
      </w:r>
      <w:proofErr w:type="spellStart"/>
      <w:r w:rsidRPr="00C54965">
        <w:rPr>
          <w:rFonts w:cs="Times New Roman"/>
          <w:lang w:val="en-GB"/>
        </w:rPr>
        <w:t>i</w:t>
      </w:r>
      <w:proofErr w:type="spellEnd"/>
      <w:r w:rsidRPr="00C54965">
        <w:rPr>
          <w:rFonts w:cs="Times New Roman"/>
          <w:lang w:val="en-GB"/>
        </w:rPr>
        <w:t xml:space="preserve">) it is a condition of democratic accountability, functioning as a mechanism for diffuse control of power; but (ii) it encounters inherent limits, insofar as the very pluralism that sustains democracy is only preserved if the protection of the individual sphere is guaranteed. The contemporary European legal response, and the Portuguese response in particular, is not found in rigid hierarchies, but in methodologies of weighing up the circumstances justified in light of the characteristics of the specific case, even if with interpretations that may be </w:t>
      </w:r>
      <w:r w:rsidRPr="00C54965">
        <w:rPr>
          <w:rFonts w:cs="Times New Roman"/>
          <w:lang w:val="en-GB"/>
        </w:rPr>
        <w:lastRenderedPageBreak/>
        <w:t>restrictive, which preserve the integrity of both the public function of the press and the dignity of the human person, which, incidentally, also includes communicative freedoms</w:t>
      </w:r>
      <w:r w:rsidR="00C76AAC" w:rsidRPr="002D79FD">
        <w:rPr>
          <w:rStyle w:val="FootnoteReference"/>
          <w:rFonts w:cs="Times New Roman"/>
        </w:rPr>
        <w:footnoteReference w:id="96"/>
      </w:r>
      <w:r w:rsidR="006514D6" w:rsidRPr="00C54965">
        <w:rPr>
          <w:rFonts w:cs="Times New Roman"/>
          <w:lang w:val="en-GB"/>
        </w:rPr>
        <w:t>.</w:t>
      </w:r>
    </w:p>
    <w:p w14:paraId="107C9456" w14:textId="77777777" w:rsidR="00C54965" w:rsidRDefault="00C54965" w:rsidP="00172A3B">
      <w:pPr>
        <w:spacing w:line="480" w:lineRule="auto"/>
        <w:jc w:val="both"/>
        <w:rPr>
          <w:rFonts w:cs="Times New Roman"/>
          <w:lang w:val="en-GB"/>
        </w:rPr>
      </w:pPr>
      <w:r w:rsidRPr="00C54965">
        <w:rPr>
          <w:rFonts w:cs="Times New Roman"/>
          <w:lang w:val="en-GB"/>
        </w:rPr>
        <w:t>In this regard, as will be seen below, there has been some evolution in Portuguese case law.</w:t>
      </w:r>
    </w:p>
    <w:p w14:paraId="18E59E56" w14:textId="77777777" w:rsidR="00C54965" w:rsidRDefault="00C54965" w:rsidP="00172A3B">
      <w:pPr>
        <w:spacing w:line="480" w:lineRule="auto"/>
        <w:jc w:val="both"/>
        <w:rPr>
          <w:rFonts w:cs="Times New Roman"/>
          <w:lang w:val="en-GB"/>
        </w:rPr>
      </w:pPr>
    </w:p>
    <w:p w14:paraId="1FDA50F6" w14:textId="165368BB" w:rsidR="00A43FA9" w:rsidRPr="002D79FD" w:rsidRDefault="00A43FA9" w:rsidP="00172A3B">
      <w:pPr>
        <w:spacing w:line="480" w:lineRule="auto"/>
        <w:jc w:val="both"/>
        <w:rPr>
          <w:rFonts w:cs="Times New Roman"/>
          <w:b/>
          <w:bCs/>
          <w:lang w:val="en-GB"/>
        </w:rPr>
      </w:pPr>
      <w:r w:rsidRPr="002D79FD">
        <w:rPr>
          <w:rFonts w:cs="Times New Roman"/>
          <w:b/>
          <w:bCs/>
          <w:lang w:val="en-GB"/>
        </w:rPr>
        <w:t xml:space="preserve">3.2. </w:t>
      </w:r>
      <w:r w:rsidR="00664A6E" w:rsidRPr="002D79FD">
        <w:rPr>
          <w:rFonts w:cs="Times New Roman"/>
          <w:b/>
          <w:bCs/>
          <w:lang w:val="en-GB"/>
        </w:rPr>
        <w:t>Media Systems and the Polarized Pluralist Model</w:t>
      </w:r>
    </w:p>
    <w:p w14:paraId="5A6B6D51" w14:textId="562E5311" w:rsidR="00A4363F" w:rsidRDefault="0022161C" w:rsidP="00172A3B">
      <w:pPr>
        <w:spacing w:line="480" w:lineRule="auto"/>
        <w:jc w:val="both"/>
        <w:rPr>
          <w:rFonts w:cs="Times New Roman"/>
          <w:lang w:val="en-GB"/>
        </w:rPr>
      </w:pPr>
      <w:r w:rsidRPr="0022161C">
        <w:rPr>
          <w:rFonts w:cs="Times New Roman"/>
          <w:lang w:val="en-GB"/>
        </w:rPr>
        <w:t>Considering the social responsibility of the media in the constitutional construction of democracy and the formation of public opinion, it is easy to understand the interest in debates on the relationship between the media and the political sphere/political power and democratic tens</w:t>
      </w:r>
      <w:r w:rsidR="007E18D8">
        <w:rPr>
          <w:rFonts w:cs="Times New Roman"/>
          <w:lang w:val="en-GB"/>
        </w:rPr>
        <w:t>ions</w:t>
      </w:r>
      <w:r w:rsidR="003C588F" w:rsidRPr="0022161C">
        <w:rPr>
          <w:rFonts w:cs="Times New Roman"/>
          <w:lang w:val="en-GB"/>
        </w:rPr>
        <w:t>.</w:t>
      </w:r>
      <w:r w:rsidR="003C588F" w:rsidRPr="002D79FD">
        <w:rPr>
          <w:rStyle w:val="FootnoteReference"/>
          <w:rFonts w:cs="Times New Roman"/>
        </w:rPr>
        <w:footnoteReference w:id="97"/>
      </w:r>
      <w:r w:rsidR="001D4DB8" w:rsidRPr="0022161C">
        <w:rPr>
          <w:rFonts w:cs="Times New Roman"/>
          <w:lang w:val="en-GB"/>
        </w:rPr>
        <w:t xml:space="preserve"> </w:t>
      </w:r>
      <w:r w:rsidR="00FB0668" w:rsidRPr="0022161C">
        <w:rPr>
          <w:rFonts w:cs="Times New Roman"/>
          <w:lang w:val="en-GB"/>
        </w:rPr>
        <w:t xml:space="preserve"> </w:t>
      </w:r>
      <w:r w:rsidR="00A4363F" w:rsidRPr="00A4363F">
        <w:rPr>
          <w:rFonts w:cs="Times New Roman"/>
          <w:lang w:val="en-GB"/>
        </w:rPr>
        <w:t>In this regard, Hallin and Mancini</w:t>
      </w:r>
      <w:r w:rsidR="00A4363F" w:rsidRPr="002D79FD">
        <w:rPr>
          <w:rStyle w:val="FootnoteReference"/>
          <w:rFonts w:cs="Times New Roman"/>
        </w:rPr>
        <w:footnoteReference w:id="98"/>
      </w:r>
      <w:r w:rsidR="00A4363F" w:rsidRPr="00A4363F">
        <w:rPr>
          <w:rFonts w:cs="Times New Roman"/>
          <w:lang w:val="en-GB"/>
        </w:rPr>
        <w:t xml:space="preserve"> proposed, although without claiming to be a complete and universal conceptual framework for comparative analysis</w:t>
      </w:r>
      <w:r w:rsidR="00A4363F" w:rsidRPr="002D79FD">
        <w:rPr>
          <w:rStyle w:val="FootnoteReference"/>
          <w:rFonts w:cs="Times New Roman"/>
        </w:rPr>
        <w:footnoteReference w:id="99"/>
      </w:r>
      <w:r w:rsidR="00A4363F" w:rsidRPr="00A4363F">
        <w:rPr>
          <w:rFonts w:cs="Times New Roman"/>
          <w:lang w:val="en-GB"/>
        </w:rPr>
        <w:t xml:space="preserve"> that captures transnational phenomena of media evolution</w:t>
      </w:r>
      <w:r w:rsidR="00A4363F" w:rsidRPr="002D79FD">
        <w:rPr>
          <w:rStyle w:val="FootnoteReference"/>
          <w:rFonts w:cs="Times New Roman"/>
        </w:rPr>
        <w:footnoteReference w:id="100"/>
      </w:r>
      <w:r w:rsidR="00A4363F" w:rsidRPr="00A4363F">
        <w:rPr>
          <w:rFonts w:cs="Times New Roman"/>
          <w:lang w:val="en-GB"/>
        </w:rPr>
        <w:t xml:space="preserve">—insofar as the construction is based on concrete state examples—a variety of media systems in contemporary </w:t>
      </w:r>
      <w:r w:rsidR="00A4363F" w:rsidRPr="00A4363F">
        <w:rPr>
          <w:rFonts w:cs="Times New Roman"/>
          <w:lang w:val="en-GB"/>
        </w:rPr>
        <w:lastRenderedPageBreak/>
        <w:t>democracies (i.e., Western Europe and North America), which later expanded to other realities. In its first version, they included Portugal in the Polarized Pluralist Model. Western Europe and North America) – which they later extended to other realities</w:t>
      </w:r>
      <w:r w:rsidR="00A4363F" w:rsidRPr="002D79FD">
        <w:rPr>
          <w:rStyle w:val="FootnoteReference"/>
          <w:rFonts w:cs="Times New Roman"/>
        </w:rPr>
        <w:footnoteReference w:id="101"/>
      </w:r>
      <w:r w:rsidR="00A4363F" w:rsidRPr="00A4363F">
        <w:rPr>
          <w:rFonts w:cs="Times New Roman"/>
          <w:lang w:val="en-GB"/>
        </w:rPr>
        <w:t>. In its first version, they included Portugal in the Polarized Pluralist Model.</w:t>
      </w:r>
    </w:p>
    <w:p w14:paraId="21D314DB" w14:textId="067EDA07" w:rsidR="00E90CFD" w:rsidRPr="003D2CEE" w:rsidRDefault="003D2CEE" w:rsidP="00172A3B">
      <w:pPr>
        <w:spacing w:line="480" w:lineRule="auto"/>
        <w:jc w:val="both"/>
        <w:rPr>
          <w:rFonts w:cs="Times New Roman"/>
          <w:lang w:val="en-GB"/>
        </w:rPr>
      </w:pPr>
      <w:r w:rsidRPr="003D2CEE">
        <w:rPr>
          <w:rFonts w:cs="Times New Roman"/>
          <w:lang w:val="en-GB"/>
        </w:rPr>
        <w:t>Simply put, the historical and socio-political analysis system is based</w:t>
      </w:r>
      <w:r w:rsidRPr="002D79FD">
        <w:rPr>
          <w:rStyle w:val="FootnoteReference"/>
          <w:rFonts w:cs="Times New Roman"/>
        </w:rPr>
        <w:footnoteReference w:id="102"/>
      </w:r>
      <w:r w:rsidRPr="003D2CEE">
        <w:rPr>
          <w:rFonts w:cs="Times New Roman"/>
          <w:lang w:val="en-GB"/>
        </w:rPr>
        <w:t xml:space="preserve">, on the one hand, on the conceptual record of three ideal models (Polarized Pluralist, Liberal, and Democratic Corporatist Models, linked respectively to Mediterranean, Anglo-Saxon, and Central and Northern European countries) and, on the other hand, a set of variables that serve as comparative elements along two axes, namely: </w:t>
      </w:r>
      <w:proofErr w:type="spellStart"/>
      <w:r w:rsidRPr="003D2CEE">
        <w:rPr>
          <w:rFonts w:cs="Times New Roman"/>
          <w:lang w:val="en-GB"/>
        </w:rPr>
        <w:t>i</w:t>
      </w:r>
      <w:proofErr w:type="spellEnd"/>
      <w:r w:rsidRPr="003D2CEE">
        <w:rPr>
          <w:rFonts w:cs="Times New Roman"/>
          <w:lang w:val="en-GB"/>
        </w:rPr>
        <w:t>) dimensions relating to the media system (structure of media markets; degree and forms of political parallelism; degree and forms of journalistic professionalism; and role of the state); and ii) dimensions relating to  the political system relevant to its relationship with the media (interventionism vs. free market; consensus vs. majoritarian democracy; liberalism vs. corporatism; rational-legal authority and clientelism; moderate vs. polarized pluralism). The proposal therefore prefers to focus on structures and systems rather than on processes and dynamic agencies</w:t>
      </w:r>
      <w:r w:rsidR="00637670" w:rsidRPr="002D79FD">
        <w:rPr>
          <w:rStyle w:val="FootnoteReference"/>
          <w:rFonts w:cs="Times New Roman"/>
        </w:rPr>
        <w:footnoteReference w:id="103"/>
      </w:r>
      <w:r w:rsidR="002065D5" w:rsidRPr="003D2CEE">
        <w:rPr>
          <w:rFonts w:cs="Times New Roman"/>
          <w:lang w:val="en-GB"/>
        </w:rPr>
        <w:t>.</w:t>
      </w:r>
      <w:r w:rsidR="000D309B" w:rsidRPr="003D2CEE">
        <w:rPr>
          <w:rFonts w:cs="Times New Roman"/>
          <w:lang w:val="en-GB"/>
        </w:rPr>
        <w:t xml:space="preserve"> </w:t>
      </w:r>
      <w:r w:rsidR="00266EA7" w:rsidRPr="003D2CEE">
        <w:rPr>
          <w:rFonts w:cs="Times New Roman"/>
          <w:lang w:val="en-GB"/>
        </w:rPr>
        <w:t xml:space="preserve"> </w:t>
      </w:r>
    </w:p>
    <w:p w14:paraId="151E7791" w14:textId="698D9027" w:rsidR="00DB1ABE" w:rsidRPr="00793EB0" w:rsidRDefault="00793EB0" w:rsidP="00172A3B">
      <w:pPr>
        <w:spacing w:line="480" w:lineRule="auto"/>
        <w:jc w:val="both"/>
        <w:rPr>
          <w:rFonts w:cs="Times New Roman"/>
          <w:lang w:val="en-GB"/>
        </w:rPr>
      </w:pPr>
      <w:r w:rsidRPr="00793EB0">
        <w:rPr>
          <w:rFonts w:cs="Times New Roman"/>
          <w:lang w:val="en-GB"/>
        </w:rPr>
        <w:t>The Polarized Pluralist Model is characterized, in terms of the media system, by presenting</w:t>
      </w:r>
      <w:r w:rsidR="00D40A2E" w:rsidRPr="00793EB0">
        <w:rPr>
          <w:rFonts w:cs="Times New Roman"/>
          <w:lang w:val="en-GB"/>
        </w:rPr>
        <w:t>:</w:t>
      </w:r>
    </w:p>
    <w:p w14:paraId="117271D2" w14:textId="357D66A8" w:rsidR="00D40A2E" w:rsidRPr="002D79FD" w:rsidRDefault="00EA6200" w:rsidP="00172A3B">
      <w:pPr>
        <w:pStyle w:val="ListParagraph"/>
        <w:numPr>
          <w:ilvl w:val="0"/>
          <w:numId w:val="20"/>
        </w:numPr>
        <w:spacing w:line="480" w:lineRule="auto"/>
        <w:jc w:val="both"/>
        <w:rPr>
          <w:rFonts w:cs="Times New Roman"/>
          <w:lang w:val="en-GB"/>
        </w:rPr>
      </w:pPr>
      <w:r w:rsidRPr="002D79FD">
        <w:rPr>
          <w:rFonts w:cs="Times New Roman"/>
          <w:lang w:val="en-GB"/>
        </w:rPr>
        <w:t xml:space="preserve">low newspaper circulation and elite politically oriented </w:t>
      </w:r>
      <w:proofErr w:type="gramStart"/>
      <w:r w:rsidRPr="002D79FD">
        <w:rPr>
          <w:rFonts w:cs="Times New Roman"/>
          <w:lang w:val="en-GB"/>
        </w:rPr>
        <w:t>press;</w:t>
      </w:r>
      <w:proofErr w:type="gramEnd"/>
    </w:p>
    <w:p w14:paraId="53738BAC" w14:textId="1B373583" w:rsidR="00EA6200" w:rsidRPr="002D79FD" w:rsidRDefault="004F2B03" w:rsidP="00172A3B">
      <w:pPr>
        <w:pStyle w:val="ListParagraph"/>
        <w:numPr>
          <w:ilvl w:val="0"/>
          <w:numId w:val="20"/>
        </w:numPr>
        <w:spacing w:line="480" w:lineRule="auto"/>
        <w:jc w:val="both"/>
        <w:rPr>
          <w:rFonts w:cs="Times New Roman"/>
          <w:lang w:val="en-GB"/>
        </w:rPr>
      </w:pPr>
      <w:r w:rsidRPr="002D79FD">
        <w:rPr>
          <w:rFonts w:cs="Times New Roman"/>
          <w:lang w:val="en-GB"/>
        </w:rPr>
        <w:lastRenderedPageBreak/>
        <w:t>high political parallelism</w:t>
      </w:r>
      <w:r w:rsidR="00476083" w:rsidRPr="002D79FD">
        <w:rPr>
          <w:rFonts w:cs="Times New Roman"/>
          <w:lang w:val="en-GB"/>
        </w:rPr>
        <w:t xml:space="preserve">, </w:t>
      </w:r>
      <w:r w:rsidRPr="002D79FD">
        <w:rPr>
          <w:rFonts w:cs="Times New Roman"/>
          <w:lang w:val="en-GB"/>
        </w:rPr>
        <w:t>external pluralism, commentary-oriented journalism</w:t>
      </w:r>
      <w:r w:rsidR="00061772" w:rsidRPr="002D79FD">
        <w:rPr>
          <w:rFonts w:cs="Times New Roman"/>
          <w:lang w:val="en-GB"/>
        </w:rPr>
        <w:t xml:space="preserve">, </w:t>
      </w:r>
      <w:r w:rsidRPr="002D79FD">
        <w:rPr>
          <w:rFonts w:cs="Times New Roman"/>
          <w:lang w:val="en-GB"/>
        </w:rPr>
        <w:t>parliamentary or government</w:t>
      </w:r>
      <w:r w:rsidR="006F617A" w:rsidRPr="002D79FD">
        <w:rPr>
          <w:rFonts w:cs="Times New Roman"/>
          <w:vertAlign w:val="superscript"/>
          <w:lang w:val="en-GB"/>
        </w:rPr>
        <w:t xml:space="preserve"> </w:t>
      </w:r>
      <w:r w:rsidRPr="002D79FD">
        <w:rPr>
          <w:rFonts w:cs="Times New Roman"/>
          <w:lang w:val="en-GB"/>
        </w:rPr>
        <w:t>model of broadcast governance</w:t>
      </w:r>
      <w:r w:rsidR="00061772" w:rsidRPr="002D79FD">
        <w:rPr>
          <w:rFonts w:cs="Times New Roman"/>
          <w:lang w:val="en-GB"/>
        </w:rPr>
        <w:t>,</w:t>
      </w:r>
      <w:r w:rsidRPr="002D79FD">
        <w:rPr>
          <w:rFonts w:cs="Times New Roman"/>
          <w:lang w:val="en-GB"/>
        </w:rPr>
        <w:t xml:space="preserve"> </w:t>
      </w:r>
      <w:r w:rsidR="00441EFC" w:rsidRPr="002D79FD">
        <w:rPr>
          <w:rFonts w:cs="Times New Roman"/>
          <w:lang w:val="en-GB"/>
        </w:rPr>
        <w:t xml:space="preserve">high political influence </w:t>
      </w:r>
      <w:r w:rsidR="00A27BCE" w:rsidRPr="002D79FD">
        <w:rPr>
          <w:rFonts w:cs="Times New Roman"/>
          <w:lang w:val="en-GB"/>
        </w:rPr>
        <w:t xml:space="preserve">on the public </w:t>
      </w:r>
      <w:r w:rsidRPr="002D79FD">
        <w:rPr>
          <w:rFonts w:cs="Times New Roman"/>
          <w:lang w:val="en-GB"/>
        </w:rPr>
        <w:t xml:space="preserve">broadcasting </w:t>
      </w:r>
      <w:proofErr w:type="gramStart"/>
      <w:r w:rsidRPr="002D79FD">
        <w:rPr>
          <w:rFonts w:cs="Times New Roman"/>
          <w:lang w:val="en-GB"/>
        </w:rPr>
        <w:t>systems</w:t>
      </w:r>
      <w:r w:rsidR="00061772" w:rsidRPr="002D79FD">
        <w:rPr>
          <w:rFonts w:cs="Times New Roman"/>
          <w:lang w:val="en-GB"/>
        </w:rPr>
        <w:t>;</w:t>
      </w:r>
      <w:proofErr w:type="gramEnd"/>
    </w:p>
    <w:p w14:paraId="091E9A06" w14:textId="146ADB03" w:rsidR="00061772" w:rsidRPr="002D79FD" w:rsidRDefault="00061772" w:rsidP="00172A3B">
      <w:pPr>
        <w:pStyle w:val="ListParagraph"/>
        <w:numPr>
          <w:ilvl w:val="0"/>
          <w:numId w:val="20"/>
        </w:numPr>
        <w:spacing w:line="480" w:lineRule="auto"/>
        <w:jc w:val="both"/>
        <w:rPr>
          <w:rFonts w:cs="Times New Roman"/>
          <w:lang w:val="en-GB"/>
        </w:rPr>
      </w:pPr>
      <w:r w:rsidRPr="002D79FD">
        <w:rPr>
          <w:rFonts w:cs="Times New Roman"/>
          <w:lang w:val="en-GB"/>
        </w:rPr>
        <w:t>weak professionalization and instrumentalization; and</w:t>
      </w:r>
    </w:p>
    <w:p w14:paraId="255B7701" w14:textId="6B3F9B15" w:rsidR="00061772" w:rsidRPr="002D79FD" w:rsidRDefault="003F6A56" w:rsidP="00172A3B">
      <w:pPr>
        <w:pStyle w:val="ListParagraph"/>
        <w:numPr>
          <w:ilvl w:val="0"/>
          <w:numId w:val="20"/>
        </w:numPr>
        <w:spacing w:line="480" w:lineRule="auto"/>
        <w:jc w:val="both"/>
        <w:rPr>
          <w:rFonts w:cs="Times New Roman"/>
          <w:lang w:val="en-GB"/>
        </w:rPr>
      </w:pPr>
      <w:r w:rsidRPr="002D79FD">
        <w:rPr>
          <w:rFonts w:cs="Times New Roman"/>
          <w:lang w:val="en-GB"/>
        </w:rPr>
        <w:t>strong state intervention</w:t>
      </w:r>
      <w:r w:rsidR="00C91605" w:rsidRPr="002D79FD">
        <w:rPr>
          <w:rFonts w:cs="Times New Roman"/>
          <w:lang w:val="en-GB"/>
        </w:rPr>
        <w:t>,</w:t>
      </w:r>
      <w:r w:rsidRPr="002D79FD">
        <w:rPr>
          <w:rFonts w:cs="Times New Roman"/>
          <w:lang w:val="en-GB"/>
        </w:rPr>
        <w:t xml:space="preserve"> press subsidies</w:t>
      </w:r>
      <w:r w:rsidR="00C91605" w:rsidRPr="002D79FD">
        <w:rPr>
          <w:rFonts w:cs="Times New Roman"/>
          <w:lang w:val="en-GB"/>
        </w:rPr>
        <w:t xml:space="preserve">, </w:t>
      </w:r>
      <w:r w:rsidRPr="002D79FD">
        <w:rPr>
          <w:rFonts w:cs="Times New Roman"/>
          <w:lang w:val="en-GB"/>
        </w:rPr>
        <w:t xml:space="preserve">periods of </w:t>
      </w:r>
      <w:proofErr w:type="gramStart"/>
      <w:r w:rsidRPr="002D79FD">
        <w:rPr>
          <w:rFonts w:cs="Times New Roman"/>
          <w:lang w:val="en-GB"/>
        </w:rPr>
        <w:t>censorship;</w:t>
      </w:r>
      <w:proofErr w:type="gramEnd"/>
      <w:r w:rsidRPr="002D79FD">
        <w:rPr>
          <w:rFonts w:cs="Times New Roman"/>
          <w:lang w:val="en-GB"/>
        </w:rPr>
        <w:t xml:space="preserve"> </w:t>
      </w:r>
      <w:r w:rsidR="002B0F51" w:rsidRPr="002D79FD">
        <w:rPr>
          <w:rFonts w:cs="Times New Roman"/>
          <w:lang w:val="en-GB"/>
        </w:rPr>
        <w:t>privately controlled</w:t>
      </w:r>
      <w:r w:rsidRPr="002D79FD">
        <w:rPr>
          <w:rFonts w:cs="Times New Roman"/>
          <w:lang w:val="en-GB"/>
        </w:rPr>
        <w:t xml:space="preserve"> deregulation</w:t>
      </w:r>
      <w:r w:rsidR="004E22D4" w:rsidRPr="002D79FD">
        <w:rPr>
          <w:rFonts w:cs="Times New Roman"/>
          <w:lang w:val="en-GB"/>
        </w:rPr>
        <w:t>.</w:t>
      </w:r>
    </w:p>
    <w:p w14:paraId="2C2E1DFB" w14:textId="5C55A5A7" w:rsidR="004E22D4" w:rsidRPr="009276BA" w:rsidRDefault="009276BA" w:rsidP="00172A3B">
      <w:pPr>
        <w:spacing w:line="480" w:lineRule="auto"/>
        <w:jc w:val="both"/>
        <w:rPr>
          <w:rFonts w:cs="Times New Roman"/>
          <w:lang w:val="en-GB"/>
        </w:rPr>
      </w:pPr>
      <w:r w:rsidRPr="009276BA">
        <w:rPr>
          <w:rFonts w:cs="Times New Roman"/>
          <w:lang w:val="en-GB"/>
        </w:rPr>
        <w:t>In terms of political dimensions, the Polarized Pluralist Model implies, as a rule</w:t>
      </w:r>
      <w:r w:rsidR="00C46339" w:rsidRPr="009276BA">
        <w:rPr>
          <w:rFonts w:cs="Times New Roman"/>
          <w:lang w:val="en-GB"/>
        </w:rPr>
        <w:t>:</w:t>
      </w:r>
    </w:p>
    <w:p w14:paraId="51B5F50F" w14:textId="0D0CB838" w:rsidR="00C46339" w:rsidRPr="002D79FD" w:rsidRDefault="00C46339" w:rsidP="00172A3B">
      <w:pPr>
        <w:pStyle w:val="ListParagraph"/>
        <w:numPr>
          <w:ilvl w:val="0"/>
          <w:numId w:val="18"/>
        </w:numPr>
        <w:spacing w:line="480" w:lineRule="auto"/>
        <w:jc w:val="both"/>
        <w:rPr>
          <w:rFonts w:cs="Times New Roman"/>
          <w:lang w:val="en-GB"/>
        </w:rPr>
      </w:pPr>
      <w:r w:rsidRPr="002D79FD">
        <w:rPr>
          <w:rFonts w:cs="Times New Roman"/>
          <w:lang w:val="en-GB"/>
        </w:rPr>
        <w:t xml:space="preserve">dirigisme, strong </w:t>
      </w:r>
      <w:r w:rsidR="0035096E" w:rsidRPr="002D79FD">
        <w:rPr>
          <w:rFonts w:cs="Times New Roman"/>
          <w:lang w:val="en-GB"/>
        </w:rPr>
        <w:t xml:space="preserve">public </w:t>
      </w:r>
      <w:r w:rsidRPr="002D79FD">
        <w:rPr>
          <w:rFonts w:cs="Times New Roman"/>
          <w:lang w:val="en-GB"/>
        </w:rPr>
        <w:t xml:space="preserve">involvement in </w:t>
      </w:r>
      <w:r w:rsidR="0035096E" w:rsidRPr="002D79FD">
        <w:rPr>
          <w:rFonts w:cs="Times New Roman"/>
          <w:lang w:val="en-GB"/>
        </w:rPr>
        <w:t xml:space="preserve">the </w:t>
      </w:r>
      <w:r w:rsidRPr="002D79FD">
        <w:rPr>
          <w:rFonts w:cs="Times New Roman"/>
          <w:lang w:val="en-GB"/>
        </w:rPr>
        <w:t xml:space="preserve">economy, periods of authoritarianism, strong welfare </w:t>
      </w:r>
      <w:proofErr w:type="gramStart"/>
      <w:r w:rsidRPr="002D79FD">
        <w:rPr>
          <w:rFonts w:cs="Times New Roman"/>
          <w:lang w:val="en-GB"/>
        </w:rPr>
        <w:t>state;</w:t>
      </w:r>
      <w:proofErr w:type="gramEnd"/>
    </w:p>
    <w:p w14:paraId="76A1EAFC" w14:textId="4DC1B81C" w:rsidR="0035096E" w:rsidRPr="002D79FD" w:rsidRDefault="00FA507A" w:rsidP="00172A3B">
      <w:pPr>
        <w:pStyle w:val="ListParagraph"/>
        <w:numPr>
          <w:ilvl w:val="0"/>
          <w:numId w:val="18"/>
        </w:numPr>
        <w:spacing w:line="480" w:lineRule="auto"/>
        <w:jc w:val="both"/>
        <w:rPr>
          <w:rFonts w:cs="Times New Roman"/>
          <w:lang w:val="en-GB"/>
        </w:rPr>
      </w:pPr>
      <w:r w:rsidRPr="002D79FD">
        <w:rPr>
          <w:rFonts w:cs="Times New Roman"/>
          <w:lang w:val="en-GB"/>
        </w:rPr>
        <w:t xml:space="preserve">presents </w:t>
      </w:r>
      <w:r w:rsidR="00B726AF" w:rsidRPr="002D79FD">
        <w:rPr>
          <w:rFonts w:cs="Times New Roman"/>
          <w:lang w:val="en-GB"/>
        </w:rPr>
        <w:t>characteristics</w:t>
      </w:r>
      <w:r w:rsidRPr="002D79FD">
        <w:rPr>
          <w:rFonts w:cs="Times New Roman"/>
          <w:lang w:val="en-GB"/>
        </w:rPr>
        <w:t xml:space="preserve"> of </w:t>
      </w:r>
      <w:r w:rsidR="00B726AF" w:rsidRPr="002D79FD">
        <w:rPr>
          <w:rFonts w:cs="Times New Roman"/>
          <w:lang w:val="en-GB"/>
        </w:rPr>
        <w:t xml:space="preserve">two dominating parties and of </w:t>
      </w:r>
      <w:r w:rsidR="00574E85" w:rsidRPr="002D79FD">
        <w:rPr>
          <w:rFonts w:cs="Times New Roman"/>
          <w:lang w:val="en-GB"/>
        </w:rPr>
        <w:t xml:space="preserve">a multi-party </w:t>
      </w:r>
      <w:proofErr w:type="gramStart"/>
      <w:r w:rsidR="00574E85" w:rsidRPr="002D79FD">
        <w:rPr>
          <w:rFonts w:cs="Times New Roman"/>
          <w:lang w:val="en-GB"/>
        </w:rPr>
        <w:t>system;</w:t>
      </w:r>
      <w:proofErr w:type="gramEnd"/>
    </w:p>
    <w:p w14:paraId="2723CC54" w14:textId="71C745A8" w:rsidR="00574E85" w:rsidRPr="002D79FD" w:rsidRDefault="007519E5" w:rsidP="00172A3B">
      <w:pPr>
        <w:pStyle w:val="ListParagraph"/>
        <w:numPr>
          <w:ilvl w:val="0"/>
          <w:numId w:val="18"/>
        </w:numPr>
        <w:spacing w:line="480" w:lineRule="auto"/>
        <w:jc w:val="both"/>
        <w:rPr>
          <w:rFonts w:cs="Times New Roman"/>
          <w:lang w:val="en-GB"/>
        </w:rPr>
      </w:pPr>
      <w:r w:rsidRPr="002D79FD">
        <w:rPr>
          <w:rFonts w:cs="Times New Roman"/>
          <w:lang w:val="en-GB"/>
        </w:rPr>
        <w:t>organized pluralism</w:t>
      </w:r>
      <w:r w:rsidR="00F3787F" w:rsidRPr="002D79FD">
        <w:rPr>
          <w:rFonts w:cs="Times New Roman"/>
          <w:lang w:val="en-GB"/>
        </w:rPr>
        <w:t xml:space="preserve">, </w:t>
      </w:r>
      <w:r w:rsidR="003B4C20" w:rsidRPr="002D79FD">
        <w:rPr>
          <w:rFonts w:cs="Times New Roman"/>
          <w:lang w:val="en-GB"/>
        </w:rPr>
        <w:t>formal integration of social groups into the political process</w:t>
      </w:r>
      <w:r w:rsidR="00F3787F" w:rsidRPr="002D79FD">
        <w:rPr>
          <w:rFonts w:cs="Times New Roman"/>
          <w:lang w:val="en-GB"/>
        </w:rPr>
        <w:t xml:space="preserve"> and </w:t>
      </w:r>
      <w:r w:rsidR="00AE624E" w:rsidRPr="002D79FD">
        <w:rPr>
          <w:rFonts w:cs="Times New Roman"/>
          <w:lang w:val="en-GB"/>
        </w:rPr>
        <w:t xml:space="preserve">with </w:t>
      </w:r>
      <w:r w:rsidRPr="002D79FD">
        <w:rPr>
          <w:rFonts w:cs="Times New Roman"/>
          <w:lang w:val="en-GB"/>
        </w:rPr>
        <w:t xml:space="preserve">strong role of political </w:t>
      </w:r>
      <w:proofErr w:type="gramStart"/>
      <w:r w:rsidRPr="002D79FD">
        <w:rPr>
          <w:rFonts w:cs="Times New Roman"/>
          <w:lang w:val="en-GB"/>
        </w:rPr>
        <w:t>parties</w:t>
      </w:r>
      <w:r w:rsidR="00AE624E" w:rsidRPr="002D79FD">
        <w:rPr>
          <w:rFonts w:cs="Times New Roman"/>
          <w:lang w:val="en-GB"/>
        </w:rPr>
        <w:t>;</w:t>
      </w:r>
      <w:proofErr w:type="gramEnd"/>
    </w:p>
    <w:p w14:paraId="3A53276A" w14:textId="158499CA" w:rsidR="00AE624E" w:rsidRPr="002D79FD" w:rsidRDefault="00DB4864" w:rsidP="00172A3B">
      <w:pPr>
        <w:pStyle w:val="ListParagraph"/>
        <w:numPr>
          <w:ilvl w:val="0"/>
          <w:numId w:val="18"/>
        </w:numPr>
        <w:spacing w:line="480" w:lineRule="auto"/>
        <w:jc w:val="both"/>
        <w:rPr>
          <w:rFonts w:cs="Times New Roman"/>
          <w:lang w:val="en-GB"/>
        </w:rPr>
      </w:pPr>
      <w:r w:rsidRPr="002D79FD">
        <w:rPr>
          <w:rFonts w:cs="Times New Roman"/>
          <w:lang w:val="en-GB"/>
        </w:rPr>
        <w:t>weak development of</w:t>
      </w:r>
      <w:r w:rsidR="00490ED7" w:rsidRPr="002D79FD">
        <w:rPr>
          <w:rFonts w:cs="Times New Roman"/>
          <w:color w:val="202122"/>
          <w:shd w:val="clear" w:color="auto" w:fill="FFFFFF"/>
          <w:lang w:val="en-GB"/>
        </w:rPr>
        <w:t xml:space="preserve"> </w:t>
      </w:r>
      <w:r w:rsidR="00490ED7" w:rsidRPr="002D79FD">
        <w:rPr>
          <w:rFonts w:cs="Times New Roman"/>
          <w:lang w:val="en-GB"/>
        </w:rPr>
        <w:t xml:space="preserve">independent and autonomous administrative apparatus and </w:t>
      </w:r>
      <w:r w:rsidR="00DA438C" w:rsidRPr="002D79FD">
        <w:rPr>
          <w:rFonts w:cs="Times New Roman"/>
          <w:lang w:val="en-GB"/>
        </w:rPr>
        <w:t xml:space="preserve">phenomena of </w:t>
      </w:r>
      <w:r w:rsidRPr="002D79FD">
        <w:rPr>
          <w:rFonts w:cs="Times New Roman"/>
          <w:lang w:val="en-GB"/>
        </w:rPr>
        <w:t>clientelism</w:t>
      </w:r>
      <w:r w:rsidR="00DA438C" w:rsidRPr="002D79FD">
        <w:rPr>
          <w:rFonts w:cs="Times New Roman"/>
          <w:lang w:val="en-GB"/>
        </w:rPr>
        <w:t>;</w:t>
      </w:r>
      <w:r w:rsidR="00D865D2" w:rsidRPr="002D79FD">
        <w:rPr>
          <w:rFonts w:cs="Times New Roman"/>
          <w:lang w:val="en-GB"/>
        </w:rPr>
        <w:t xml:space="preserve"> and</w:t>
      </w:r>
    </w:p>
    <w:p w14:paraId="4EA54C5E" w14:textId="438DFD9B" w:rsidR="00A353E0" w:rsidRPr="002D79FD" w:rsidRDefault="001268BA" w:rsidP="00172A3B">
      <w:pPr>
        <w:pStyle w:val="ListParagraph"/>
        <w:numPr>
          <w:ilvl w:val="0"/>
          <w:numId w:val="18"/>
        </w:numPr>
        <w:spacing w:line="480" w:lineRule="auto"/>
        <w:jc w:val="both"/>
        <w:rPr>
          <w:rFonts w:cs="Times New Roman"/>
          <w:lang w:val="en-GB"/>
        </w:rPr>
      </w:pPr>
      <w:r w:rsidRPr="002D79FD">
        <w:rPr>
          <w:rFonts w:cs="Times New Roman"/>
          <w:lang w:val="en-GB"/>
        </w:rPr>
        <w:t>late democratization process and polarized pluralism</w:t>
      </w:r>
      <w:r w:rsidR="00BE046E" w:rsidRPr="002D79FD">
        <w:rPr>
          <w:rFonts w:cs="Times New Roman"/>
          <w:lang w:val="en-GB"/>
        </w:rPr>
        <w:t xml:space="preserve">, with challenged </w:t>
      </w:r>
      <w:r w:rsidR="00AE0B94" w:rsidRPr="002D79FD">
        <w:rPr>
          <w:rFonts w:cs="Times New Roman"/>
          <w:lang w:val="en-GB"/>
        </w:rPr>
        <w:t xml:space="preserve">legitimacy of political </w:t>
      </w:r>
      <w:r w:rsidR="00D865D2" w:rsidRPr="002D79FD">
        <w:rPr>
          <w:rFonts w:cs="Times New Roman"/>
          <w:lang w:val="en-GB"/>
        </w:rPr>
        <w:t>organizations and the existence of anti-system parties and factions</w:t>
      </w:r>
      <w:r w:rsidR="006D764E" w:rsidRPr="002D79FD">
        <w:rPr>
          <w:rFonts w:cs="Times New Roman"/>
          <w:lang w:val="en-GB"/>
        </w:rPr>
        <w:t>.</w:t>
      </w:r>
    </w:p>
    <w:p w14:paraId="4FF460F9" w14:textId="4F45A5A9" w:rsidR="00234A53" w:rsidRPr="00317DF8" w:rsidRDefault="00317DF8" w:rsidP="00172A3B">
      <w:pPr>
        <w:spacing w:line="480" w:lineRule="auto"/>
        <w:jc w:val="both"/>
        <w:rPr>
          <w:rFonts w:cs="Times New Roman"/>
          <w:lang w:val="en-GB"/>
        </w:rPr>
      </w:pPr>
      <w:r w:rsidRPr="00317DF8">
        <w:rPr>
          <w:rFonts w:cs="Times New Roman"/>
          <w:lang w:val="en-GB"/>
        </w:rPr>
        <w:t>This description, when compared with the liberal and corporatist democratic models, seems to suggest a negative and inferior normative model, because it is less developed. However, the authors are merely seeking to establish an empirical basis for their argument and do not consider democratic participation in southern Europe to be deficient, with the partisanship of the media being part of this same democratic culture</w:t>
      </w:r>
      <w:r w:rsidR="000B618A" w:rsidRPr="00317DF8">
        <w:rPr>
          <w:rFonts w:cs="Times New Roman"/>
          <w:lang w:val="en-GB"/>
        </w:rPr>
        <w:t>.</w:t>
      </w:r>
      <w:r w:rsidR="00997893" w:rsidRPr="002D79FD">
        <w:rPr>
          <w:rStyle w:val="FootnoteReference"/>
          <w:rFonts w:cs="Times New Roman"/>
        </w:rPr>
        <w:footnoteReference w:id="104"/>
      </w:r>
    </w:p>
    <w:p w14:paraId="7C4AFEFC" w14:textId="32BC4E03" w:rsidR="001A1136" w:rsidRDefault="00A43FA9" w:rsidP="00172A3B">
      <w:pPr>
        <w:spacing w:line="480" w:lineRule="auto"/>
        <w:jc w:val="both"/>
        <w:rPr>
          <w:rFonts w:cs="Times New Roman"/>
          <w:lang w:val="en-GB"/>
        </w:rPr>
      </w:pPr>
      <w:r w:rsidRPr="002D79FD">
        <w:rPr>
          <w:rFonts w:cs="Times New Roman"/>
          <w:lang w:val="en-GB"/>
        </w:rPr>
        <w:t>Drawing on Hallin and Mancini's "polarized pluralist model"</w:t>
      </w:r>
      <w:r w:rsidR="00A73BC4" w:rsidRPr="002D79FD">
        <w:rPr>
          <w:rFonts w:cs="Times New Roman"/>
          <w:lang w:val="en-GB"/>
        </w:rPr>
        <w:t>,</w:t>
      </w:r>
      <w:r w:rsidRPr="002D79FD">
        <w:rPr>
          <w:rFonts w:cs="Times New Roman"/>
          <w:lang w:val="en-GB"/>
        </w:rPr>
        <w:t xml:space="preserve"> Portugal </w:t>
      </w:r>
      <w:r w:rsidR="00607ED8" w:rsidRPr="002D79FD">
        <w:rPr>
          <w:rFonts w:cs="Times New Roman"/>
          <w:lang w:val="en-GB"/>
        </w:rPr>
        <w:t xml:space="preserve">has historically </w:t>
      </w:r>
      <w:r w:rsidRPr="002D79FD">
        <w:rPr>
          <w:rFonts w:cs="Times New Roman"/>
          <w:lang w:val="en-GB"/>
        </w:rPr>
        <w:t>exhibit</w:t>
      </w:r>
      <w:r w:rsidR="00607ED8" w:rsidRPr="002D79FD">
        <w:rPr>
          <w:rFonts w:cs="Times New Roman"/>
          <w:lang w:val="en-GB"/>
        </w:rPr>
        <w:t>ed</w:t>
      </w:r>
      <w:r w:rsidRPr="002D79FD">
        <w:rPr>
          <w:rFonts w:cs="Times New Roman"/>
          <w:lang w:val="en-GB"/>
        </w:rPr>
        <w:t xml:space="preserve"> several systemic traits</w:t>
      </w:r>
      <w:r w:rsidR="00A61745" w:rsidRPr="002D79FD">
        <w:rPr>
          <w:rFonts w:cs="Times New Roman"/>
          <w:lang w:val="en-GB"/>
        </w:rPr>
        <w:t xml:space="preserve"> like</w:t>
      </w:r>
      <w:r w:rsidRPr="002D79FD">
        <w:rPr>
          <w:rFonts w:cs="Times New Roman"/>
          <w:lang w:val="en-GB"/>
        </w:rPr>
        <w:t xml:space="preserve"> </w:t>
      </w:r>
      <w:r w:rsidR="00A61745" w:rsidRPr="002D79FD">
        <w:rPr>
          <w:rFonts w:cs="Times New Roman"/>
          <w:lang w:val="en-GB"/>
        </w:rPr>
        <w:t xml:space="preserve">late democratization, </w:t>
      </w:r>
      <w:r w:rsidRPr="002D79FD">
        <w:rPr>
          <w:rFonts w:cs="Times New Roman"/>
          <w:lang w:val="en-GB"/>
        </w:rPr>
        <w:t xml:space="preserve">strong party-press parallelism, </w:t>
      </w:r>
      <w:r w:rsidR="00A61745" w:rsidRPr="002D79FD">
        <w:rPr>
          <w:rFonts w:cs="Times New Roman"/>
          <w:lang w:val="en-GB"/>
        </w:rPr>
        <w:lastRenderedPageBreak/>
        <w:t>censorship,</w:t>
      </w:r>
      <w:r w:rsidRPr="002D79FD">
        <w:rPr>
          <w:rFonts w:cs="Times New Roman"/>
          <w:lang w:val="en-GB"/>
        </w:rPr>
        <w:t xml:space="preserve"> </w:t>
      </w:r>
      <w:r w:rsidR="000201E7" w:rsidRPr="002D79FD">
        <w:rPr>
          <w:rFonts w:cs="Times New Roman"/>
          <w:lang w:val="en-GB"/>
        </w:rPr>
        <w:t>robust</w:t>
      </w:r>
      <w:r w:rsidR="00332C49" w:rsidRPr="002D79FD">
        <w:rPr>
          <w:rFonts w:cs="Times New Roman"/>
          <w:lang w:val="en-GB"/>
        </w:rPr>
        <w:t xml:space="preserve"> public intervention</w:t>
      </w:r>
      <w:r w:rsidR="000201E7" w:rsidRPr="002D79FD">
        <w:rPr>
          <w:rFonts w:cs="Times New Roman"/>
          <w:lang w:val="en-GB"/>
        </w:rPr>
        <w:t xml:space="preserve">, elite-oriented journalism, </w:t>
      </w:r>
      <w:r w:rsidRPr="002D79FD">
        <w:rPr>
          <w:rFonts w:cs="Times New Roman"/>
          <w:lang w:val="en-GB"/>
        </w:rPr>
        <w:t xml:space="preserve">and limited professional autonomy. </w:t>
      </w:r>
      <w:r w:rsidR="005A2C64" w:rsidRPr="002D79FD">
        <w:rPr>
          <w:rFonts w:cs="Times New Roman"/>
          <w:lang w:val="en-GB"/>
        </w:rPr>
        <w:t>Nevertheless,</w:t>
      </w:r>
      <w:r w:rsidRPr="002D79FD">
        <w:rPr>
          <w:rFonts w:cs="Times New Roman"/>
          <w:lang w:val="en-GB"/>
        </w:rPr>
        <w:t xml:space="preserve"> </w:t>
      </w:r>
      <w:r w:rsidR="00D322C1" w:rsidRPr="002D79FD">
        <w:rPr>
          <w:rFonts w:cs="Times New Roman"/>
          <w:lang w:val="en-GB"/>
        </w:rPr>
        <w:t>Europeanization</w:t>
      </w:r>
      <w:r w:rsidRPr="002D79FD">
        <w:rPr>
          <w:rFonts w:cs="Times New Roman"/>
          <w:lang w:val="en-GB"/>
        </w:rPr>
        <w:t xml:space="preserve"> and economic liberalization</w:t>
      </w:r>
      <w:r w:rsidR="004E216A" w:rsidRPr="002D79FD">
        <w:rPr>
          <w:rFonts w:cs="Times New Roman"/>
          <w:lang w:val="en-GB"/>
        </w:rPr>
        <w:t>, but also th</w:t>
      </w:r>
      <w:r w:rsidR="001A1136" w:rsidRPr="002D79FD">
        <w:rPr>
          <w:rFonts w:cs="Times New Roman"/>
          <w:lang w:val="en-GB"/>
        </w:rPr>
        <w:t>e recent increase of populism</w:t>
      </w:r>
      <w:r w:rsidRPr="002D79FD">
        <w:rPr>
          <w:rFonts w:cs="Times New Roman"/>
          <w:lang w:val="en-GB"/>
        </w:rPr>
        <w:t xml:space="preserve"> have moderated some of these features, </w:t>
      </w:r>
      <w:r w:rsidR="00D322C1" w:rsidRPr="002D79FD">
        <w:rPr>
          <w:rFonts w:cs="Times New Roman"/>
          <w:lang w:val="en-GB"/>
        </w:rPr>
        <w:t>as those concerning the two other models.</w:t>
      </w:r>
      <w:r w:rsidR="008E1C96" w:rsidRPr="002D79FD">
        <w:rPr>
          <w:rFonts w:cs="Times New Roman"/>
          <w:lang w:val="en-GB"/>
        </w:rPr>
        <w:t xml:space="preserve"> </w:t>
      </w:r>
      <w:r w:rsidR="007F6F26" w:rsidRPr="007F6F26">
        <w:rPr>
          <w:rFonts w:cs="Times New Roman"/>
          <w:lang w:val="en-GB"/>
        </w:rPr>
        <w:t>The subsumption of the current Portuguese system to the polarized pluralist model</w:t>
      </w:r>
      <w:r w:rsidR="007F6F26">
        <w:rPr>
          <w:rFonts w:cs="Times New Roman"/>
          <w:lang w:val="en-GB"/>
        </w:rPr>
        <w:t>,</w:t>
      </w:r>
      <w:r w:rsidR="007F6F26" w:rsidRPr="007F6F26">
        <w:rPr>
          <w:rFonts w:cs="Times New Roman"/>
          <w:lang w:val="en-GB"/>
        </w:rPr>
        <w:t xml:space="preserve"> even if this may be a residual type, does not seem linear, even if in the past, especially in the post-revolutionary period, it was.</w:t>
      </w:r>
    </w:p>
    <w:p w14:paraId="5EE8A20B" w14:textId="55BCDE7D" w:rsidR="00264596" w:rsidRPr="007F6F26" w:rsidRDefault="00264596" w:rsidP="00172A3B">
      <w:pPr>
        <w:spacing w:line="480" w:lineRule="auto"/>
        <w:jc w:val="both"/>
        <w:rPr>
          <w:rFonts w:cs="Times New Roman"/>
          <w:lang w:val="en-GB"/>
        </w:rPr>
      </w:pPr>
      <w:r w:rsidRPr="00264596">
        <w:rPr>
          <w:rFonts w:cs="Times New Roman"/>
          <w:lang w:val="en-GB"/>
        </w:rPr>
        <w:t>In fact, several criticisms can be made of both the model itself and its application, which are recognized by the authors themselves</w:t>
      </w:r>
      <w:r w:rsidRPr="002D79FD">
        <w:rPr>
          <w:rStyle w:val="FootnoteReference"/>
          <w:rFonts w:cs="Times New Roman"/>
        </w:rPr>
        <w:footnoteReference w:id="105"/>
      </w:r>
      <w:r w:rsidRPr="00264596">
        <w:rPr>
          <w:rFonts w:cs="Times New Roman"/>
          <w:lang w:val="en-GB"/>
        </w:rPr>
        <w:t>, who demystify some of the excessive conclusions drawn from their 2004 work and point out, from early on, the limits of their proposals and prospects for change</w:t>
      </w:r>
      <w:r w:rsidR="001F7321">
        <w:rPr>
          <w:rFonts w:cs="Times New Roman"/>
          <w:lang w:val="en-GB"/>
        </w:rPr>
        <w:t>.</w:t>
      </w:r>
    </w:p>
    <w:p w14:paraId="74B1B083" w14:textId="2AD8D906" w:rsidR="000425EC" w:rsidRPr="000425EC" w:rsidRDefault="000425EC" w:rsidP="00172A3B">
      <w:pPr>
        <w:spacing w:line="480" w:lineRule="auto"/>
        <w:jc w:val="both"/>
        <w:rPr>
          <w:rFonts w:cs="Times New Roman"/>
          <w:lang w:val="en-GB"/>
        </w:rPr>
      </w:pPr>
      <w:r w:rsidRPr="000425EC">
        <w:rPr>
          <w:rFonts w:cs="Times New Roman"/>
          <w:lang w:val="en-GB"/>
        </w:rPr>
        <w:t>Firstly, it should be borne in mind that the three models and their application to the countries studied are limited by the weak theoretical development of the media-politics relationship and by the data available in the states studied, leaving aside important variables such as socio-economic and cultural factors</w:t>
      </w:r>
      <w:r w:rsidRPr="002D79FD">
        <w:rPr>
          <w:rStyle w:val="FootnoteReference"/>
          <w:rFonts w:cs="Times New Roman"/>
        </w:rPr>
        <w:footnoteReference w:id="106"/>
      </w:r>
      <w:r w:rsidRPr="000425EC">
        <w:rPr>
          <w:rFonts w:cs="Times New Roman"/>
          <w:lang w:val="en-GB"/>
        </w:rPr>
        <w:t xml:space="preserve">. Furthermore, the variables chosen </w:t>
      </w:r>
      <w:proofErr w:type="gramStart"/>
      <w:r w:rsidRPr="000425EC">
        <w:rPr>
          <w:rFonts w:cs="Times New Roman"/>
          <w:lang w:val="en-GB"/>
        </w:rPr>
        <w:t>do</w:t>
      </w:r>
      <w:proofErr w:type="gramEnd"/>
      <w:r w:rsidRPr="000425EC">
        <w:rPr>
          <w:rFonts w:cs="Times New Roman"/>
          <w:lang w:val="en-GB"/>
        </w:rPr>
        <w:t xml:space="preserve"> not </w:t>
      </w:r>
      <w:proofErr w:type="gramStart"/>
      <w:r w:rsidRPr="000425EC">
        <w:rPr>
          <w:rFonts w:cs="Times New Roman"/>
          <w:lang w:val="en-GB"/>
        </w:rPr>
        <w:t>take into account</w:t>
      </w:r>
      <w:proofErr w:type="gramEnd"/>
      <w:r w:rsidRPr="000425EC">
        <w:rPr>
          <w:rFonts w:cs="Times New Roman"/>
          <w:lang w:val="en-GB"/>
        </w:rPr>
        <w:t xml:space="preserve"> the impact of technological developments and online media</w:t>
      </w:r>
      <w:r w:rsidRPr="002D79FD">
        <w:rPr>
          <w:rStyle w:val="FootnoteReference"/>
          <w:rFonts w:cs="Times New Roman"/>
        </w:rPr>
        <w:footnoteReference w:id="107"/>
      </w:r>
      <w:r w:rsidRPr="000425EC">
        <w:rPr>
          <w:rFonts w:cs="Times New Roman"/>
          <w:lang w:val="en-GB"/>
        </w:rPr>
        <w:t>, both in terms of the structure of systems, including competitive and (de)centralized systems, and in terms of communication patterns and their potential political and economic capture</w:t>
      </w:r>
      <w:r>
        <w:rPr>
          <w:rFonts w:cs="Times New Roman"/>
          <w:lang w:val="en-GB"/>
        </w:rPr>
        <w:t>.</w:t>
      </w:r>
    </w:p>
    <w:p w14:paraId="21CAFDAA" w14:textId="172B869F" w:rsidR="008E1C96" w:rsidRDefault="0050254A" w:rsidP="00172A3B">
      <w:pPr>
        <w:spacing w:line="480" w:lineRule="auto"/>
        <w:jc w:val="both"/>
        <w:rPr>
          <w:rFonts w:cs="Times New Roman"/>
          <w:lang w:val="en-GB"/>
        </w:rPr>
      </w:pPr>
      <w:r w:rsidRPr="0050254A">
        <w:rPr>
          <w:rFonts w:cs="Times New Roman"/>
          <w:lang w:val="en-GB"/>
        </w:rPr>
        <w:t xml:space="preserve">Furthermore, no distinction is made here between different levels of influence depending on the type of media, as the structure and degree of intervention are not always the same. Suffice it to recall that in Portugal, in the post-revolution period, for some time, even by </w:t>
      </w:r>
      <w:r w:rsidRPr="0050254A">
        <w:rPr>
          <w:rFonts w:cs="Times New Roman"/>
          <w:lang w:val="en-GB"/>
        </w:rPr>
        <w:lastRenderedPageBreak/>
        <w:t>constitutional choice, media such as television were owned by the State, while others, such as the written press, were in a competitive environment.</w:t>
      </w:r>
    </w:p>
    <w:p w14:paraId="67864DD8" w14:textId="64D2FCF4" w:rsidR="00FF5020" w:rsidRPr="00C50CA3" w:rsidRDefault="00583D70" w:rsidP="00172A3B">
      <w:pPr>
        <w:spacing w:line="480" w:lineRule="auto"/>
        <w:jc w:val="both"/>
        <w:rPr>
          <w:rFonts w:cs="Times New Roman"/>
          <w:lang w:val="en-GB"/>
        </w:rPr>
      </w:pPr>
      <w:r w:rsidRPr="00583D70">
        <w:rPr>
          <w:rFonts w:cs="Times New Roman"/>
          <w:lang w:val="en-GB"/>
        </w:rPr>
        <w:t>On the other hand, although the comparative analysis focuses on the state level, and this remains important even in a globalized world</w:t>
      </w:r>
      <w:r w:rsidR="00161317" w:rsidRPr="002D79FD">
        <w:rPr>
          <w:rStyle w:val="FootnoteReference"/>
          <w:rFonts w:cs="Times New Roman"/>
        </w:rPr>
        <w:footnoteReference w:id="108"/>
      </w:r>
      <w:r w:rsidRPr="00583D70">
        <w:rPr>
          <w:rFonts w:cs="Times New Roman"/>
          <w:lang w:val="en-GB"/>
        </w:rPr>
        <w:t>, it is nonetheless true that international forces, particularly those driven by media multinationals and online media, have an impact on media systems. Similarly, regional (such as European) and inter- and transnational (e.g., via the WTO) regulatory movements promote systematic evolution. Hallin &amp; Mancini, in fact, recognize this phenomenon by raising the hypothesis of convergence between systems</w:t>
      </w:r>
      <w:r w:rsidR="00B5264D" w:rsidRPr="00161317">
        <w:rPr>
          <w:rFonts w:cs="Times New Roman"/>
          <w:lang w:val="en-GB"/>
        </w:rPr>
        <w:t>.</w:t>
      </w:r>
      <w:r w:rsidR="00B5264D" w:rsidRPr="002D79FD">
        <w:rPr>
          <w:rStyle w:val="FootnoteReference"/>
          <w:rFonts w:cs="Times New Roman"/>
        </w:rPr>
        <w:footnoteReference w:id="109"/>
      </w:r>
      <w:r w:rsidR="00DB2AF9" w:rsidRPr="00161317">
        <w:rPr>
          <w:rFonts w:cs="Times New Roman"/>
          <w:lang w:val="en-GB"/>
        </w:rPr>
        <w:t xml:space="preserve"> </w:t>
      </w:r>
      <w:r w:rsidR="007D07BA" w:rsidRPr="007D07BA">
        <w:rPr>
          <w:rFonts w:cs="Times New Roman"/>
          <w:lang w:val="en-GB"/>
        </w:rPr>
        <w:t xml:space="preserve">With an eye on the process of European integration, which includes the principle of the acquis </w:t>
      </w:r>
      <w:proofErr w:type="spellStart"/>
      <w:r w:rsidR="007D07BA" w:rsidRPr="007D07BA">
        <w:rPr>
          <w:rFonts w:cs="Times New Roman"/>
          <w:lang w:val="en-GB"/>
        </w:rPr>
        <w:t>communautaire</w:t>
      </w:r>
      <w:proofErr w:type="spellEnd"/>
      <w:r w:rsidR="007D07BA" w:rsidRPr="007D07BA">
        <w:rPr>
          <w:rFonts w:cs="Times New Roman"/>
          <w:lang w:val="en-GB"/>
        </w:rPr>
        <w:t xml:space="preserve"> for all Member States and new members, there is a harmonization and tendency toward homogenization of media law, through European legislation on these matters, even </w:t>
      </w:r>
      <w:proofErr w:type="spellStart"/>
      <w:r w:rsidR="007D07BA" w:rsidRPr="007D07BA">
        <w:rPr>
          <w:rFonts w:cs="Times New Roman"/>
          <w:lang w:val="en-GB"/>
        </w:rPr>
        <w:t>through</w:t>
      </w:r>
      <w:proofErr w:type="spellEnd"/>
      <w:r w:rsidR="007D07BA" w:rsidRPr="007D07BA">
        <w:rPr>
          <w:rFonts w:cs="Times New Roman"/>
          <w:lang w:val="en-GB"/>
        </w:rPr>
        <w:t xml:space="preserve"> the primacy of European law, both in terms of press freedom and its economic (trend towards liberalization and privatization) and professional organization. In addition, there is some American influence on the model of professionalization of journalists </w:t>
      </w:r>
      <w:proofErr w:type="gramStart"/>
      <w:r w:rsidR="007D07BA" w:rsidRPr="007D07BA">
        <w:rPr>
          <w:rFonts w:cs="Times New Roman"/>
          <w:lang w:val="en-GB"/>
        </w:rPr>
        <w:t>and also</w:t>
      </w:r>
      <w:proofErr w:type="gramEnd"/>
      <w:r w:rsidR="007D07BA" w:rsidRPr="007D07BA">
        <w:rPr>
          <w:rFonts w:cs="Times New Roman"/>
          <w:lang w:val="en-GB"/>
        </w:rPr>
        <w:t xml:space="preserve"> on the choice of (independent) economic regulatory agencies (see the ERC in Portugal, and before that the AACS). In addition, there is a crisis of the traditional parties in power in several Member States. </w:t>
      </w:r>
      <w:r w:rsidR="006828D1" w:rsidRPr="006828D1">
        <w:rPr>
          <w:rFonts w:cs="Times New Roman"/>
          <w:lang w:val="en-GB"/>
        </w:rPr>
        <w:t>Thus, for Hallin and Mancini, at least in Europe, there would be a tendency towards a liberal model, at least according to their analysis, for the print media, radio, and television, especially since, in their understanding, this is a rather heterogeneous model</w:t>
      </w:r>
      <w:r w:rsidR="002660E6" w:rsidRPr="002D79FD">
        <w:rPr>
          <w:rStyle w:val="FootnoteReference"/>
          <w:rFonts w:cs="Times New Roman"/>
        </w:rPr>
        <w:footnoteReference w:id="110"/>
      </w:r>
      <w:r w:rsidR="002667D7" w:rsidRPr="006828D1">
        <w:rPr>
          <w:rFonts w:cs="Times New Roman"/>
          <w:lang w:val="en-GB"/>
        </w:rPr>
        <w:t>.</w:t>
      </w:r>
      <w:r w:rsidR="00EC287D" w:rsidRPr="006828D1">
        <w:rPr>
          <w:rFonts w:cs="Times New Roman"/>
          <w:lang w:val="en-GB"/>
        </w:rPr>
        <w:t xml:space="preserve"> </w:t>
      </w:r>
      <w:r w:rsidR="003E2495" w:rsidRPr="003E2495">
        <w:rPr>
          <w:rFonts w:cs="Times New Roman"/>
          <w:lang w:val="en-GB"/>
        </w:rPr>
        <w:t xml:space="preserve">Online platforms seem to be on a different level, </w:t>
      </w:r>
      <w:proofErr w:type="gramStart"/>
      <w:r w:rsidR="003E2495" w:rsidRPr="003E2495">
        <w:rPr>
          <w:rFonts w:cs="Times New Roman"/>
          <w:lang w:val="en-GB"/>
        </w:rPr>
        <w:t>despite the fact that</w:t>
      </w:r>
      <w:proofErr w:type="gramEnd"/>
      <w:r w:rsidR="003E2495" w:rsidRPr="003E2495">
        <w:rPr>
          <w:rFonts w:cs="Times New Roman"/>
          <w:lang w:val="en-GB"/>
        </w:rPr>
        <w:t xml:space="preserve"> in recent years there has been a European legislative effort to regulate them </w:t>
      </w:r>
      <w:proofErr w:type="gramStart"/>
      <w:r w:rsidR="003E2495" w:rsidRPr="003E2495">
        <w:rPr>
          <w:rFonts w:cs="Times New Roman"/>
          <w:lang w:val="en-GB"/>
        </w:rPr>
        <w:t>in light of</w:t>
      </w:r>
      <w:proofErr w:type="gramEnd"/>
      <w:r w:rsidR="003E2495" w:rsidRPr="003E2495">
        <w:rPr>
          <w:rFonts w:cs="Times New Roman"/>
          <w:lang w:val="en-GB"/>
        </w:rPr>
        <w:t xml:space="preserve"> the challenges encountered, even though problems arise with extraterritorial </w:t>
      </w:r>
      <w:r w:rsidR="003E2495" w:rsidRPr="003E2495">
        <w:rPr>
          <w:rFonts w:cs="Times New Roman"/>
          <w:lang w:val="en-GB"/>
        </w:rPr>
        <w:lastRenderedPageBreak/>
        <w:t>application to entities based and developed outside the European space. In the rest of the world, particularly in non-Western countries, developments may move towards some hybridization and a model that is not necessarily liberal</w:t>
      </w:r>
      <w:r w:rsidR="00AD0824" w:rsidRPr="003E2495">
        <w:rPr>
          <w:rFonts w:cs="Times New Roman"/>
          <w:lang w:val="en-GB"/>
        </w:rPr>
        <w:t>.</w:t>
      </w:r>
      <w:r w:rsidR="00AD0824" w:rsidRPr="002D79FD">
        <w:rPr>
          <w:rStyle w:val="FootnoteReference"/>
          <w:rFonts w:cs="Times New Roman"/>
        </w:rPr>
        <w:footnoteReference w:id="111"/>
      </w:r>
      <w:r w:rsidR="00CB5FB7" w:rsidRPr="003E2495">
        <w:rPr>
          <w:rFonts w:cs="Times New Roman"/>
          <w:lang w:val="en-GB"/>
        </w:rPr>
        <w:t xml:space="preserve"> </w:t>
      </w:r>
      <w:r w:rsidR="008B49F3" w:rsidRPr="008B49F3">
        <w:rPr>
          <w:rFonts w:cs="Times New Roman"/>
          <w:lang w:val="en-GB"/>
        </w:rPr>
        <w:t>In fact, one could argue not so much for a movement toward homogenization, but rather toward hybridization, taking into account socio-cultural factors and media ownership that can nuance and complicate the evolutionary process</w:t>
      </w:r>
      <w:r w:rsidR="007F15D3" w:rsidRPr="002D79FD">
        <w:rPr>
          <w:rStyle w:val="FootnoteReference"/>
          <w:rFonts w:cs="Times New Roman"/>
        </w:rPr>
        <w:footnoteReference w:id="112"/>
      </w:r>
      <w:r w:rsidR="0051536E" w:rsidRPr="008B49F3">
        <w:rPr>
          <w:rFonts w:cs="Times New Roman"/>
          <w:lang w:val="en-GB"/>
        </w:rPr>
        <w:t>.</w:t>
      </w:r>
      <w:r w:rsidR="0029333F" w:rsidRPr="008B49F3">
        <w:rPr>
          <w:rFonts w:cs="Times New Roman"/>
          <w:lang w:val="en-GB"/>
        </w:rPr>
        <w:t xml:space="preserve"> </w:t>
      </w:r>
      <w:r w:rsidR="00C50CA3" w:rsidRPr="00C50CA3">
        <w:rPr>
          <w:rFonts w:cs="Times New Roman"/>
          <w:lang w:val="en-GB"/>
        </w:rPr>
        <w:t xml:space="preserve">Ultimately, this will depend on the intensity of the forces at play and how they clash. In the case of Portugal, the normative logic of the primacy of European law, whose thematic scope is gradually expanding, </w:t>
      </w:r>
      <w:proofErr w:type="spellStart"/>
      <w:r w:rsidR="00C50CA3" w:rsidRPr="00C50CA3">
        <w:rPr>
          <w:rFonts w:cs="Times New Roman"/>
          <w:lang w:val="en-GB"/>
        </w:rPr>
        <w:t>favors</w:t>
      </w:r>
      <w:proofErr w:type="spellEnd"/>
      <w:r w:rsidR="00C50CA3" w:rsidRPr="00C50CA3">
        <w:rPr>
          <w:rFonts w:cs="Times New Roman"/>
          <w:lang w:val="en-GB"/>
        </w:rPr>
        <w:t xml:space="preserve"> a movement toward convergence rather than hybridization.</w:t>
      </w:r>
    </w:p>
    <w:p w14:paraId="6D3C235B" w14:textId="44FE4364" w:rsidR="003121E4" w:rsidRDefault="00DB72DF" w:rsidP="00172A3B">
      <w:pPr>
        <w:spacing w:line="480" w:lineRule="auto"/>
        <w:jc w:val="both"/>
        <w:rPr>
          <w:rFonts w:cs="Times New Roman"/>
          <w:lang w:val="en-GB"/>
        </w:rPr>
      </w:pPr>
      <w:r w:rsidRPr="00DB72DF">
        <w:rPr>
          <w:rFonts w:cs="Times New Roman"/>
          <w:lang w:val="en-GB"/>
        </w:rPr>
        <w:t>Thus, although historically, as mentioned above, Portugal generally fits into a broad model of Polarized Pluralism, political and socio-economic dynamics have mitigated this classification, not least due to the small size of the domestic market and the high concentration of media ownership, which does not seem to have a direct impact on journalistic independence</w:t>
      </w:r>
      <w:r w:rsidR="003D5E75" w:rsidRPr="002D79FD">
        <w:rPr>
          <w:rStyle w:val="FootnoteReference"/>
          <w:rFonts w:cs="Times New Roman"/>
        </w:rPr>
        <w:footnoteReference w:id="113"/>
      </w:r>
      <w:r w:rsidR="0025253E" w:rsidRPr="00DB72DF">
        <w:rPr>
          <w:rFonts w:cs="Times New Roman"/>
          <w:lang w:val="en-GB"/>
        </w:rPr>
        <w:t xml:space="preserve">. </w:t>
      </w:r>
      <w:r w:rsidR="0043629A" w:rsidRPr="002D79FD">
        <w:rPr>
          <w:rFonts w:cs="Times New Roman"/>
          <w:lang w:val="en-GB"/>
        </w:rPr>
        <w:t>A</w:t>
      </w:r>
      <w:r w:rsidR="003D3A56" w:rsidRPr="002D79FD">
        <w:rPr>
          <w:rFonts w:cs="Times New Roman"/>
          <w:lang w:val="en-GB"/>
        </w:rPr>
        <w:t>fter all</w:t>
      </w:r>
      <w:r w:rsidR="005E0CE2" w:rsidRPr="002D79FD">
        <w:rPr>
          <w:rFonts w:cs="Times New Roman"/>
          <w:lang w:val="en-GB"/>
        </w:rPr>
        <w:t>,</w:t>
      </w:r>
      <w:r w:rsidR="0043629A" w:rsidRPr="002D79FD">
        <w:rPr>
          <w:rFonts w:cs="Times New Roman"/>
          <w:lang w:val="en-GB"/>
        </w:rPr>
        <w:t xml:space="preserve"> </w:t>
      </w:r>
      <w:r w:rsidR="005E0CE2" w:rsidRPr="002D79FD">
        <w:rPr>
          <w:rFonts w:cs="Times New Roman"/>
          <w:lang w:val="en-GB"/>
        </w:rPr>
        <w:t>“</w:t>
      </w:r>
      <w:r w:rsidR="005E0CE2" w:rsidRPr="002D79FD">
        <w:rPr>
          <w:rFonts w:cs="Times New Roman"/>
          <w:i/>
          <w:iCs/>
          <w:lang w:val="en-GB"/>
        </w:rPr>
        <w:t>the current predominance of catch-all media in the Portuguese context, whereby ideological diversity is used as an instrument to optimize sales of news products to a small market of consumers, indicates that economic capitalism contributes to diminishing press polarization</w:t>
      </w:r>
      <w:r w:rsidR="005E0CE2" w:rsidRPr="002D79FD">
        <w:rPr>
          <w:rFonts w:cs="Times New Roman"/>
          <w:lang w:val="en-GB"/>
        </w:rPr>
        <w:t>.”</w:t>
      </w:r>
      <w:r w:rsidR="005E0CE2" w:rsidRPr="002D79FD">
        <w:rPr>
          <w:rStyle w:val="FootnoteReference"/>
          <w:rFonts w:cs="Times New Roman"/>
          <w:lang w:val="en-GB"/>
        </w:rPr>
        <w:footnoteReference w:id="114"/>
      </w:r>
      <w:r w:rsidR="005E0CE2" w:rsidRPr="002D79FD">
        <w:rPr>
          <w:rFonts w:cs="Times New Roman"/>
          <w:lang w:val="en-GB"/>
        </w:rPr>
        <w:t xml:space="preserve"> </w:t>
      </w:r>
    </w:p>
    <w:p w14:paraId="6F61AE7E" w14:textId="7C13589C" w:rsidR="008E6258" w:rsidRDefault="008E6258" w:rsidP="00172A3B">
      <w:pPr>
        <w:spacing w:line="480" w:lineRule="auto"/>
        <w:jc w:val="both"/>
        <w:rPr>
          <w:rFonts w:cs="Times New Roman"/>
          <w:lang w:val="en-GB"/>
        </w:rPr>
      </w:pPr>
      <w:r w:rsidRPr="008E6258">
        <w:rPr>
          <w:rFonts w:cs="Times New Roman"/>
          <w:lang w:val="en-GB"/>
        </w:rPr>
        <w:lastRenderedPageBreak/>
        <w:t>Recognizing that their knowledge of Portugal is somewhat limited, Hallin and Mancini</w:t>
      </w:r>
      <w:r w:rsidRPr="002D79FD">
        <w:rPr>
          <w:rStyle w:val="FootnoteReference"/>
          <w:rFonts w:cs="Times New Roman"/>
        </w:rPr>
        <w:footnoteReference w:id="115"/>
      </w:r>
      <w:r w:rsidRPr="008E6258">
        <w:rPr>
          <w:rFonts w:cs="Times New Roman"/>
          <w:lang w:val="en-GB"/>
        </w:rPr>
        <w:t xml:space="preserve"> justify its inclusion in the Mediterranean model on the grounds that it is characterized above all by the politicization of the media system and political parallelism. However, as emphasized above, even in reaction to the Estado Novo, the process of democratization linked to freedom and independence of the press was quickly understood, including the increased professionalism of journalists that is now the European average</w:t>
      </w:r>
      <w:r w:rsidRPr="002D79FD">
        <w:rPr>
          <w:rStyle w:val="FootnoteReference"/>
          <w:rFonts w:cs="Times New Roman"/>
        </w:rPr>
        <w:footnoteReference w:id="116"/>
      </w:r>
      <w:r w:rsidRPr="008E6258">
        <w:rPr>
          <w:rFonts w:cs="Times New Roman"/>
          <w:lang w:val="en-GB"/>
        </w:rPr>
        <w:t>, presenting, as we have seen, requirements for entry into the profession.</w:t>
      </w:r>
    </w:p>
    <w:p w14:paraId="4602310B" w14:textId="57FAF5DA" w:rsidR="003B336A" w:rsidRPr="00627F91" w:rsidRDefault="00DE331F" w:rsidP="00172A3B">
      <w:pPr>
        <w:spacing w:line="480" w:lineRule="auto"/>
        <w:jc w:val="both"/>
        <w:rPr>
          <w:rFonts w:cs="Times New Roman"/>
          <w:lang w:val="en-GB"/>
        </w:rPr>
      </w:pPr>
      <w:r w:rsidRPr="00DE331F">
        <w:rPr>
          <w:rFonts w:cs="Times New Roman"/>
          <w:lang w:val="en-GB"/>
        </w:rPr>
        <w:t xml:space="preserve">This does not prevent, however, as it is a dynamic process, some growing pains and temptations of domination, both in the era of absolute parliamentary majorities of Cavaco Silva in the 1990s and Socrates in the first decade of the 21st century (and therefore both on the right and on the left). In recent years, political parallelism has been strongly eroded, including with the reduction of the Church's participation, especially on television, </w:t>
      </w:r>
      <w:proofErr w:type="gramStart"/>
      <w:r w:rsidRPr="00DE331F">
        <w:rPr>
          <w:rFonts w:cs="Times New Roman"/>
          <w:lang w:val="en-GB"/>
        </w:rPr>
        <w:t>despite the fact that</w:t>
      </w:r>
      <w:proofErr w:type="gramEnd"/>
      <w:r w:rsidRPr="00DE331F">
        <w:rPr>
          <w:rFonts w:cs="Times New Roman"/>
          <w:lang w:val="en-GB"/>
        </w:rPr>
        <w:t xml:space="preserve"> the pandemic period has generated strong political parallelism at times, with the media explicitly endorsing government decisions and condemning those who disagree as deniers</w:t>
      </w:r>
      <w:r w:rsidR="00235057" w:rsidRPr="002D79FD">
        <w:rPr>
          <w:rStyle w:val="FootnoteReference"/>
          <w:rFonts w:cs="Times New Roman"/>
        </w:rPr>
        <w:footnoteReference w:id="117"/>
      </w:r>
      <w:r w:rsidR="000C6C1F" w:rsidRPr="00DE331F">
        <w:rPr>
          <w:rFonts w:cs="Times New Roman"/>
          <w:lang w:val="en-GB"/>
        </w:rPr>
        <w:t xml:space="preserve">. </w:t>
      </w:r>
      <w:r w:rsidR="00D31C20" w:rsidRPr="00D31C20">
        <w:rPr>
          <w:rFonts w:cs="Times New Roman"/>
          <w:lang w:val="en-GB"/>
        </w:rPr>
        <w:t xml:space="preserve">Currently, in fact, in a phenomenon </w:t>
      </w:r>
      <w:proofErr w:type="gramStart"/>
      <w:r w:rsidR="00D31C20" w:rsidRPr="00D31C20">
        <w:rPr>
          <w:rFonts w:cs="Times New Roman"/>
          <w:lang w:val="en-GB"/>
        </w:rPr>
        <w:t>similar to</w:t>
      </w:r>
      <w:proofErr w:type="gramEnd"/>
      <w:r w:rsidR="00D31C20" w:rsidRPr="00D31C20">
        <w:rPr>
          <w:rFonts w:cs="Times New Roman"/>
          <w:lang w:val="en-GB"/>
        </w:rPr>
        <w:t xml:space="preserve"> that seen in other European countries, particularly in central and northern Europe, there has been a meteoric rise in populism and even an attack on the two-party system in power, with populist parties dominating digital media. In addition, in a context of a “second cold war” and growing </w:t>
      </w:r>
      <w:r w:rsidR="00D31C20" w:rsidRPr="00D31C20">
        <w:rPr>
          <w:rFonts w:cs="Times New Roman"/>
          <w:lang w:val="en-GB"/>
        </w:rPr>
        <w:lastRenderedPageBreak/>
        <w:t>nationalism and polarization, reinforced by the highly centralized response to the Covid pandemic, there has been a deterioration and attacks on press freedom and the democratic rule of law in some Western countries</w:t>
      </w:r>
      <w:r w:rsidR="00D31C20" w:rsidRPr="002D79FD">
        <w:rPr>
          <w:rStyle w:val="FootnoteReference"/>
          <w:rFonts w:cs="Times New Roman"/>
        </w:rPr>
        <w:footnoteReference w:id="118"/>
      </w:r>
      <w:r w:rsidR="00D31C20" w:rsidRPr="00D31C20">
        <w:rPr>
          <w:rFonts w:cs="Times New Roman"/>
          <w:lang w:val="en-GB"/>
        </w:rPr>
        <w:t xml:space="preserve">, compounded by repeated and growing phenomena of disinformation. </w:t>
      </w:r>
      <w:r w:rsidR="00627F91" w:rsidRPr="00627F91">
        <w:rPr>
          <w:rFonts w:cs="Times New Roman"/>
          <w:lang w:val="en-GB"/>
        </w:rPr>
        <w:t>In Portugal, in recent years, contrary to the past, shorter and more uncertain political cycles have been observed, which tend to erode traditional political balances and force the more traditional media to gradually expand their circle of collaborators, particularly to the populist right (although not yet in proportion to its political representation). In other words, there is a noticeable political transformation that is impacting the subsumption to a media model. It should be noted that the current evident polarization, now on the right and populist, should not obscure the fact that it has been felt above all since 2015, when the far left achieved its best result and ended up allying itself with the Socialist Party in the so-called “</w:t>
      </w:r>
      <w:proofErr w:type="spellStart"/>
      <w:r w:rsidR="00627F91" w:rsidRPr="00627F91">
        <w:rPr>
          <w:rFonts w:cs="Times New Roman"/>
          <w:lang w:val="en-GB"/>
        </w:rPr>
        <w:t>gerigonça</w:t>
      </w:r>
      <w:proofErr w:type="spellEnd"/>
      <w:r w:rsidR="00627F91" w:rsidRPr="00627F91">
        <w:rPr>
          <w:rFonts w:cs="Times New Roman"/>
          <w:lang w:val="en-GB"/>
        </w:rPr>
        <w:t>” to govern, sidelining the victorious Social Democrats. The difference, however, with the current situation (apart from the fact that in Portugal, for understandable historical reasons, there is greater sensitivity to right-wing extremism) is the significant size of the parliamentary representation of the new populists and their non-coalition with the traditional governing parties, functioning explicitly as anti-power. This accentuates polarization and misinformation, accelerated by technological developments and the decentralization of the media.</w:t>
      </w:r>
    </w:p>
    <w:p w14:paraId="1A7D225E" w14:textId="77777777" w:rsidR="00A63906" w:rsidRDefault="00A63906" w:rsidP="00172A3B">
      <w:pPr>
        <w:spacing w:line="480" w:lineRule="auto"/>
        <w:jc w:val="both"/>
        <w:rPr>
          <w:rFonts w:cs="Times New Roman"/>
          <w:lang w:val="en-GB"/>
        </w:rPr>
      </w:pPr>
      <w:r w:rsidRPr="00A63906">
        <w:rPr>
          <w:rFonts w:cs="Times New Roman"/>
          <w:lang w:val="en-GB"/>
        </w:rPr>
        <w:t xml:space="preserve">Exponential technological progress, with digitization and </w:t>
      </w:r>
      <w:proofErr w:type="spellStart"/>
      <w:r w:rsidRPr="00A63906">
        <w:rPr>
          <w:rFonts w:cs="Times New Roman"/>
          <w:lang w:val="en-GB"/>
        </w:rPr>
        <w:t>platformization</w:t>
      </w:r>
      <w:proofErr w:type="spellEnd"/>
      <w:r w:rsidRPr="00A63906">
        <w:rPr>
          <w:rFonts w:cs="Times New Roman"/>
          <w:lang w:val="en-GB"/>
        </w:rPr>
        <w:t xml:space="preserve">, presents itself, in fact, a real driver of cross-cutting and multi-level change in media systems, with effects on the profession and practice of journalism, including its own scope and accountability (to which we will return below), as well as on the organizational and economic structure of the </w:t>
      </w:r>
      <w:r w:rsidRPr="00A63906">
        <w:rPr>
          <w:rFonts w:cs="Times New Roman"/>
          <w:lang w:val="en-GB"/>
        </w:rPr>
        <w:lastRenderedPageBreak/>
        <w:t xml:space="preserve">sector and the relationship between the media and the political system and the guarantee of fundamental rights. </w:t>
      </w:r>
    </w:p>
    <w:p w14:paraId="1945E4F1" w14:textId="45D3BF86" w:rsidR="008C1CED" w:rsidRDefault="008C1CED" w:rsidP="00172A3B">
      <w:pPr>
        <w:spacing w:line="480" w:lineRule="auto"/>
        <w:jc w:val="both"/>
        <w:rPr>
          <w:rFonts w:cs="Times New Roman"/>
          <w:lang w:val="en-GB"/>
        </w:rPr>
      </w:pPr>
      <w:r w:rsidRPr="008C1CED">
        <w:rPr>
          <w:rFonts w:cs="Times New Roman"/>
          <w:lang w:val="en-GB"/>
        </w:rPr>
        <w:t xml:space="preserve">With the same transformative force as systemic </w:t>
      </w:r>
      <w:r w:rsidR="00DC0C65" w:rsidRPr="008C1CED">
        <w:rPr>
          <w:rFonts w:cs="Times New Roman"/>
          <w:lang w:val="en-GB"/>
        </w:rPr>
        <w:t>structures, the</w:t>
      </w:r>
      <w:r w:rsidRPr="008C1CED">
        <w:rPr>
          <w:rFonts w:cs="Times New Roman"/>
          <w:lang w:val="en-GB"/>
        </w:rPr>
        <w:t xml:space="preserve"> impact of European law and European integration (politically supported by most parties) stands out, whether due to its integrative and harmonizing normative power or its mimetic effect at the socio-political level, extending the more commercial model of the media. As a rule, Portugal is considered a “good student” that pursues European policies internally. From what has been written, both in this </w:t>
      </w:r>
      <w:r w:rsidR="00E41DEB">
        <w:rPr>
          <w:rFonts w:cs="Times New Roman"/>
          <w:lang w:val="en-GB"/>
        </w:rPr>
        <w:t>section</w:t>
      </w:r>
      <w:r w:rsidRPr="008C1CED">
        <w:rPr>
          <w:rFonts w:cs="Times New Roman"/>
          <w:lang w:val="en-GB"/>
        </w:rPr>
        <w:t xml:space="preserve"> and in </w:t>
      </w:r>
      <w:r w:rsidR="00E41DEB">
        <w:rPr>
          <w:rFonts w:cs="Times New Roman"/>
          <w:lang w:val="en-GB"/>
        </w:rPr>
        <w:t>section</w:t>
      </w:r>
      <w:r w:rsidRPr="008C1CED">
        <w:rPr>
          <w:rFonts w:cs="Times New Roman"/>
          <w:lang w:val="en-GB"/>
        </w:rPr>
        <w:t xml:space="preserve"> 2, it is easy to see that national policy options regarding the media have been replaced by European trends, with the Portuguese media system converging with those of other Member States (and vice versa, in a mutual movement), without this meaning that it loses all its own characteristics or that it uniformly integrates European regulation. </w:t>
      </w:r>
    </w:p>
    <w:p w14:paraId="26918CF5" w14:textId="5136D689" w:rsidR="00B92F76" w:rsidRPr="00DC0C65" w:rsidRDefault="00713DA8" w:rsidP="00172A3B">
      <w:pPr>
        <w:spacing w:line="480" w:lineRule="auto"/>
        <w:jc w:val="both"/>
        <w:rPr>
          <w:rFonts w:cs="Times New Roman"/>
          <w:lang w:val="en-GB"/>
        </w:rPr>
      </w:pPr>
      <w:r w:rsidRPr="00713DA8">
        <w:rPr>
          <w:rFonts w:cs="Times New Roman"/>
          <w:lang w:val="en-GB"/>
        </w:rPr>
        <w:t xml:space="preserve">In fact, Hallin and Mancini's models, and therefore, in what concerns us here, the polarized pluralist model, cannot be seen as static, absolute, or </w:t>
      </w:r>
      <w:proofErr w:type="spellStart"/>
      <w:r w:rsidRPr="00713DA8">
        <w:rPr>
          <w:rFonts w:cs="Times New Roman"/>
          <w:lang w:val="en-GB"/>
        </w:rPr>
        <w:t>uni</w:t>
      </w:r>
      <w:proofErr w:type="spellEnd"/>
      <w:r w:rsidRPr="00713DA8">
        <w:rPr>
          <w:rFonts w:cs="Times New Roman"/>
          <w:lang w:val="en-GB"/>
        </w:rPr>
        <w:t>-level. Indeed, the national reality continues to persist and to present historical, structural, socio-cultural, and economic characteristics that interact with each other and equally with higher levels of regional and international movements, as well as with technological dynamics. This complex interaction shapes and alters the models themselves and their understanding, which should be viewed heuristically and not as a blank slate of similarities and differences between them and within them</w:t>
      </w:r>
      <w:r w:rsidR="00E654C0" w:rsidRPr="002D79FD">
        <w:rPr>
          <w:rStyle w:val="FootnoteReference"/>
          <w:rFonts w:cs="Times New Roman"/>
        </w:rPr>
        <w:footnoteReference w:id="119"/>
      </w:r>
      <w:r w:rsidR="00E654C0" w:rsidRPr="00713DA8">
        <w:rPr>
          <w:rFonts w:cs="Times New Roman"/>
          <w:lang w:val="en-GB"/>
        </w:rPr>
        <w:t>.</w:t>
      </w:r>
      <w:r w:rsidR="00777B90" w:rsidRPr="00713DA8">
        <w:rPr>
          <w:rFonts w:cs="Times New Roman"/>
          <w:lang w:val="en-GB"/>
        </w:rPr>
        <w:t xml:space="preserve"> </w:t>
      </w:r>
      <w:r w:rsidR="00DC0C65" w:rsidRPr="00DC0C65">
        <w:rPr>
          <w:rFonts w:cs="Times New Roman"/>
          <w:lang w:val="en-GB"/>
        </w:rPr>
        <w:t xml:space="preserve">Thus, </w:t>
      </w:r>
      <w:proofErr w:type="gramStart"/>
      <w:r w:rsidR="00DC0C65" w:rsidRPr="00DC0C65">
        <w:rPr>
          <w:rFonts w:cs="Times New Roman"/>
          <w:lang w:val="en-GB"/>
        </w:rPr>
        <w:t>it is clear that even</w:t>
      </w:r>
      <w:proofErr w:type="gramEnd"/>
      <w:r w:rsidR="00DC0C65" w:rsidRPr="00DC0C65">
        <w:rPr>
          <w:rFonts w:cs="Times New Roman"/>
          <w:lang w:val="en-GB"/>
        </w:rPr>
        <w:t xml:space="preserve"> in Portugal, and especially </w:t>
      </w:r>
      <w:proofErr w:type="gramStart"/>
      <w:r w:rsidR="00DC0C65" w:rsidRPr="00DC0C65">
        <w:rPr>
          <w:rFonts w:cs="Times New Roman"/>
          <w:lang w:val="en-GB"/>
        </w:rPr>
        <w:t>in light of</w:t>
      </w:r>
      <w:proofErr w:type="gramEnd"/>
      <w:r w:rsidR="00DC0C65" w:rsidRPr="00DC0C65">
        <w:rPr>
          <w:rFonts w:cs="Times New Roman"/>
          <w:lang w:val="en-GB"/>
        </w:rPr>
        <w:t xml:space="preserve"> developments in recent decades, Portuguese doctrine does not completely agree on the country's </w:t>
      </w:r>
      <w:r w:rsidR="00DC0C65" w:rsidRPr="00DC0C65">
        <w:rPr>
          <w:rFonts w:cs="Times New Roman"/>
          <w:lang w:val="en-GB"/>
        </w:rPr>
        <w:lastRenderedPageBreak/>
        <w:t>classification under the polarized pluralist model, and Hallin and Mancini acknowledge that it may not be classified as such</w:t>
      </w:r>
      <w:r w:rsidR="00DC0C65" w:rsidRPr="002D79FD">
        <w:rPr>
          <w:rStyle w:val="FootnoteReference"/>
          <w:rFonts w:cs="Times New Roman"/>
        </w:rPr>
        <w:footnoteReference w:id="120"/>
      </w:r>
      <w:r w:rsidR="00DC0C65" w:rsidRPr="00DC0C65">
        <w:rPr>
          <w:rFonts w:cs="Times New Roman"/>
          <w:lang w:val="en-GB"/>
        </w:rPr>
        <w:t>, ultimately subsuming it under the liberal model</w:t>
      </w:r>
      <w:r w:rsidR="002E4D91" w:rsidRPr="002D79FD">
        <w:rPr>
          <w:rStyle w:val="FootnoteReference"/>
          <w:rFonts w:cs="Times New Roman"/>
        </w:rPr>
        <w:footnoteReference w:id="121"/>
      </w:r>
      <w:r w:rsidR="00491961" w:rsidRPr="00DC0C65">
        <w:rPr>
          <w:rFonts w:cs="Times New Roman"/>
          <w:lang w:val="en-GB"/>
        </w:rPr>
        <w:t xml:space="preserve">. </w:t>
      </w:r>
    </w:p>
    <w:p w14:paraId="103E1789" w14:textId="76D4FC39" w:rsidR="00B92F76" w:rsidRDefault="00E33563" w:rsidP="00172A3B">
      <w:pPr>
        <w:spacing w:line="480" w:lineRule="auto"/>
        <w:jc w:val="both"/>
        <w:rPr>
          <w:rFonts w:cs="Times New Roman"/>
          <w:lang w:val="en-GB"/>
        </w:rPr>
      </w:pPr>
      <w:r w:rsidRPr="00E33563">
        <w:rPr>
          <w:rFonts w:cs="Times New Roman"/>
          <w:lang w:val="en-GB"/>
        </w:rPr>
        <w:t>Thus, Santana-Pereira</w:t>
      </w:r>
      <w:r w:rsidRPr="002D79FD">
        <w:rPr>
          <w:rStyle w:val="FootnoteReference"/>
          <w:rFonts w:cs="Times New Roman"/>
          <w:lang w:val="en-GB"/>
        </w:rPr>
        <w:footnoteReference w:id="122"/>
      </w:r>
      <w:r w:rsidRPr="00E33563">
        <w:rPr>
          <w:rFonts w:cs="Times New Roman"/>
          <w:lang w:val="en-GB"/>
        </w:rPr>
        <w:t xml:space="preserve"> classifies the Portuguese system as </w:t>
      </w:r>
      <w:r w:rsidR="00C0399C" w:rsidRPr="00E33563">
        <w:rPr>
          <w:rFonts w:cs="Times New Roman"/>
          <w:lang w:val="en-GB"/>
        </w:rPr>
        <w:t>“</w:t>
      </w:r>
      <w:r w:rsidR="0069621A" w:rsidRPr="004D4A65">
        <w:rPr>
          <w:rFonts w:cs="Times New Roman"/>
          <w:i/>
          <w:iCs/>
          <w:lang w:val="en-GB"/>
        </w:rPr>
        <w:t>the least polarized of the polarized pluralistic media systems, continued to be less polarized than the Spanish and Italian systems</w:t>
      </w:r>
      <w:r w:rsidR="00C0399C" w:rsidRPr="00E33563">
        <w:rPr>
          <w:rFonts w:cs="Times New Roman"/>
          <w:lang w:val="en-GB"/>
        </w:rPr>
        <w:t>”</w:t>
      </w:r>
      <w:r w:rsidR="00F651CF" w:rsidRPr="00E33563">
        <w:rPr>
          <w:rFonts w:cs="Times New Roman"/>
          <w:lang w:val="en-GB"/>
        </w:rPr>
        <w:t xml:space="preserve">, </w:t>
      </w:r>
      <w:r w:rsidR="004D4A65" w:rsidRPr="004D4A65">
        <w:rPr>
          <w:rFonts w:cs="Times New Roman"/>
          <w:lang w:val="en-GB"/>
        </w:rPr>
        <w:t xml:space="preserve">whether due to the small and concentrated size of the market and newspaper circulation, or due to the continued intervention of the State in the sector, particularly in television, although since 2009 this has been quite competitive, as </w:t>
      </w:r>
      <w:r w:rsidR="003B1E93" w:rsidRPr="00E33563">
        <w:rPr>
          <w:rFonts w:cs="Times New Roman"/>
          <w:lang w:val="en-GB"/>
        </w:rPr>
        <w:t>“</w:t>
      </w:r>
      <w:r w:rsidR="003B1E93" w:rsidRPr="004D4A65">
        <w:rPr>
          <w:rFonts w:cs="Times New Roman"/>
          <w:i/>
          <w:iCs/>
          <w:lang w:val="en-GB"/>
        </w:rPr>
        <w:t>in terms of availability of quality information and diverse viewpoints, of the creation of spaces for</w:t>
      </w:r>
      <w:r w:rsidR="00B36EC7" w:rsidRPr="004D4A65">
        <w:rPr>
          <w:rFonts w:cs="Times New Roman"/>
          <w:i/>
          <w:iCs/>
          <w:lang w:val="en-GB"/>
        </w:rPr>
        <w:t xml:space="preserve"> political debate, and of government activity scrutiny, Portugal resembles, once more, other pluralistic polarized systems</w:t>
      </w:r>
      <w:r w:rsidR="003B1E93" w:rsidRPr="00E33563">
        <w:rPr>
          <w:rFonts w:cs="Times New Roman"/>
          <w:lang w:val="en-GB"/>
        </w:rPr>
        <w:t>”</w:t>
      </w:r>
      <w:r w:rsidR="00B36EC7" w:rsidRPr="002D79FD">
        <w:rPr>
          <w:rStyle w:val="FootnoteReference"/>
          <w:rFonts w:cs="Times New Roman"/>
          <w:lang w:val="en-GB"/>
        </w:rPr>
        <w:footnoteReference w:id="123"/>
      </w:r>
      <w:r w:rsidR="00CC787C" w:rsidRPr="00E33563">
        <w:rPr>
          <w:rFonts w:cs="Times New Roman"/>
          <w:lang w:val="en-GB"/>
        </w:rPr>
        <w:t>.</w:t>
      </w:r>
      <w:r w:rsidR="00927025" w:rsidRPr="00E33563">
        <w:rPr>
          <w:rFonts w:cs="Times New Roman"/>
          <w:lang w:val="en-GB"/>
        </w:rPr>
        <w:t xml:space="preserve"> </w:t>
      </w:r>
      <w:r w:rsidR="005D2A9E" w:rsidRPr="005D2A9E">
        <w:rPr>
          <w:rFonts w:cs="Times New Roman"/>
          <w:lang w:val="en-GB"/>
        </w:rPr>
        <w:t xml:space="preserve">Even so, the author acknowledges that in the first decades of the 21st century, progress has been made in accommodating political pluralism, both on TV and in the written press. For Santana-Pereira, the solution lies in strengthening journalistic professionalism, which he recognizes as a positive indicator in Portugal, both technically and ethically, but also in breaking down the privileged access that certain politicians have to the media and ensuring greater job security. In short, although he classifies the Portuguese system as polarized pluralist, the author seems to hesitate in emphasizing Portugal's peculiarity, with one foot inside and the other outside that model, i.e., more diffuse or hybrid. </w:t>
      </w:r>
      <w:r w:rsidR="00B126FF" w:rsidRPr="00B126FF">
        <w:rPr>
          <w:rFonts w:cs="Times New Roman"/>
          <w:lang w:val="en-GB"/>
        </w:rPr>
        <w:t xml:space="preserve">This idea is already advocated for Portugal by some authors, </w:t>
      </w:r>
      <w:proofErr w:type="gramStart"/>
      <w:r w:rsidR="00B126FF" w:rsidRPr="00B126FF">
        <w:rPr>
          <w:rFonts w:cs="Times New Roman"/>
          <w:lang w:val="en-GB"/>
        </w:rPr>
        <w:t>taking into account</w:t>
      </w:r>
      <w:proofErr w:type="gramEnd"/>
      <w:r w:rsidR="00B126FF" w:rsidRPr="00B126FF">
        <w:rPr>
          <w:rFonts w:cs="Times New Roman"/>
          <w:lang w:val="en-GB"/>
        </w:rPr>
        <w:t xml:space="preserve"> the national tensions and specificities that have been explained in these </w:t>
      </w:r>
      <w:r w:rsidR="00B126FF" w:rsidRPr="00B126FF">
        <w:rPr>
          <w:rFonts w:cs="Times New Roman"/>
          <w:lang w:val="en-GB"/>
        </w:rPr>
        <w:lastRenderedPageBreak/>
        <w:t>pages, with Silva &amp; Sousa</w:t>
      </w:r>
      <w:r w:rsidR="00B126FF" w:rsidRPr="002D79FD">
        <w:rPr>
          <w:rStyle w:val="FootnoteReference"/>
          <w:rFonts w:cs="Times New Roman"/>
        </w:rPr>
        <w:footnoteReference w:id="124"/>
      </w:r>
      <w:r w:rsidR="00B126FF" w:rsidRPr="00B126FF">
        <w:rPr>
          <w:rFonts w:cs="Times New Roman"/>
          <w:lang w:val="en-GB"/>
        </w:rPr>
        <w:t xml:space="preserve"> characterizing the functioning of the Portuguese system as “diffuse” and </w:t>
      </w:r>
      <w:proofErr w:type="spellStart"/>
      <w:r w:rsidR="00B126FF" w:rsidRPr="00B126FF">
        <w:rPr>
          <w:rFonts w:cs="Times New Roman"/>
          <w:lang w:val="en-GB"/>
        </w:rPr>
        <w:t>Humprecht</w:t>
      </w:r>
      <w:proofErr w:type="spellEnd"/>
      <w:r w:rsidR="00B126FF" w:rsidRPr="00B126FF">
        <w:rPr>
          <w:rFonts w:cs="Times New Roman"/>
          <w:lang w:val="en-GB"/>
        </w:rPr>
        <w:t xml:space="preserve"> et al.</w:t>
      </w:r>
      <w:r w:rsidR="00B126FF" w:rsidRPr="00B126FF">
        <w:rPr>
          <w:rStyle w:val="FootnoteReference"/>
          <w:rFonts w:cs="Times New Roman"/>
          <w:lang w:val="en-GB"/>
        </w:rPr>
        <w:t xml:space="preserve"> </w:t>
      </w:r>
      <w:r w:rsidR="00B126FF" w:rsidRPr="002D79FD">
        <w:rPr>
          <w:rStyle w:val="FootnoteReference"/>
          <w:rFonts w:cs="Times New Roman"/>
        </w:rPr>
        <w:footnoteReference w:id="125"/>
      </w:r>
      <w:r w:rsidR="00B126FF" w:rsidRPr="00B126FF">
        <w:rPr>
          <w:rFonts w:cs="Times New Roman"/>
          <w:lang w:val="en-GB"/>
        </w:rPr>
        <w:t xml:space="preserve"> as “border or mixed.” </w:t>
      </w:r>
    </w:p>
    <w:p w14:paraId="727B74EF" w14:textId="03180E2E" w:rsidR="00C80449" w:rsidRDefault="00C80449" w:rsidP="00172A3B">
      <w:pPr>
        <w:spacing w:line="480" w:lineRule="auto"/>
        <w:jc w:val="both"/>
        <w:rPr>
          <w:rFonts w:cs="Times New Roman"/>
          <w:lang w:val="en-GB"/>
        </w:rPr>
      </w:pPr>
      <w:r w:rsidRPr="00C80449">
        <w:rPr>
          <w:rFonts w:cs="Times New Roman"/>
          <w:lang w:val="en-GB"/>
        </w:rPr>
        <w:t>For his part, Santos de Miranda</w:t>
      </w:r>
      <w:r w:rsidRPr="002D79FD">
        <w:rPr>
          <w:rStyle w:val="FootnoteReference"/>
          <w:rFonts w:cs="Times New Roman"/>
        </w:rPr>
        <w:footnoteReference w:id="126"/>
      </w:r>
      <w:r w:rsidRPr="00C80449">
        <w:rPr>
          <w:rFonts w:cs="Times New Roman"/>
          <w:lang w:val="en-GB"/>
        </w:rPr>
        <w:t>, focusing solely on the criterion of professionalism and its various dimensions, subsumes the Portuguese case under the polarized pluralistic model. However, a closer reading reveals that, on the one hand, this classification has a historical basis of late professionalization, which does not mean that today it is not consolidated and does not translate into skilled and quality work and, on the other hand, that the author recognizes that Portuguese journalists are the least instrumentalized among the countries of the Mediterranean model. Furthermore, the fact that the profession is recognized by the state, while it is true that this can be seen as a potential factor of interference, on the other hand, may simply derive from the necessary regulation of the profession, especially when there are potential conflicts of rights, all the more so since, in Portuguese law, as noted, principles are established in this area, as well as formal and substantive rules of civil, criminal, and disciplinary liability, reducing the margin for manipulation. In other words, even given his understanding of the greater complexity and heterogeneity of the liberal model, it would seem more appropriate, at the time of writing, for the author to look at Portugal as a more liberal model</w:t>
      </w:r>
      <w:r w:rsidR="000821C0" w:rsidRPr="002D79FD">
        <w:rPr>
          <w:rStyle w:val="FootnoteReference"/>
          <w:rFonts w:cs="Times New Roman"/>
        </w:rPr>
        <w:footnoteReference w:id="127"/>
      </w:r>
      <w:r w:rsidRPr="00C80449">
        <w:rPr>
          <w:rFonts w:cs="Times New Roman"/>
          <w:lang w:val="en-GB"/>
        </w:rPr>
        <w:t>.</w:t>
      </w:r>
    </w:p>
    <w:p w14:paraId="602296FB" w14:textId="267DF357" w:rsidR="00503714" w:rsidRPr="00E845D0" w:rsidRDefault="00C616A0" w:rsidP="00172A3B">
      <w:pPr>
        <w:spacing w:line="480" w:lineRule="auto"/>
        <w:jc w:val="both"/>
        <w:rPr>
          <w:rFonts w:cs="Times New Roman"/>
          <w:lang w:val="en-GB"/>
        </w:rPr>
      </w:pPr>
      <w:proofErr w:type="spellStart"/>
      <w:r w:rsidRPr="00C616A0">
        <w:rPr>
          <w:rFonts w:cs="Times New Roman"/>
          <w:lang w:val="en-GB"/>
        </w:rPr>
        <w:lastRenderedPageBreak/>
        <w:t>Couraceiro</w:t>
      </w:r>
      <w:proofErr w:type="spellEnd"/>
      <w:r w:rsidRPr="00C616A0">
        <w:rPr>
          <w:rFonts w:cs="Times New Roman"/>
          <w:lang w:val="en-GB"/>
        </w:rPr>
        <w:t xml:space="preserve"> and Lopes</w:t>
      </w:r>
      <w:r w:rsidRPr="002D79FD">
        <w:rPr>
          <w:rStyle w:val="FootnoteReference"/>
          <w:rFonts w:cs="Times New Roman"/>
        </w:rPr>
        <w:footnoteReference w:id="128"/>
      </w:r>
      <w:r w:rsidRPr="00C616A0">
        <w:rPr>
          <w:rFonts w:cs="Times New Roman"/>
          <w:lang w:val="en-GB"/>
        </w:rPr>
        <w:t>, on the other hand, present a slightly different and quite interesting position, which is in line with what we have been advocating and which, in essence, takes a dynamic perspective to classification. The authors identify eight distinct periods</w:t>
      </w:r>
      <w:r w:rsidR="00E845D0" w:rsidRPr="002D79FD">
        <w:rPr>
          <w:rStyle w:val="FootnoteReference"/>
          <w:rFonts w:cs="Times New Roman"/>
        </w:rPr>
        <w:footnoteReference w:id="129"/>
      </w:r>
      <w:r w:rsidRPr="00C616A0">
        <w:rPr>
          <w:rFonts w:cs="Times New Roman"/>
          <w:lang w:val="en-GB"/>
        </w:rPr>
        <w:t xml:space="preserve"> in the Portuguese media system over the last 50 years, considering historical and contextual patterns, but also events, factors, and transformative processes such as significant political changes or transnational or technological phenomena, namely</w:t>
      </w:r>
      <w:r w:rsidR="00A06503" w:rsidRPr="00E845D0">
        <w:rPr>
          <w:rFonts w:cs="Times New Roman"/>
          <w:lang w:val="en-GB"/>
        </w:rPr>
        <w:t>:</w:t>
      </w:r>
    </w:p>
    <w:p w14:paraId="39DF1E92" w14:textId="4FE8E40A" w:rsidR="00B36F52" w:rsidRPr="00B36F52" w:rsidRDefault="00B36F52" w:rsidP="00172A3B">
      <w:pPr>
        <w:pStyle w:val="ListParagraph"/>
        <w:numPr>
          <w:ilvl w:val="0"/>
          <w:numId w:val="47"/>
        </w:numPr>
        <w:spacing w:line="480" w:lineRule="auto"/>
        <w:jc w:val="both"/>
        <w:rPr>
          <w:rFonts w:cs="Times New Roman"/>
          <w:lang w:val="en-GB"/>
        </w:rPr>
      </w:pPr>
      <w:r w:rsidRPr="00B36F52">
        <w:rPr>
          <w:rFonts w:cs="Times New Roman"/>
          <w:lang w:val="en-GB"/>
        </w:rPr>
        <w:t xml:space="preserve">1974-1976: revolution and nationalization, with intense change and disruption, accompanied by high levels of government control and politicization of the </w:t>
      </w:r>
      <w:proofErr w:type="gramStart"/>
      <w:r w:rsidRPr="00B36F52">
        <w:rPr>
          <w:rFonts w:cs="Times New Roman"/>
          <w:lang w:val="en-GB"/>
        </w:rPr>
        <w:t>media;</w:t>
      </w:r>
      <w:proofErr w:type="gramEnd"/>
    </w:p>
    <w:p w14:paraId="3FA48AB3" w14:textId="31BA2748" w:rsidR="00B36F52" w:rsidRPr="00B36F52" w:rsidRDefault="00B36F52" w:rsidP="00172A3B">
      <w:pPr>
        <w:pStyle w:val="ListParagraph"/>
        <w:numPr>
          <w:ilvl w:val="0"/>
          <w:numId w:val="47"/>
        </w:numPr>
        <w:spacing w:line="480" w:lineRule="auto"/>
        <w:jc w:val="both"/>
        <w:rPr>
          <w:rFonts w:cs="Times New Roman"/>
          <w:lang w:val="en-GB"/>
        </w:rPr>
      </w:pPr>
      <w:r w:rsidRPr="00B36F52">
        <w:rPr>
          <w:rFonts w:cs="Times New Roman"/>
          <w:lang w:val="en-GB"/>
        </w:rPr>
        <w:t xml:space="preserve">1977-1984: institutionalization and diversification, beginning of the reversal of media </w:t>
      </w:r>
      <w:proofErr w:type="gramStart"/>
      <w:r w:rsidRPr="00B36F52">
        <w:rPr>
          <w:rFonts w:cs="Times New Roman"/>
          <w:lang w:val="en-GB"/>
        </w:rPr>
        <w:t>nationalization;</w:t>
      </w:r>
      <w:proofErr w:type="gramEnd"/>
    </w:p>
    <w:p w14:paraId="2669CFB1" w14:textId="5C1E792C" w:rsidR="00B36F52" w:rsidRPr="00B36F52" w:rsidRDefault="00B36F52" w:rsidP="00172A3B">
      <w:pPr>
        <w:pStyle w:val="ListParagraph"/>
        <w:numPr>
          <w:ilvl w:val="0"/>
          <w:numId w:val="47"/>
        </w:numPr>
        <w:spacing w:line="480" w:lineRule="auto"/>
        <w:jc w:val="both"/>
        <w:rPr>
          <w:rFonts w:cs="Times New Roman"/>
          <w:lang w:val="en-GB"/>
        </w:rPr>
      </w:pPr>
      <w:r w:rsidRPr="00B36F52">
        <w:rPr>
          <w:rFonts w:cs="Times New Roman"/>
          <w:lang w:val="en-GB"/>
        </w:rPr>
        <w:t xml:space="preserve">1985-1994: liberalization and restructuring, with </w:t>
      </w:r>
      <w:proofErr w:type="gramStart"/>
      <w:r w:rsidRPr="00B36F52">
        <w:rPr>
          <w:rFonts w:cs="Times New Roman"/>
          <w:lang w:val="en-GB"/>
        </w:rPr>
        <w:t>opening up</w:t>
      </w:r>
      <w:proofErr w:type="gramEnd"/>
      <w:r w:rsidRPr="00B36F52">
        <w:rPr>
          <w:rFonts w:cs="Times New Roman"/>
          <w:lang w:val="en-GB"/>
        </w:rPr>
        <w:t xml:space="preserve"> to private </w:t>
      </w:r>
      <w:proofErr w:type="gramStart"/>
      <w:r w:rsidRPr="00B36F52">
        <w:rPr>
          <w:rFonts w:cs="Times New Roman"/>
          <w:lang w:val="en-GB"/>
        </w:rPr>
        <w:t>initiative;</w:t>
      </w:r>
      <w:proofErr w:type="gramEnd"/>
    </w:p>
    <w:p w14:paraId="44518AE6" w14:textId="251C45D5" w:rsidR="00B36F52" w:rsidRPr="00B36F52" w:rsidRDefault="00B36F52" w:rsidP="00172A3B">
      <w:pPr>
        <w:pStyle w:val="ListParagraph"/>
        <w:numPr>
          <w:ilvl w:val="0"/>
          <w:numId w:val="47"/>
        </w:numPr>
        <w:spacing w:line="480" w:lineRule="auto"/>
        <w:jc w:val="both"/>
        <w:rPr>
          <w:rFonts w:cs="Times New Roman"/>
          <w:lang w:val="en-GB"/>
        </w:rPr>
      </w:pPr>
      <w:r w:rsidRPr="00B36F52">
        <w:rPr>
          <w:rFonts w:cs="Times New Roman"/>
          <w:lang w:val="en-GB"/>
        </w:rPr>
        <w:t xml:space="preserve">1995-1999: digital experimentation and television disruption, with the creation of websites as information repositories and private TV channels leading </w:t>
      </w:r>
      <w:proofErr w:type="gramStart"/>
      <w:r w:rsidRPr="00B36F52">
        <w:rPr>
          <w:rFonts w:cs="Times New Roman"/>
          <w:lang w:val="en-GB"/>
        </w:rPr>
        <w:t>audiences;</w:t>
      </w:r>
      <w:proofErr w:type="gramEnd"/>
    </w:p>
    <w:p w14:paraId="074A6BFB" w14:textId="3BAE38B9" w:rsidR="00B36F52" w:rsidRPr="00B36F52" w:rsidRDefault="00B36F52" w:rsidP="00172A3B">
      <w:pPr>
        <w:pStyle w:val="ListParagraph"/>
        <w:numPr>
          <w:ilvl w:val="0"/>
          <w:numId w:val="47"/>
        </w:numPr>
        <w:spacing w:line="480" w:lineRule="auto"/>
        <w:jc w:val="both"/>
        <w:rPr>
          <w:rFonts w:cs="Times New Roman"/>
          <w:lang w:val="en-GB"/>
        </w:rPr>
      </w:pPr>
      <w:r w:rsidRPr="00B36F52">
        <w:rPr>
          <w:rFonts w:cs="Times New Roman"/>
          <w:lang w:val="en-GB"/>
        </w:rPr>
        <w:t xml:space="preserve">2000-2005: new business models, with charging for online and television content and free </w:t>
      </w:r>
      <w:proofErr w:type="gramStart"/>
      <w:r w:rsidRPr="00B36F52">
        <w:rPr>
          <w:rFonts w:cs="Times New Roman"/>
          <w:lang w:val="en-GB"/>
        </w:rPr>
        <w:t>newspapers;</w:t>
      </w:r>
      <w:proofErr w:type="gramEnd"/>
    </w:p>
    <w:p w14:paraId="4D1D282B" w14:textId="6F1843AE" w:rsidR="00B36F52" w:rsidRPr="00B36F52" w:rsidRDefault="00B36F52" w:rsidP="00172A3B">
      <w:pPr>
        <w:pStyle w:val="ListParagraph"/>
        <w:numPr>
          <w:ilvl w:val="0"/>
          <w:numId w:val="47"/>
        </w:numPr>
        <w:spacing w:line="480" w:lineRule="auto"/>
        <w:jc w:val="both"/>
        <w:rPr>
          <w:rFonts w:cs="Times New Roman"/>
          <w:lang w:val="en-GB"/>
        </w:rPr>
      </w:pPr>
      <w:r w:rsidRPr="00B36F52">
        <w:rPr>
          <w:rFonts w:cs="Times New Roman"/>
          <w:lang w:val="en-GB"/>
        </w:rPr>
        <w:t xml:space="preserve">2006-2013: multimedia convergence with cross-media digitization and the use of new digital </w:t>
      </w:r>
      <w:proofErr w:type="gramStart"/>
      <w:r w:rsidRPr="00B36F52">
        <w:rPr>
          <w:rFonts w:cs="Times New Roman"/>
          <w:lang w:val="en-GB"/>
        </w:rPr>
        <w:t>platforms;</w:t>
      </w:r>
      <w:proofErr w:type="gramEnd"/>
    </w:p>
    <w:p w14:paraId="729AC4FF" w14:textId="66C5094F" w:rsidR="00B36F52" w:rsidRPr="00B36F52" w:rsidRDefault="00B36F52" w:rsidP="00172A3B">
      <w:pPr>
        <w:pStyle w:val="ListParagraph"/>
        <w:numPr>
          <w:ilvl w:val="0"/>
          <w:numId w:val="47"/>
        </w:numPr>
        <w:spacing w:line="480" w:lineRule="auto"/>
        <w:jc w:val="both"/>
        <w:rPr>
          <w:rFonts w:cs="Times New Roman"/>
          <w:lang w:val="en-GB"/>
        </w:rPr>
      </w:pPr>
      <w:r w:rsidRPr="00B36F52">
        <w:rPr>
          <w:rFonts w:cs="Times New Roman"/>
          <w:lang w:val="en-GB"/>
        </w:rPr>
        <w:t xml:space="preserve">2014-2018: </w:t>
      </w:r>
      <w:proofErr w:type="spellStart"/>
      <w:r w:rsidRPr="00B36F52">
        <w:rPr>
          <w:rFonts w:cs="Times New Roman"/>
          <w:lang w:val="en-GB"/>
        </w:rPr>
        <w:t>platformization</w:t>
      </w:r>
      <w:proofErr w:type="spellEnd"/>
      <w:r w:rsidRPr="00B36F52">
        <w:rPr>
          <w:rFonts w:cs="Times New Roman"/>
          <w:lang w:val="en-GB"/>
        </w:rPr>
        <w:t xml:space="preserve">, which becomes central to both new editorial projects and traditional </w:t>
      </w:r>
      <w:proofErr w:type="gramStart"/>
      <w:r w:rsidRPr="00B36F52">
        <w:rPr>
          <w:rFonts w:cs="Times New Roman"/>
          <w:lang w:val="en-GB"/>
        </w:rPr>
        <w:t>media;</w:t>
      </w:r>
      <w:proofErr w:type="gramEnd"/>
    </w:p>
    <w:p w14:paraId="782EB246" w14:textId="17280831" w:rsidR="00B36F52" w:rsidRPr="00B36F52" w:rsidRDefault="00B36F52" w:rsidP="00172A3B">
      <w:pPr>
        <w:pStyle w:val="ListParagraph"/>
        <w:numPr>
          <w:ilvl w:val="0"/>
          <w:numId w:val="47"/>
        </w:numPr>
        <w:spacing w:line="480" w:lineRule="auto"/>
        <w:jc w:val="both"/>
        <w:rPr>
          <w:rFonts w:cs="Times New Roman"/>
          <w:lang w:val="en-GB"/>
        </w:rPr>
      </w:pPr>
      <w:r w:rsidRPr="00B36F52">
        <w:rPr>
          <w:rFonts w:cs="Times New Roman"/>
          <w:lang w:val="en-GB"/>
        </w:rPr>
        <w:t>2019-2025: disinformation and polarization, with digital platforms dominated by multinational technology companies, proliferation of disinformation, and political polarization in Portugal.</w:t>
      </w:r>
    </w:p>
    <w:p w14:paraId="4F4F8E32" w14:textId="4D7DC327" w:rsidR="00BA2C60" w:rsidRPr="00BA2C60" w:rsidRDefault="00BA2C60" w:rsidP="00172A3B">
      <w:pPr>
        <w:spacing w:line="480" w:lineRule="auto"/>
        <w:jc w:val="both"/>
        <w:rPr>
          <w:rFonts w:cs="Times New Roman"/>
          <w:lang w:val="en-GB"/>
        </w:rPr>
      </w:pPr>
      <w:r w:rsidRPr="00BA2C60">
        <w:rPr>
          <w:rFonts w:cs="Times New Roman"/>
          <w:lang w:val="en-GB"/>
        </w:rPr>
        <w:lastRenderedPageBreak/>
        <w:t>From their analysis, only the first two periods fit into the polarized pluralist model</w:t>
      </w:r>
      <w:r w:rsidRPr="002D79FD">
        <w:rPr>
          <w:rStyle w:val="FootnoteReference"/>
          <w:rFonts w:cs="Times New Roman"/>
        </w:rPr>
        <w:footnoteReference w:id="130"/>
      </w:r>
      <w:r w:rsidRPr="00BA2C60">
        <w:rPr>
          <w:rFonts w:cs="Times New Roman"/>
          <w:lang w:val="en-GB"/>
        </w:rPr>
        <w:t>, due to the weight of political influence in the media, while the remaining periods, mainly due to economic and technological organizational changes, combined with European integration and digital evolution, are closer, albeit with national specificities, to a tendentially liberal model.</w:t>
      </w:r>
      <w:r w:rsidRPr="002D79FD">
        <w:rPr>
          <w:rStyle w:val="FootnoteReference"/>
          <w:rFonts w:cs="Times New Roman"/>
        </w:rPr>
        <w:footnoteReference w:id="131"/>
      </w:r>
      <w:r w:rsidRPr="00BA2C60">
        <w:rPr>
          <w:rFonts w:cs="Times New Roman"/>
          <w:lang w:val="en-GB"/>
        </w:rPr>
        <w:t xml:space="preserve"> However, the last period resembles something of a hybrid or diffuse model, converging once again towards a polarized pluralist model.</w:t>
      </w:r>
      <w:r w:rsidR="00A4358D" w:rsidRPr="002D79FD">
        <w:rPr>
          <w:rStyle w:val="FootnoteReference"/>
          <w:rFonts w:cs="Times New Roman"/>
        </w:rPr>
        <w:footnoteReference w:id="132"/>
      </w:r>
      <w:r w:rsidRPr="00BA2C60">
        <w:rPr>
          <w:rFonts w:cs="Times New Roman"/>
          <w:lang w:val="en-GB"/>
        </w:rPr>
        <w:t xml:space="preserve"> In addition, in their opinion, there has been a weakening of professionalization due to the marked commercialization of journalism, increasing precariousness and leading to an unprecedented journalists' strike in 2020. There is also a trend, especially on digital platforms, towards niche markets for more extreme political positions or those with economic motivations. Added to this is the chronically low circulation of newspapers, which encourages a certain elitism (even if access to digital media can mitigate this), and a concentrated market in which the State retains its presence, particularly in radio, TV, and news agencies. However, the foundations of a European media regulation system remain in place, promoting liberalization and transparency and fostering new formats and business models.</w:t>
      </w:r>
    </w:p>
    <w:p w14:paraId="1465BDA9" w14:textId="65BC78A8" w:rsidR="003F6658" w:rsidRPr="00321C1F" w:rsidRDefault="00654794" w:rsidP="00172A3B">
      <w:pPr>
        <w:spacing w:line="480" w:lineRule="auto"/>
        <w:jc w:val="both"/>
        <w:rPr>
          <w:rFonts w:cs="Times New Roman"/>
          <w:lang w:val="en-GB"/>
        </w:rPr>
      </w:pPr>
      <w:r w:rsidRPr="00654794">
        <w:rPr>
          <w:rFonts w:cs="Times New Roman"/>
          <w:lang w:val="en-GB"/>
        </w:rPr>
        <w:t xml:space="preserve">Thus, even though I do not entirely agree with the periodization used, which ultimately translates into regular periods of around five years that do not allow for a broader view of trends, reflecting more specific events and not considering fundamental legislative changes such as the constitutional revisions of 1982 or 1989 as milestones marking the transformation of the period, it converges in the dynamic analysis and the difficulty in subsuming, especially after 1989, the national model to the Mediterranean model, approaching the liberal model, largely due to European law and technological </w:t>
      </w:r>
      <w:r w:rsidRPr="00654794">
        <w:rPr>
          <w:rFonts w:cs="Times New Roman"/>
          <w:lang w:val="en-GB"/>
        </w:rPr>
        <w:lastRenderedPageBreak/>
        <w:t xml:space="preserve">developments, but maintaining unique characteristics, not least due to the existence of public media. In fact, one can almost make a distinction between the de jure level, which is more liberal due to European harmonization, and the de facto level, which is more polarized pluralist, in which political pressures, now including through </w:t>
      </w:r>
      <w:proofErr w:type="spellStart"/>
      <w:r w:rsidRPr="00654794">
        <w:rPr>
          <w:rFonts w:cs="Times New Roman"/>
          <w:lang w:val="en-GB"/>
        </w:rPr>
        <w:t>platformization</w:t>
      </w:r>
      <w:proofErr w:type="spellEnd"/>
      <w:r w:rsidRPr="00654794">
        <w:rPr>
          <w:rFonts w:cs="Times New Roman"/>
          <w:lang w:val="en-GB"/>
        </w:rPr>
        <w:t xml:space="preserve">, and economic vulnerabilities continue to affect journalistic independence, with a professional class that reacts corporately when its quality and responsibility are questioned from outside or when the possibility of public regulation is raised at the governmental level, as happened recently with the proposal for an ambitious Action Plan for the Media. In short, the Portuguese model today is, on balance, hybrid, and it is still too early to advocate a return to the polarized pluralist model. </w:t>
      </w:r>
      <w:r w:rsidR="00321C1F" w:rsidRPr="00321C1F">
        <w:rPr>
          <w:rFonts w:cs="Times New Roman"/>
          <w:lang w:val="en-GB"/>
        </w:rPr>
        <w:t>Let us wait and see where political changes will take us in the coming years, namely whether the country will be able to deal with populist extremism and the digital revolution, and whether and how it will implement the planned Action Plan.</w:t>
      </w:r>
    </w:p>
    <w:p w14:paraId="4E9086B3" w14:textId="77777777" w:rsidR="006402BE" w:rsidRPr="00321C1F" w:rsidRDefault="006402BE" w:rsidP="00172A3B">
      <w:pPr>
        <w:spacing w:line="480" w:lineRule="auto"/>
        <w:jc w:val="both"/>
        <w:rPr>
          <w:rFonts w:cs="Times New Roman"/>
          <w:lang w:val="en-GB"/>
        </w:rPr>
      </w:pPr>
    </w:p>
    <w:p w14:paraId="6C615DE7" w14:textId="60F9ED66" w:rsidR="00A43FA9" w:rsidRPr="002D79FD" w:rsidRDefault="00185739" w:rsidP="00172A3B">
      <w:pPr>
        <w:spacing w:line="480" w:lineRule="auto"/>
        <w:jc w:val="both"/>
        <w:rPr>
          <w:rFonts w:cs="Times New Roman"/>
          <w:b/>
          <w:bCs/>
          <w:lang w:val="en-GB"/>
        </w:rPr>
      </w:pPr>
      <w:r w:rsidRPr="002D79FD">
        <w:rPr>
          <w:rFonts w:cs="Times New Roman"/>
          <w:b/>
          <w:bCs/>
          <w:lang w:val="en-GB"/>
        </w:rPr>
        <w:t>4</w:t>
      </w:r>
      <w:r w:rsidR="00A43FA9" w:rsidRPr="002D79FD">
        <w:rPr>
          <w:rFonts w:cs="Times New Roman"/>
          <w:b/>
          <w:bCs/>
          <w:lang w:val="en-GB"/>
        </w:rPr>
        <w:t>. Legal and Institutional Framework in Portugal</w:t>
      </w:r>
    </w:p>
    <w:p w14:paraId="6D159C92" w14:textId="0EA1426A" w:rsidR="00DB2476" w:rsidRPr="00FF69F7" w:rsidRDefault="00D77E4D" w:rsidP="00172A3B">
      <w:pPr>
        <w:spacing w:line="480" w:lineRule="auto"/>
        <w:jc w:val="both"/>
        <w:rPr>
          <w:rFonts w:cs="Times New Roman"/>
          <w:lang w:val="en-GB"/>
        </w:rPr>
      </w:pPr>
      <w:r w:rsidRPr="00C32A8C">
        <w:rPr>
          <w:rFonts w:cs="Times New Roman"/>
          <w:lang w:val="en-GB"/>
        </w:rPr>
        <w:t>The regulation of a given sector is generally due to two sets of reasons, which can sometimes overlap, namely: responding to market failures and intervening to protect values other than market values, such as rights, freedoms, and guarantees, as well as public order. This second reason will initially be the main motive for regulating the media sector</w:t>
      </w:r>
      <w:r w:rsidR="00C32A8C" w:rsidRPr="002D79FD">
        <w:rPr>
          <w:rStyle w:val="FootnoteReference"/>
          <w:rFonts w:cs="Times New Roman"/>
        </w:rPr>
        <w:footnoteReference w:id="133"/>
      </w:r>
      <w:r w:rsidRPr="00C32A8C">
        <w:rPr>
          <w:rFonts w:cs="Times New Roman"/>
          <w:lang w:val="en-GB"/>
        </w:rPr>
        <w:t xml:space="preserve">, where regulation is an end in itself, as an endogenous imperative that seeks to safeguard independence from political and executive power, particularly in closed administrative systems, and therefore to ensure freedom of the press in its pluralism, but also, on the other hand, to protect the fundamental rights of those who may be harmed by the irresponsible </w:t>
      </w:r>
      <w:r w:rsidRPr="00C32A8C">
        <w:rPr>
          <w:rFonts w:cs="Times New Roman"/>
          <w:lang w:val="en-GB"/>
        </w:rPr>
        <w:lastRenderedPageBreak/>
        <w:t>use of the media, including in the formation of public opinion.</w:t>
      </w:r>
      <w:r w:rsidR="00C32A8C" w:rsidRPr="002D79FD">
        <w:rPr>
          <w:rStyle w:val="FootnoteReference"/>
          <w:rFonts w:cs="Times New Roman"/>
        </w:rPr>
        <w:footnoteReference w:id="134"/>
      </w:r>
      <w:r w:rsidRPr="00C32A8C">
        <w:rPr>
          <w:rFonts w:cs="Times New Roman"/>
          <w:lang w:val="en-GB"/>
        </w:rPr>
        <w:t xml:space="preserve"> In reality, however, with an entire media industry in place, market failures, particularly in terms of competition, may arise simultaneously, which helps to explain why Portuguese legislation provides for collaboration between the ERC and the Competition Authority</w:t>
      </w:r>
      <w:r w:rsidR="00896445" w:rsidRPr="002D79FD">
        <w:rPr>
          <w:rStyle w:val="FootnoteReference"/>
          <w:rFonts w:cs="Times New Roman"/>
        </w:rPr>
        <w:footnoteReference w:id="135"/>
      </w:r>
      <w:r w:rsidRPr="00C32A8C">
        <w:rPr>
          <w:rFonts w:cs="Times New Roman"/>
          <w:lang w:val="en-GB"/>
        </w:rPr>
        <w:t>, namely with (binding) opinions from the former on competition and market matters</w:t>
      </w:r>
      <w:r w:rsidR="00060DD1" w:rsidRPr="002D79FD">
        <w:rPr>
          <w:rStyle w:val="FootnoteReference"/>
          <w:rFonts w:cs="Times New Roman"/>
        </w:rPr>
        <w:footnoteReference w:id="136"/>
      </w:r>
      <w:r w:rsidRPr="00C32A8C">
        <w:rPr>
          <w:rFonts w:cs="Times New Roman"/>
          <w:lang w:val="en-GB"/>
        </w:rPr>
        <w:t xml:space="preserve">, in line with Article 38(4) </w:t>
      </w:r>
      <w:r w:rsidRPr="00816A37">
        <w:rPr>
          <w:rFonts w:cs="Times New Roman"/>
          <w:i/>
          <w:iCs/>
          <w:lang w:val="en-GB"/>
        </w:rPr>
        <w:t>in fine</w:t>
      </w:r>
      <w:r w:rsidRPr="00C32A8C">
        <w:rPr>
          <w:rFonts w:cs="Times New Roman"/>
          <w:lang w:val="en-GB"/>
        </w:rPr>
        <w:t xml:space="preserve"> CRP or the constitutional provision for a public television and radio service in Article 38(5) CRP.</w:t>
      </w:r>
      <w:r w:rsidR="00FF69F7">
        <w:rPr>
          <w:rFonts w:cs="Times New Roman"/>
          <w:lang w:val="en-GB"/>
        </w:rPr>
        <w:t xml:space="preserve"> </w:t>
      </w:r>
      <w:r w:rsidR="00FF69F7" w:rsidRPr="00FF69F7">
        <w:rPr>
          <w:rFonts w:cs="Times New Roman"/>
          <w:lang w:val="en-GB"/>
        </w:rPr>
        <w:t>In addition, the liberalization and privatization of the sector in Portugal in the 1990s requires regulation that guarantees not only the safeguarding of fundamental rights, but also market values. This duality and complex interaction between the cultural and economic spheres in the media hel</w:t>
      </w:r>
      <w:r w:rsidR="00FF69F7">
        <w:rPr>
          <w:rFonts w:cs="Times New Roman"/>
          <w:lang w:val="en-GB"/>
        </w:rPr>
        <w:t>p</w:t>
      </w:r>
      <w:r w:rsidR="00FF69F7" w:rsidRPr="00FF69F7">
        <w:rPr>
          <w:rFonts w:cs="Times New Roman"/>
          <w:lang w:val="en-GB"/>
        </w:rPr>
        <w:t xml:space="preserve"> explain the need for multifaceted regulation that addresses its various dimensions and subtleties</w:t>
      </w:r>
      <w:r w:rsidR="006237AA" w:rsidRPr="00FF69F7">
        <w:rPr>
          <w:rFonts w:cs="Times New Roman"/>
          <w:lang w:val="en-GB"/>
        </w:rPr>
        <w:t>.</w:t>
      </w:r>
      <w:r w:rsidR="006237AA" w:rsidRPr="002D79FD">
        <w:rPr>
          <w:rStyle w:val="FootnoteReference"/>
          <w:rFonts w:cs="Times New Roman"/>
        </w:rPr>
        <w:footnoteReference w:id="137"/>
      </w:r>
    </w:p>
    <w:p w14:paraId="302641AE" w14:textId="692A3A0B" w:rsidR="00890E54" w:rsidRDefault="007A2A78" w:rsidP="00172A3B">
      <w:pPr>
        <w:spacing w:line="480" w:lineRule="auto"/>
        <w:jc w:val="both"/>
        <w:rPr>
          <w:rFonts w:cs="Times New Roman"/>
          <w:lang w:val="en-GB"/>
        </w:rPr>
      </w:pPr>
      <w:r w:rsidRPr="007A2A78">
        <w:rPr>
          <w:rFonts w:cs="Times New Roman"/>
          <w:lang w:val="en-GB"/>
        </w:rPr>
        <w:t xml:space="preserve">Regulation can take various forms and use various instruments, each with advantages and disadvantages, which may be </w:t>
      </w:r>
      <w:proofErr w:type="gramStart"/>
      <w:r w:rsidRPr="007A2A78">
        <w:rPr>
          <w:rFonts w:cs="Times New Roman"/>
          <w:lang w:val="en-GB"/>
        </w:rPr>
        <w:t>more or less appropriate</w:t>
      </w:r>
      <w:proofErr w:type="gramEnd"/>
      <w:r w:rsidRPr="007A2A78">
        <w:rPr>
          <w:rFonts w:cs="Times New Roman"/>
          <w:lang w:val="en-GB"/>
        </w:rPr>
        <w:t xml:space="preserve"> depending on the context and issues to be addressed, as well as the prevailing cultural tradition. Just remember </w:t>
      </w:r>
      <w:r w:rsidR="005A672A" w:rsidRPr="002D79FD">
        <w:rPr>
          <w:rFonts w:cs="Times New Roman"/>
          <w:lang w:val="en-GB"/>
        </w:rPr>
        <w:t>that</w:t>
      </w:r>
      <w:r w:rsidR="00890E54" w:rsidRPr="002D79FD">
        <w:rPr>
          <w:rFonts w:cs="Times New Roman"/>
          <w:lang w:val="en-GB"/>
        </w:rPr>
        <w:t xml:space="preserve"> the U.S. </w:t>
      </w:r>
      <w:proofErr w:type="spellStart"/>
      <w:r w:rsidR="00890E54" w:rsidRPr="002D79FD">
        <w:rPr>
          <w:rFonts w:cs="Times New Roman"/>
          <w:lang w:val="en-GB"/>
        </w:rPr>
        <w:t>skepticism</w:t>
      </w:r>
      <w:proofErr w:type="spellEnd"/>
      <w:r w:rsidR="00890E54" w:rsidRPr="002D79FD">
        <w:rPr>
          <w:rFonts w:cs="Times New Roman"/>
          <w:lang w:val="en-GB"/>
        </w:rPr>
        <w:t xml:space="preserve"> of state intervention contrasts with Europe’s tradition of public service media and </w:t>
      </w:r>
      <w:r w:rsidR="003C6CBF" w:rsidRPr="002D79FD">
        <w:rPr>
          <w:rFonts w:cs="Times New Roman"/>
          <w:lang w:val="en-GB"/>
        </w:rPr>
        <w:t>hetero-</w:t>
      </w:r>
      <w:r w:rsidR="00890E54" w:rsidRPr="002D79FD">
        <w:rPr>
          <w:rFonts w:cs="Times New Roman"/>
          <w:lang w:val="en-GB"/>
        </w:rPr>
        <w:t xml:space="preserve">regulatory oversight. </w:t>
      </w:r>
      <w:r w:rsidR="003C6CBF" w:rsidRPr="002D79FD">
        <w:rPr>
          <w:rFonts w:cs="Times New Roman"/>
          <w:lang w:val="en-GB"/>
        </w:rPr>
        <w:t>Furthermore, in</w:t>
      </w:r>
      <w:r w:rsidR="00890E54" w:rsidRPr="002D79FD">
        <w:rPr>
          <w:rFonts w:cs="Times New Roman"/>
          <w:lang w:val="en-GB"/>
        </w:rPr>
        <w:t xml:space="preserve"> Portugal, trust in public broadcasters remains relatively high, whereas in the U.S., polarization has eroded trust in mainstream outlets across the political spectrum.</w:t>
      </w:r>
      <w:r w:rsidR="00FF00CA" w:rsidRPr="002D79FD">
        <w:rPr>
          <w:rFonts w:cs="Times New Roman"/>
          <w:lang w:val="en-GB"/>
        </w:rPr>
        <w:t xml:space="preserve"> Therefore, the mix of regulatory solutions will be </w:t>
      </w:r>
      <w:r w:rsidR="00FF00CA" w:rsidRPr="002D79FD">
        <w:rPr>
          <w:rFonts w:cs="Times New Roman"/>
          <w:lang w:val="en-GB"/>
        </w:rPr>
        <w:lastRenderedPageBreak/>
        <w:t>differen</w:t>
      </w:r>
      <w:r w:rsidR="0041786F" w:rsidRPr="002D79FD">
        <w:rPr>
          <w:rFonts w:cs="Times New Roman"/>
          <w:lang w:val="en-GB"/>
        </w:rPr>
        <w:t xml:space="preserve">t </w:t>
      </w:r>
      <w:proofErr w:type="gramStart"/>
      <w:r w:rsidR="0041786F" w:rsidRPr="002D79FD">
        <w:rPr>
          <w:rFonts w:cs="Times New Roman"/>
          <w:lang w:val="en-GB"/>
        </w:rPr>
        <w:t>in order to</w:t>
      </w:r>
      <w:proofErr w:type="gramEnd"/>
      <w:r w:rsidR="0041786F" w:rsidRPr="002D79FD">
        <w:rPr>
          <w:rFonts w:cs="Times New Roman"/>
          <w:lang w:val="en-GB"/>
        </w:rPr>
        <w:t xml:space="preserve"> be adapted to the </w:t>
      </w:r>
      <w:r w:rsidR="00DB6BF4" w:rsidRPr="002D79FD">
        <w:rPr>
          <w:rFonts w:cs="Times New Roman"/>
          <w:lang w:val="en-GB"/>
        </w:rPr>
        <w:t>(</w:t>
      </w:r>
      <w:r w:rsidR="00FE571F" w:rsidRPr="002D79FD">
        <w:rPr>
          <w:rFonts w:cs="Times New Roman"/>
          <w:lang w:val="en-GB"/>
        </w:rPr>
        <w:t xml:space="preserve">legal, economic, social, and cultural) </w:t>
      </w:r>
      <w:r w:rsidR="0041786F" w:rsidRPr="002D79FD">
        <w:rPr>
          <w:rFonts w:cs="Times New Roman"/>
          <w:lang w:val="en-GB"/>
        </w:rPr>
        <w:t xml:space="preserve">specificities of the </w:t>
      </w:r>
      <w:r w:rsidR="00B90542" w:rsidRPr="002D79FD">
        <w:rPr>
          <w:rFonts w:cs="Times New Roman"/>
          <w:lang w:val="en-GB"/>
        </w:rPr>
        <w:t>targeted</w:t>
      </w:r>
      <w:r w:rsidR="00152497" w:rsidRPr="002D79FD">
        <w:rPr>
          <w:rFonts w:cs="Times New Roman"/>
          <w:lang w:val="en-GB"/>
        </w:rPr>
        <w:t xml:space="preserve"> environment.</w:t>
      </w:r>
    </w:p>
    <w:p w14:paraId="2ED1B3B8" w14:textId="6628C8A7" w:rsidR="00A15C10" w:rsidRDefault="0007377E" w:rsidP="00172A3B">
      <w:pPr>
        <w:spacing w:line="480" w:lineRule="auto"/>
        <w:jc w:val="both"/>
        <w:rPr>
          <w:rFonts w:cs="Times New Roman"/>
          <w:lang w:val="en-GB"/>
        </w:rPr>
      </w:pPr>
      <w:r w:rsidRPr="0007377E">
        <w:rPr>
          <w:rFonts w:cs="Times New Roman"/>
          <w:lang w:val="en-GB"/>
        </w:rPr>
        <w:t>Simply put, regulation may emanate from the sector itself, through self-regulation; from the State, through public hetero-regulation arising directly from the Direct Administration of the State or through an independent administrative entity (EAI</w:t>
      </w:r>
      <w:r w:rsidR="00E0482E">
        <w:rPr>
          <w:rStyle w:val="FootnoteReference"/>
          <w:rFonts w:cs="Times New Roman"/>
          <w:lang w:val="en-GB"/>
        </w:rPr>
        <w:footnoteReference w:id="138"/>
      </w:r>
      <w:r w:rsidRPr="0007377E">
        <w:rPr>
          <w:rFonts w:cs="Times New Roman"/>
          <w:lang w:val="en-GB"/>
        </w:rPr>
        <w:t xml:space="preserve">) that is supposedly apolitical; or from collaboration between the Administration and/or those regulated and/or civil society, through co-regulation or contractual regulation. In other words, it can be </w:t>
      </w:r>
      <w:proofErr w:type="gramStart"/>
      <w:r w:rsidRPr="0007377E">
        <w:rPr>
          <w:rFonts w:cs="Times New Roman"/>
          <w:lang w:val="en-GB"/>
        </w:rPr>
        <w:t>more or less centralized</w:t>
      </w:r>
      <w:proofErr w:type="gramEnd"/>
      <w:r w:rsidRPr="0007377E">
        <w:rPr>
          <w:rFonts w:cs="Times New Roman"/>
          <w:lang w:val="en-GB"/>
        </w:rPr>
        <w:t xml:space="preserve"> and </w:t>
      </w:r>
      <w:proofErr w:type="gramStart"/>
      <w:r w:rsidRPr="0007377E">
        <w:rPr>
          <w:rFonts w:cs="Times New Roman"/>
          <w:lang w:val="en-GB"/>
        </w:rPr>
        <w:t>more or less hard</w:t>
      </w:r>
      <w:proofErr w:type="gramEnd"/>
      <w:r w:rsidRPr="0007377E">
        <w:rPr>
          <w:rFonts w:cs="Times New Roman"/>
          <w:lang w:val="en-GB"/>
        </w:rPr>
        <w:t xml:space="preserve"> or soft, evolving on a continuum, whose conceptual and terminological boundaries are not always clear</w:t>
      </w:r>
      <w:r w:rsidRPr="002D79FD">
        <w:rPr>
          <w:rStyle w:val="FootnoteReference"/>
          <w:rFonts w:cs="Times New Roman"/>
        </w:rPr>
        <w:footnoteReference w:id="139"/>
      </w:r>
      <w:r w:rsidRPr="0007377E">
        <w:rPr>
          <w:rFonts w:cs="Times New Roman"/>
          <w:lang w:val="en-GB"/>
        </w:rPr>
        <w:t>. Not being exclusive, they may coexist and even overlap, as is the case and is required in the field of press and media, at least in Portugal</w:t>
      </w:r>
      <w:r w:rsidR="00F87DDD" w:rsidRPr="00E0482E">
        <w:rPr>
          <w:rFonts w:cs="Times New Roman"/>
          <w:lang w:val="en-GB"/>
        </w:rPr>
        <w:t>.</w:t>
      </w:r>
      <w:r w:rsidR="00C13D62" w:rsidRPr="002D79FD">
        <w:rPr>
          <w:rStyle w:val="FootnoteReference"/>
          <w:rFonts w:cs="Times New Roman"/>
        </w:rPr>
        <w:footnoteReference w:id="140"/>
      </w:r>
      <w:r w:rsidR="00261C18" w:rsidRPr="00E0482E">
        <w:rPr>
          <w:rFonts w:cs="Times New Roman"/>
          <w:lang w:val="en-GB"/>
        </w:rPr>
        <w:t xml:space="preserve"> </w:t>
      </w:r>
    </w:p>
    <w:p w14:paraId="5C774EFF" w14:textId="24170C3F" w:rsidR="00894673" w:rsidRPr="006922C4" w:rsidRDefault="005C72E8" w:rsidP="00172A3B">
      <w:pPr>
        <w:spacing w:line="480" w:lineRule="auto"/>
        <w:jc w:val="both"/>
        <w:rPr>
          <w:rFonts w:cs="Times New Roman"/>
          <w:lang w:val="en-GB"/>
        </w:rPr>
      </w:pPr>
      <w:r w:rsidRPr="005C72E8">
        <w:rPr>
          <w:rFonts w:cs="Times New Roman"/>
          <w:lang w:val="en-GB"/>
        </w:rPr>
        <w:t xml:space="preserve">As anticipated, not only does the Constitution expressly provide for an EAI for the sector in its </w:t>
      </w:r>
      <w:proofErr w:type="gramStart"/>
      <w:r w:rsidRPr="005C72E8">
        <w:rPr>
          <w:rFonts w:cs="Times New Roman"/>
          <w:lang w:val="en-GB"/>
        </w:rPr>
        <w:t>Article</w:t>
      </w:r>
      <w:proofErr w:type="gramEnd"/>
      <w:r w:rsidRPr="005C72E8">
        <w:rPr>
          <w:rFonts w:cs="Times New Roman"/>
          <w:lang w:val="en-GB"/>
        </w:rPr>
        <w:t xml:space="preserve"> 39</w:t>
      </w:r>
      <w:r w:rsidRPr="002D79FD">
        <w:rPr>
          <w:rStyle w:val="FootnoteReference"/>
          <w:rFonts w:cs="Times New Roman"/>
        </w:rPr>
        <w:footnoteReference w:id="141"/>
      </w:r>
      <w:r w:rsidRPr="005C72E8">
        <w:rPr>
          <w:rFonts w:cs="Times New Roman"/>
          <w:lang w:val="en-GB"/>
        </w:rPr>
        <w:t xml:space="preserve">, but the Press Law also provides for Newsroom Councils, as well as codes </w:t>
      </w:r>
      <w:r w:rsidRPr="005C72E8">
        <w:rPr>
          <w:rFonts w:cs="Times New Roman"/>
          <w:lang w:val="en-GB"/>
        </w:rPr>
        <w:lastRenderedPageBreak/>
        <w:t xml:space="preserve">of ethics. Similarly, the Government presents a Plan for the Media, and Article 9 of the ERC Statutes provides for the promotion of self- and co-regulation. After all, if the constitutional provision for the ERC and its respective statutes became too comprehensive, it would undermine the intended model of accommodating other forms of regulation, making self-regulation supplementary, </w:t>
      </w:r>
      <w:proofErr w:type="gramStart"/>
      <w:r w:rsidRPr="005C72E8">
        <w:rPr>
          <w:rFonts w:cs="Times New Roman"/>
          <w:lang w:val="en-GB"/>
        </w:rPr>
        <w:t>in particular by</w:t>
      </w:r>
      <w:proofErr w:type="gramEnd"/>
      <w:r w:rsidRPr="005C72E8">
        <w:rPr>
          <w:rFonts w:cs="Times New Roman"/>
          <w:lang w:val="en-GB"/>
        </w:rPr>
        <w:t xml:space="preserve"> diminishing its function</w:t>
      </w:r>
      <w:r w:rsidR="00AC10FC" w:rsidRPr="002D79FD">
        <w:rPr>
          <w:rStyle w:val="FootnoteReference"/>
          <w:rFonts w:cs="Times New Roman"/>
        </w:rPr>
        <w:footnoteReference w:id="142"/>
      </w:r>
      <w:r w:rsidR="00757B12" w:rsidRPr="005C72E8">
        <w:rPr>
          <w:rFonts w:cs="Times New Roman"/>
          <w:lang w:val="en-GB"/>
        </w:rPr>
        <w:t xml:space="preserve">. </w:t>
      </w:r>
      <w:r w:rsidR="00800853" w:rsidRPr="00800853">
        <w:rPr>
          <w:rFonts w:cs="Times New Roman"/>
          <w:lang w:val="en-GB"/>
        </w:rPr>
        <w:t>This does not mean, however, that there are no areas of tension, as will be seen, since legally, for the purposes of this discussion, there appears to be an overlap in the treatment of breaches of journalists' duties by the ERC and by self-regulatory bodies, particularly the CCPJ and the Ethics Council of the Journalists' Union</w:t>
      </w:r>
      <w:r w:rsidR="00293E87" w:rsidRPr="00800853">
        <w:rPr>
          <w:rFonts w:cs="Times New Roman"/>
          <w:lang w:val="en-GB"/>
        </w:rPr>
        <w:t xml:space="preserve"> (CDSJ</w:t>
      </w:r>
      <w:r w:rsidR="00FE500C">
        <w:rPr>
          <w:rStyle w:val="FootnoteReference"/>
          <w:rFonts w:cs="Times New Roman"/>
        </w:rPr>
        <w:footnoteReference w:id="143"/>
      </w:r>
      <w:r w:rsidR="00293E87" w:rsidRPr="00800853">
        <w:rPr>
          <w:rFonts w:cs="Times New Roman"/>
          <w:lang w:val="en-GB"/>
        </w:rPr>
        <w:t>)</w:t>
      </w:r>
      <w:r w:rsidR="00471868" w:rsidRPr="00800853">
        <w:rPr>
          <w:rFonts w:cs="Times New Roman"/>
          <w:lang w:val="en-GB"/>
        </w:rPr>
        <w:t>.</w:t>
      </w:r>
      <w:r w:rsidR="00DF35F4" w:rsidRPr="002D79FD">
        <w:rPr>
          <w:rStyle w:val="FootnoteReference"/>
          <w:rFonts w:cs="Times New Roman"/>
        </w:rPr>
        <w:footnoteReference w:id="144"/>
      </w:r>
      <w:r w:rsidR="00471868" w:rsidRPr="00800853">
        <w:rPr>
          <w:rFonts w:cs="Times New Roman"/>
          <w:lang w:val="en-GB"/>
        </w:rPr>
        <w:t xml:space="preserve"> </w:t>
      </w:r>
      <w:r w:rsidR="006922C4" w:rsidRPr="006922C4">
        <w:rPr>
          <w:rFonts w:cs="Times New Roman"/>
          <w:lang w:val="en-GB"/>
        </w:rPr>
        <w:t>However, not only could conflicts arise in dealing with these issues, namely with allegations of (political and public) interference in self-regulatory matters or, conversely, of corporatism, but it could also create an environment of uncertainty and institutional and sectoral fragility with potentially conflicting decisions</w:t>
      </w:r>
      <w:r w:rsidR="006922C4">
        <w:rPr>
          <w:rFonts w:cs="Times New Roman"/>
          <w:lang w:val="en-GB"/>
        </w:rPr>
        <w:t>.</w:t>
      </w:r>
    </w:p>
    <w:p w14:paraId="57A282C6" w14:textId="35A77552" w:rsidR="009B30C2" w:rsidRPr="007D44B6" w:rsidRDefault="007D44B6" w:rsidP="00172A3B">
      <w:pPr>
        <w:spacing w:line="480" w:lineRule="auto"/>
        <w:jc w:val="both"/>
        <w:rPr>
          <w:rFonts w:cs="Times New Roman"/>
          <w:lang w:val="en-GB"/>
        </w:rPr>
      </w:pPr>
      <w:r w:rsidRPr="007D44B6">
        <w:rPr>
          <w:rFonts w:cs="Times New Roman"/>
          <w:lang w:val="en-GB"/>
        </w:rPr>
        <w:t xml:space="preserve">On another level, however, co-regulation has been promoted, namely with the agreement signed between the ERC, the Portuguese Press Association (API), and the SJ regarding the classification of publications, and the co-regulation protocol between the three television channels (RTP, SIC, TVI) in 2003. These agreements, nonetheless, are not specific regarding the duties and responsibilities of journalists. It should be noted, though, that this form of </w:t>
      </w:r>
      <w:r w:rsidRPr="007D44B6">
        <w:rPr>
          <w:rFonts w:cs="Times New Roman"/>
          <w:lang w:val="en-GB"/>
        </w:rPr>
        <w:lastRenderedPageBreak/>
        <w:t>regulation, contrary to what is often implied, does not guarantee equality of power between the participants or their willingness to negotiate, and should therefore be accompanied by other forms of regulation, especially in a sector as dynamic and complex as the media, where it is necessary to involve not only the State as the protector of fundamental rights and mediator of interests, but also media companies, their professionals, and civil society</w:t>
      </w:r>
      <w:r w:rsidR="001264AE" w:rsidRPr="007D44B6">
        <w:rPr>
          <w:rFonts w:cs="Times New Roman"/>
          <w:lang w:val="en-GB"/>
        </w:rPr>
        <w:t>.</w:t>
      </w:r>
      <w:r w:rsidR="00B66AB4" w:rsidRPr="002D79FD">
        <w:rPr>
          <w:rStyle w:val="FootnoteReference"/>
          <w:rFonts w:cs="Times New Roman"/>
        </w:rPr>
        <w:footnoteReference w:id="145"/>
      </w:r>
    </w:p>
    <w:p w14:paraId="37FA54F6" w14:textId="5C0B7D58" w:rsidR="005E7AD2" w:rsidRPr="007D44B6" w:rsidRDefault="005E7AD2" w:rsidP="00172A3B">
      <w:pPr>
        <w:spacing w:line="480" w:lineRule="auto"/>
        <w:jc w:val="both"/>
        <w:rPr>
          <w:rFonts w:cs="Times New Roman"/>
          <w:lang w:val="en-GB"/>
        </w:rPr>
      </w:pPr>
    </w:p>
    <w:p w14:paraId="7997DA99" w14:textId="5350ED70" w:rsidR="00A43FA9" w:rsidRPr="002D79FD" w:rsidRDefault="00D5203C" w:rsidP="00172A3B">
      <w:pPr>
        <w:spacing w:line="480" w:lineRule="auto"/>
        <w:jc w:val="both"/>
        <w:rPr>
          <w:rFonts w:cs="Times New Roman"/>
          <w:b/>
          <w:bCs/>
          <w:lang w:val="en-GB"/>
        </w:rPr>
      </w:pPr>
      <w:r w:rsidRPr="002D79FD">
        <w:rPr>
          <w:rFonts w:cs="Times New Roman"/>
          <w:b/>
          <w:bCs/>
          <w:lang w:val="en-GB"/>
        </w:rPr>
        <w:t>4</w:t>
      </w:r>
      <w:r w:rsidR="00A43FA9" w:rsidRPr="002D79FD">
        <w:rPr>
          <w:rFonts w:cs="Times New Roman"/>
          <w:b/>
          <w:bCs/>
          <w:lang w:val="en-GB"/>
        </w:rPr>
        <w:t>.</w:t>
      </w:r>
      <w:r w:rsidR="00456AD6" w:rsidRPr="002D79FD">
        <w:rPr>
          <w:rFonts w:cs="Times New Roman"/>
          <w:b/>
          <w:bCs/>
          <w:lang w:val="en-GB"/>
        </w:rPr>
        <w:t>1</w:t>
      </w:r>
      <w:r w:rsidR="00A43FA9" w:rsidRPr="002D79FD">
        <w:rPr>
          <w:rFonts w:cs="Times New Roman"/>
          <w:b/>
          <w:bCs/>
          <w:lang w:val="en-GB"/>
        </w:rPr>
        <w:t>. The Regulatory Authority (ERC)</w:t>
      </w:r>
      <w:r w:rsidR="00456AD6" w:rsidRPr="002D79FD">
        <w:rPr>
          <w:rFonts w:cs="Times New Roman"/>
          <w:b/>
          <w:bCs/>
          <w:lang w:val="en-GB"/>
        </w:rPr>
        <w:t xml:space="preserve"> and the Boundaries of State Oversight</w:t>
      </w:r>
    </w:p>
    <w:p w14:paraId="10D486F8" w14:textId="5F66A81E" w:rsidR="0049628B" w:rsidRPr="00982D7D" w:rsidRDefault="00982D7D" w:rsidP="00172A3B">
      <w:pPr>
        <w:spacing w:line="480" w:lineRule="auto"/>
        <w:jc w:val="both"/>
        <w:rPr>
          <w:rFonts w:cs="Times New Roman"/>
          <w:lang w:val="en-GB"/>
        </w:rPr>
      </w:pPr>
      <w:r w:rsidRPr="00982D7D">
        <w:rPr>
          <w:rFonts w:cs="Times New Roman"/>
          <w:lang w:val="en-GB"/>
        </w:rPr>
        <w:t xml:space="preserve">In Portugal, as is the case throughout much of the world, in a phenomenon of mimicry and herd </w:t>
      </w:r>
      <w:proofErr w:type="spellStart"/>
      <w:r w:rsidRPr="00982D7D">
        <w:rPr>
          <w:rFonts w:cs="Times New Roman"/>
          <w:lang w:val="en-GB"/>
        </w:rPr>
        <w:t>behavior</w:t>
      </w:r>
      <w:proofErr w:type="spellEnd"/>
      <w:r w:rsidRPr="00982D7D">
        <w:rPr>
          <w:rFonts w:cs="Times New Roman"/>
          <w:lang w:val="en-GB"/>
        </w:rPr>
        <w:t xml:space="preserve">, accelerated by the intervention of the Troika during the sovereign debt crisis, there has been a shift towards a model of regulatory outsourcing from the central administration to independent sectoral administrative entities, which aim, on the one hand, to ensure a separation from political and private interests, and, on the other hand, to ensure better governance and a more technical approach, seeking greater efficiency. The aim is thus to avoid political regulation under the influence of the government's interests at the time and, in this way, to promote more participatory management of the rules, encouraging self-regulation and co-regulation, as indeed follows from the </w:t>
      </w:r>
      <w:proofErr w:type="gramStart"/>
      <w:r w:rsidRPr="00982D7D">
        <w:rPr>
          <w:rFonts w:cs="Times New Roman"/>
          <w:lang w:val="en-GB"/>
        </w:rPr>
        <w:t>aforementioned Article</w:t>
      </w:r>
      <w:proofErr w:type="gramEnd"/>
      <w:r w:rsidRPr="00982D7D">
        <w:rPr>
          <w:rFonts w:cs="Times New Roman"/>
          <w:lang w:val="en-GB"/>
        </w:rPr>
        <w:t xml:space="preserve"> 9 of the ERC Statutes. In other words, the aim is to use a technocratic approach to ensure regulatory depoliticization, particularly by strengthening the independence and accountability of the EAI. However, as we shall see, particularly </w:t>
      </w:r>
      <w:proofErr w:type="gramStart"/>
      <w:r w:rsidRPr="00982D7D">
        <w:rPr>
          <w:rFonts w:cs="Times New Roman"/>
          <w:lang w:val="en-GB"/>
        </w:rPr>
        <w:t>with regard to</w:t>
      </w:r>
      <w:proofErr w:type="gramEnd"/>
      <w:r w:rsidRPr="00982D7D">
        <w:rPr>
          <w:rFonts w:cs="Times New Roman"/>
          <w:lang w:val="en-GB"/>
        </w:rPr>
        <w:t xml:space="preserve"> the ERC, not only are these guarantees and the very institution of an EAI insufficient or inadequate, but they also </w:t>
      </w:r>
      <w:r>
        <w:rPr>
          <w:rFonts w:cs="Times New Roman"/>
          <w:lang w:val="en-GB"/>
        </w:rPr>
        <w:t xml:space="preserve">might </w:t>
      </w:r>
      <w:r w:rsidRPr="00982D7D">
        <w:rPr>
          <w:rFonts w:cs="Times New Roman"/>
          <w:lang w:val="en-GB"/>
        </w:rPr>
        <w:t>raise new problems such as issues of democratic legitimacy and excessive concentration of power.</w:t>
      </w:r>
    </w:p>
    <w:p w14:paraId="07492B63" w14:textId="77777777" w:rsidR="00EC7359" w:rsidRDefault="00105310" w:rsidP="00172A3B">
      <w:pPr>
        <w:spacing w:line="480" w:lineRule="auto"/>
        <w:jc w:val="both"/>
        <w:rPr>
          <w:rFonts w:cs="Times New Roman"/>
          <w:lang w:val="en-GB"/>
        </w:rPr>
      </w:pPr>
      <w:r w:rsidRPr="00105310">
        <w:rPr>
          <w:rFonts w:cs="Times New Roman"/>
          <w:lang w:val="en-GB"/>
        </w:rPr>
        <w:lastRenderedPageBreak/>
        <w:t>The focus on regulatory agency is largely based on independence and, correspondingly, like two sides of a coin, on accountability, because, after all</w:t>
      </w:r>
      <w:r w:rsidR="002C3BEE" w:rsidRPr="00105310">
        <w:rPr>
          <w:rFonts w:cs="Times New Roman"/>
          <w:lang w:val="en-GB"/>
        </w:rPr>
        <w:t xml:space="preserve">, </w:t>
      </w:r>
      <w:r w:rsidR="005D2610" w:rsidRPr="00105310">
        <w:rPr>
          <w:rFonts w:cs="Times New Roman"/>
          <w:lang w:val="en-GB"/>
        </w:rPr>
        <w:t>“</w:t>
      </w:r>
      <w:r w:rsidR="00891AE6" w:rsidRPr="004A4081">
        <w:rPr>
          <w:rFonts w:cs="Times New Roman"/>
          <w:i/>
          <w:iCs/>
          <w:lang w:val="en-GB"/>
        </w:rPr>
        <w:t>w</w:t>
      </w:r>
      <w:r w:rsidR="005D2610" w:rsidRPr="004A4081">
        <w:rPr>
          <w:rFonts w:cs="Times New Roman"/>
          <w:i/>
          <w:iCs/>
          <w:lang w:val="en-GB"/>
        </w:rPr>
        <w:t>ith great power comes great responsibility</w:t>
      </w:r>
      <w:r w:rsidR="005D2610" w:rsidRPr="00105310">
        <w:rPr>
          <w:rFonts w:cs="Times New Roman"/>
          <w:lang w:val="en-GB"/>
        </w:rPr>
        <w:t>”.</w:t>
      </w:r>
      <w:r w:rsidR="00891AE6" w:rsidRPr="002D79FD">
        <w:rPr>
          <w:rStyle w:val="FootnoteReference"/>
          <w:rFonts w:cs="Times New Roman"/>
        </w:rPr>
        <w:footnoteReference w:id="146"/>
      </w:r>
      <w:r w:rsidR="00891AE6" w:rsidRPr="00105310">
        <w:rPr>
          <w:rFonts w:cs="Times New Roman"/>
          <w:lang w:val="en-GB"/>
        </w:rPr>
        <w:t xml:space="preserve"> </w:t>
      </w:r>
      <w:r w:rsidR="00B64AB9" w:rsidRPr="00B64AB9">
        <w:rPr>
          <w:rFonts w:cs="Times New Roman"/>
          <w:lang w:val="en-GB"/>
        </w:rPr>
        <w:t xml:space="preserve">Both may exist </w:t>
      </w:r>
      <w:r w:rsidR="00B64AB9" w:rsidRPr="00B64AB9">
        <w:rPr>
          <w:rFonts w:cs="Times New Roman"/>
          <w:i/>
          <w:iCs/>
          <w:lang w:val="en-GB"/>
        </w:rPr>
        <w:t>de facto</w:t>
      </w:r>
      <w:r w:rsidR="00B64AB9" w:rsidRPr="00B64AB9">
        <w:rPr>
          <w:rFonts w:cs="Times New Roman"/>
          <w:lang w:val="en-GB"/>
        </w:rPr>
        <w:t xml:space="preserve">, based largely on the characteristics of the leaders of these institutions and on procedural and organizational practices, as well as </w:t>
      </w:r>
      <w:r w:rsidR="00B64AB9" w:rsidRPr="00B64AB9">
        <w:rPr>
          <w:rFonts w:cs="Times New Roman"/>
          <w:i/>
          <w:iCs/>
          <w:lang w:val="en-GB"/>
        </w:rPr>
        <w:t>de jure,</w:t>
      </w:r>
      <w:r w:rsidR="00B64AB9" w:rsidRPr="00B64AB9">
        <w:rPr>
          <w:rFonts w:cs="Times New Roman"/>
          <w:lang w:val="en-GB"/>
        </w:rPr>
        <w:t xml:space="preserve"> i.e., formally resulting from the legislative framework</w:t>
      </w:r>
      <w:r w:rsidR="001F5E13" w:rsidRPr="002D79FD">
        <w:rPr>
          <w:rStyle w:val="FootnoteReference"/>
          <w:rFonts w:cs="Times New Roman"/>
        </w:rPr>
        <w:footnoteReference w:id="147"/>
      </w:r>
      <w:r w:rsidR="006B0808" w:rsidRPr="00B64AB9">
        <w:rPr>
          <w:rFonts w:cs="Times New Roman"/>
          <w:lang w:val="en-GB"/>
        </w:rPr>
        <w:t xml:space="preserve">. </w:t>
      </w:r>
      <w:r w:rsidR="00EC7359" w:rsidRPr="00EC7359">
        <w:rPr>
          <w:rFonts w:cs="Times New Roman"/>
          <w:lang w:val="en-GB"/>
        </w:rPr>
        <w:t xml:space="preserve">They may coincide and overlap, reinforcing each other, or exist independently of each other. Their purpose is to ensure the self-determination of the EAI in relation to political power, particularly governmental power, and in relation to those it regulates. </w:t>
      </w:r>
    </w:p>
    <w:p w14:paraId="00BE1235" w14:textId="18178BE2" w:rsidR="001A41F3" w:rsidRPr="002D2B8B" w:rsidRDefault="002F2DAD" w:rsidP="00172A3B">
      <w:pPr>
        <w:spacing w:line="480" w:lineRule="auto"/>
        <w:jc w:val="both"/>
        <w:rPr>
          <w:rFonts w:cs="Times New Roman"/>
          <w:lang w:val="en-GB"/>
        </w:rPr>
      </w:pPr>
      <w:r w:rsidRPr="002D2B8B">
        <w:rPr>
          <w:rFonts w:cs="Times New Roman"/>
          <w:lang w:val="en-GB"/>
        </w:rPr>
        <w:t xml:space="preserve">Building on </w:t>
      </w:r>
      <w:r w:rsidR="003034EF" w:rsidRPr="002D2B8B">
        <w:rPr>
          <w:rFonts w:cs="Times New Roman"/>
          <w:lang w:val="en-GB"/>
        </w:rPr>
        <w:t>Quintyn</w:t>
      </w:r>
      <w:r w:rsidR="004A399E" w:rsidRPr="002D2B8B">
        <w:rPr>
          <w:rFonts w:cs="Times New Roman"/>
          <w:lang w:val="en-GB"/>
        </w:rPr>
        <w:t>’s</w:t>
      </w:r>
      <w:r w:rsidR="003034EF" w:rsidRPr="002D2B8B">
        <w:rPr>
          <w:rFonts w:cs="Times New Roman"/>
          <w:lang w:val="en-GB"/>
        </w:rPr>
        <w:t>, et al.</w:t>
      </w:r>
      <w:r w:rsidR="004A399E" w:rsidRPr="002D2B8B">
        <w:rPr>
          <w:rFonts w:cs="Times New Roman"/>
          <w:lang w:val="en-GB"/>
        </w:rPr>
        <w:t xml:space="preserve"> work (thought for financial supervisors)</w:t>
      </w:r>
      <w:r w:rsidR="004A399E" w:rsidRPr="002D79FD">
        <w:rPr>
          <w:rStyle w:val="FootnoteReference"/>
          <w:rFonts w:cs="Times New Roman"/>
          <w:lang w:val="en-GB"/>
        </w:rPr>
        <w:footnoteReference w:id="148"/>
      </w:r>
      <w:r w:rsidR="004A399E" w:rsidRPr="002D2B8B">
        <w:rPr>
          <w:rFonts w:cs="Times New Roman"/>
          <w:lang w:val="en-GB"/>
        </w:rPr>
        <w:t xml:space="preserve">, </w:t>
      </w:r>
      <w:r w:rsidR="00C40462" w:rsidRPr="002D2B8B">
        <w:rPr>
          <w:rFonts w:cs="Times New Roman"/>
          <w:lang w:val="en-GB"/>
        </w:rPr>
        <w:t xml:space="preserve"> </w:t>
      </w:r>
      <w:r w:rsidR="002D2B8B">
        <w:rPr>
          <w:rFonts w:cs="Times New Roman"/>
          <w:lang w:val="en-GB"/>
        </w:rPr>
        <w:t>f</w:t>
      </w:r>
      <w:r w:rsidR="002D2B8B" w:rsidRPr="002D2B8B">
        <w:rPr>
          <w:rFonts w:cs="Times New Roman"/>
          <w:lang w:val="en-GB"/>
        </w:rPr>
        <w:t xml:space="preserve">our dimensions of independence can be identified: </w:t>
      </w:r>
      <w:proofErr w:type="spellStart"/>
      <w:r w:rsidR="002D2B8B" w:rsidRPr="002D2B8B">
        <w:rPr>
          <w:rFonts w:cs="Times New Roman"/>
          <w:lang w:val="en-GB"/>
        </w:rPr>
        <w:t>i</w:t>
      </w:r>
      <w:proofErr w:type="spellEnd"/>
      <w:r w:rsidR="002D2B8B" w:rsidRPr="002D2B8B">
        <w:rPr>
          <w:rFonts w:cs="Times New Roman"/>
          <w:lang w:val="en-GB"/>
        </w:rPr>
        <w:t>) institutional; ii) regulatory; iii) supervisory; iv) financial.</w:t>
      </w:r>
    </w:p>
    <w:p w14:paraId="5C8CBB25" w14:textId="2770A324" w:rsidR="00A61A8B" w:rsidRPr="003305EC" w:rsidRDefault="00A126F8" w:rsidP="00172A3B">
      <w:pPr>
        <w:spacing w:line="480" w:lineRule="auto"/>
        <w:jc w:val="both"/>
        <w:rPr>
          <w:rFonts w:cs="Times New Roman"/>
          <w:lang w:val="en-GB"/>
        </w:rPr>
      </w:pPr>
      <w:r w:rsidRPr="00A126F8">
        <w:rPr>
          <w:rFonts w:cs="Times New Roman"/>
          <w:lang w:val="en-GB"/>
        </w:rPr>
        <w:t>In terms of institutional independence, the ERC finds its legal basis in Article 39 of the CRP and in Law No. 53/2005, which establishes its statutes. It should be noted that this is the only EAI expressly foreseen as such in the Constitution</w:t>
      </w:r>
      <w:r w:rsidR="00BD6C8B">
        <w:rPr>
          <w:rFonts w:cs="Times New Roman"/>
          <w:lang w:val="en-GB"/>
        </w:rPr>
        <w:t xml:space="preserve">, even if the </w:t>
      </w:r>
      <w:r w:rsidR="007D4C8A">
        <w:rPr>
          <w:rFonts w:cs="Times New Roman"/>
          <w:lang w:val="en-GB"/>
        </w:rPr>
        <w:t xml:space="preserve">constitutional changes of 2004 do not </w:t>
      </w:r>
      <w:r w:rsidR="003F4B82">
        <w:rPr>
          <w:rFonts w:cs="Times New Roman"/>
          <w:lang w:val="en-GB"/>
        </w:rPr>
        <w:t>expressly identify the regulation agency</w:t>
      </w:r>
      <w:r w:rsidR="003F4B82">
        <w:rPr>
          <w:rStyle w:val="FootnoteReference"/>
          <w:rFonts w:cs="Times New Roman"/>
          <w:lang w:val="en-GB"/>
        </w:rPr>
        <w:footnoteReference w:id="149"/>
      </w:r>
      <w:r w:rsidRPr="00A126F8">
        <w:rPr>
          <w:rFonts w:cs="Times New Roman"/>
          <w:lang w:val="en-GB"/>
        </w:rPr>
        <w:t xml:space="preserve">. In the case of the Bank of Portugal, it is stipulated as a central bank and not in the role of financial supervisor, and in other cases, there is only a generic provision regarding the possibility of its creation in Article 267(3) of the CRP. This reveals its endogenous importance, both due to the sensitivity of the </w:t>
      </w:r>
      <w:r w:rsidRPr="00A126F8">
        <w:rPr>
          <w:rFonts w:cs="Times New Roman"/>
          <w:lang w:val="en-GB"/>
        </w:rPr>
        <w:lastRenderedPageBreak/>
        <w:t xml:space="preserve">sector and its historical background, particularly associated with the Estado Novo. Although this solution was not envisaged in the initial version of the CRP, the 1982 revision established the creation of a Media Council, to be regulated by law, composed of eleven members elected by the Assembly of the Republic, with powers to ensure a general orientation of respect for ideological pluralism. </w:t>
      </w:r>
      <w:r w:rsidR="00E4417B" w:rsidRPr="00E4417B">
        <w:rPr>
          <w:rFonts w:cs="Times New Roman"/>
          <w:lang w:val="en-GB"/>
        </w:rPr>
        <w:t xml:space="preserve">In 1989, this Council was constitutionally transformed into the AACS, with the stipulation that it would be composed of thirteen members, including, mandatorily, a magistrate appointed by the Superior Council of Magistrates, who presides; five members elected by the Assembly of the Republic according to the proportional system and the highest average method of Hondt; three members appointed by the Government; and four members representing, “namely,” public opinion, the media, and culture. </w:t>
      </w:r>
      <w:r w:rsidR="00D56351" w:rsidRPr="00D56351">
        <w:rPr>
          <w:rFonts w:cs="Times New Roman"/>
          <w:lang w:val="en-GB"/>
        </w:rPr>
        <w:t xml:space="preserve">In the 1997 revision, its composition was reduced to 11 members, removing two from the executive and the illustrative nature arising from the adverb “namely” </w:t>
      </w:r>
      <w:proofErr w:type="gramStart"/>
      <w:r w:rsidR="00D56351" w:rsidRPr="00D56351">
        <w:rPr>
          <w:rFonts w:cs="Times New Roman"/>
          <w:lang w:val="en-GB"/>
        </w:rPr>
        <w:t>with regard to</w:t>
      </w:r>
      <w:proofErr w:type="gramEnd"/>
      <w:r w:rsidR="00D56351" w:rsidRPr="00D56351">
        <w:rPr>
          <w:rFonts w:cs="Times New Roman"/>
          <w:lang w:val="en-GB"/>
        </w:rPr>
        <w:t xml:space="preserve"> the representative elements of the sector. The new, vaguer version, which does not define the composition, stems from the changes introduced in 2004, even eliminating the name that the EAI for the Media should assume. Today, in fact, it is ERC and not AACS following the approval of Law No. 53/2005, with a significant strengthening of its powers, authority, and resources compared to its predecessor</w:t>
      </w:r>
      <w:r w:rsidR="00696A93" w:rsidRPr="002D79FD">
        <w:rPr>
          <w:rStyle w:val="FootnoteReference"/>
          <w:rFonts w:cs="Times New Roman"/>
        </w:rPr>
        <w:footnoteReference w:id="150"/>
      </w:r>
      <w:r w:rsidR="001D5B66" w:rsidRPr="00D56351">
        <w:rPr>
          <w:rFonts w:cs="Times New Roman"/>
          <w:lang w:val="en-GB"/>
        </w:rPr>
        <w:t>.</w:t>
      </w:r>
      <w:r w:rsidR="00105A43" w:rsidRPr="00D56351">
        <w:rPr>
          <w:rFonts w:cs="Times New Roman"/>
          <w:lang w:val="en-GB"/>
        </w:rPr>
        <w:t xml:space="preserve"> </w:t>
      </w:r>
      <w:r w:rsidR="003305EC" w:rsidRPr="003305EC">
        <w:rPr>
          <w:rFonts w:cs="Times New Roman"/>
          <w:lang w:val="en-GB"/>
        </w:rPr>
        <w:t xml:space="preserve">Furthermore, this differentiated status of the ERC in relation to other EAIs can also be attested to by the fact that, expressly, this entity, like the Bank of Portugal, albeit for different reasons, is excluded from the scope of application of the Framework Law on EAIs, Law No. 67/2013, of 28.09, in its Article 3(4). In the case of the Bank of Portugal, the reason seems to be its constitutional status as a central bank and its membership of the supranational system of central banks in the Eurozone. In the case of the ERC, which is also provided for </w:t>
      </w:r>
      <w:r w:rsidR="003305EC" w:rsidRPr="003305EC">
        <w:rPr>
          <w:rFonts w:cs="Times New Roman"/>
          <w:lang w:val="en-GB"/>
        </w:rPr>
        <w:lastRenderedPageBreak/>
        <w:t>in the CRP, the reason would be its focus on the protection of fundamental rights rather than on market failures.</w:t>
      </w:r>
    </w:p>
    <w:p w14:paraId="643DB05F" w14:textId="77777777" w:rsidR="00851C83" w:rsidRDefault="00851C83" w:rsidP="00172A3B">
      <w:pPr>
        <w:spacing w:line="480" w:lineRule="auto"/>
        <w:jc w:val="both"/>
        <w:rPr>
          <w:rFonts w:cs="Times New Roman"/>
          <w:lang w:val="en-GB"/>
        </w:rPr>
      </w:pPr>
      <w:r w:rsidRPr="00851C83">
        <w:rPr>
          <w:rFonts w:cs="Times New Roman"/>
          <w:lang w:val="en-GB"/>
        </w:rPr>
        <w:t>Secondly, formally, the legislative framework declares the independence of the ERC. On the one hand, both Article 39 of the CRP and Articles 1(2) of Law No. 53/2005 and 1(1) of the ERC Statutes incorporated into that law present the ERC as an EAI, endowed with administrative and financial autonomy and its own assets. In addition, Article 1(2) of Law No. 53/2005 specifies that the ERC independently defines the direction of its activities, without being subject to any directives or guidelines from the political authorities, an idea that is taken up and reiterated in Article 4 of the ERC Statutes under the heading “independence,” which is reinforced by the provision that its activities shall be carried out in strict compliance with the Constitution and the law.</w:t>
      </w:r>
    </w:p>
    <w:p w14:paraId="1D12C6A7" w14:textId="15E69DF6" w:rsidR="00FE0A3C" w:rsidRPr="001871EA" w:rsidRDefault="00211B8B" w:rsidP="00172A3B">
      <w:pPr>
        <w:spacing w:line="480" w:lineRule="auto"/>
        <w:jc w:val="both"/>
        <w:rPr>
          <w:rFonts w:cs="Times New Roman"/>
          <w:lang w:val="en-GB"/>
        </w:rPr>
      </w:pPr>
      <w:r w:rsidRPr="00211B8B">
        <w:rPr>
          <w:rFonts w:cs="Times New Roman"/>
          <w:lang w:val="en-GB"/>
        </w:rPr>
        <w:t>Thirdly, at the institutional level, it is important to consider the process of appointing and dismissing members of the board of directors, whether it is a single-person or collegiate body, and the type and duration of their terms of office. Article 39(2) of the Constitution stipulates that the members of the ERC shall be appointed by the Assembly of the Republic and by co-optation, without, however, specifying how many and under what terms, leaving the matter to be determined by law. Under Article 15 of the ERC Statutes, the Regulatory Council is composed of five members and is therefore a collegiate body that makes collective decisions on most issues</w:t>
      </w:r>
      <w:r w:rsidRPr="002D79FD">
        <w:rPr>
          <w:rStyle w:val="FootnoteReference"/>
          <w:rFonts w:cs="Times New Roman"/>
        </w:rPr>
        <w:footnoteReference w:id="151"/>
      </w:r>
      <w:r w:rsidRPr="00211B8B">
        <w:rPr>
          <w:rFonts w:cs="Times New Roman"/>
          <w:lang w:val="en-GB"/>
        </w:rPr>
        <w:t>, comprising a Chair, a Vice-Chair, and three other members.</w:t>
      </w:r>
      <w:r w:rsidR="00A3031D">
        <w:rPr>
          <w:rFonts w:cs="Times New Roman"/>
          <w:lang w:val="en-GB"/>
        </w:rPr>
        <w:t xml:space="preserve"> </w:t>
      </w:r>
      <w:r w:rsidR="001871EA" w:rsidRPr="001871EA">
        <w:rPr>
          <w:rFonts w:cs="Times New Roman"/>
          <w:lang w:val="en-GB"/>
        </w:rPr>
        <w:t xml:space="preserve">Four of the members are appointed by the Assembly, by resolution and by a </w:t>
      </w:r>
      <w:r w:rsidR="001871EA" w:rsidRPr="001871EA">
        <w:rPr>
          <w:rFonts w:cs="Times New Roman"/>
          <w:lang w:val="en-GB"/>
        </w:rPr>
        <w:lastRenderedPageBreak/>
        <w:t>qualified majority of two thirds (provided that this is greater than an absolute majority of the members in office), following the procedure laid down in Article 16, and the fifth is co-opted by the members appointed by Parliament, preferably by consensus, in accordance with Article 17. The chair and vice-chair are elected by the Regulatory Council from among its members, in accordance with Article 24(1) of the Statutes.</w:t>
      </w:r>
    </w:p>
    <w:p w14:paraId="2A29DC99" w14:textId="562264CF" w:rsidR="004A0AAC" w:rsidRPr="00C22457" w:rsidRDefault="009C51B0" w:rsidP="00172A3B">
      <w:pPr>
        <w:spacing w:line="480" w:lineRule="auto"/>
        <w:jc w:val="both"/>
        <w:rPr>
          <w:rFonts w:cs="Times New Roman"/>
          <w:lang w:val="en-GB"/>
        </w:rPr>
      </w:pPr>
      <w:r w:rsidRPr="009C51B0">
        <w:rPr>
          <w:rFonts w:cs="Times New Roman"/>
          <w:lang w:val="en-GB"/>
        </w:rPr>
        <w:t xml:space="preserve">It is important to stress that the appointment procedure is quite different from that used in other Portuguese public entities, including the Bank of Portugal, where the power lies, as a rule, with the Government, with nomination by the relevant minister and appointment by resolution of the Council of Ministers, albeit with a non-binding opinion from the Assembly and an analysis by the Recruitment and Selection Committee for Public Administration </w:t>
      </w:r>
      <w:r w:rsidR="003919AA" w:rsidRPr="009C51B0">
        <w:rPr>
          <w:rFonts w:cs="Times New Roman"/>
          <w:lang w:val="en-GB"/>
        </w:rPr>
        <w:t>(</w:t>
      </w:r>
      <w:proofErr w:type="spellStart"/>
      <w:r w:rsidR="005A467A" w:rsidRPr="009C51B0">
        <w:rPr>
          <w:rFonts w:cs="Times New Roman"/>
          <w:lang w:val="en-GB"/>
        </w:rPr>
        <w:t>CR</w:t>
      </w:r>
      <w:r w:rsidR="003919AA" w:rsidRPr="009C51B0">
        <w:rPr>
          <w:rFonts w:cs="Times New Roman"/>
          <w:lang w:val="en-GB"/>
        </w:rPr>
        <w:t>e</w:t>
      </w:r>
      <w:r w:rsidR="005A467A" w:rsidRPr="009C51B0">
        <w:rPr>
          <w:rFonts w:cs="Times New Roman"/>
          <w:lang w:val="en-GB"/>
        </w:rPr>
        <w:t>SAP</w:t>
      </w:r>
      <w:proofErr w:type="spellEnd"/>
      <w:r w:rsidR="003919AA" w:rsidRPr="009C51B0">
        <w:rPr>
          <w:rFonts w:cs="Times New Roman"/>
          <w:lang w:val="en-GB"/>
        </w:rPr>
        <w:t>)</w:t>
      </w:r>
      <w:r w:rsidR="00B8609B" w:rsidRPr="002D79FD">
        <w:rPr>
          <w:rStyle w:val="FootnoteReference"/>
          <w:rFonts w:cs="Times New Roman"/>
        </w:rPr>
        <w:footnoteReference w:id="152"/>
      </w:r>
      <w:r w:rsidR="005A467A" w:rsidRPr="009C51B0">
        <w:rPr>
          <w:rFonts w:cs="Times New Roman"/>
          <w:lang w:val="en-GB"/>
        </w:rPr>
        <w:t>.</w:t>
      </w:r>
      <w:r w:rsidR="00E94FDB" w:rsidRPr="009C51B0">
        <w:rPr>
          <w:rFonts w:cs="Times New Roman"/>
          <w:lang w:val="en-GB"/>
        </w:rPr>
        <w:t xml:space="preserve"> </w:t>
      </w:r>
      <w:r w:rsidR="00B72F7A" w:rsidRPr="00B72F7A">
        <w:rPr>
          <w:rFonts w:cs="Times New Roman"/>
          <w:lang w:val="en-GB"/>
        </w:rPr>
        <w:t xml:space="preserve">There is therefore total parliamentary prevalence in the case of the ERC. However, while this may seem to be a solution that guarantees greater independence than the method of government appointment, </w:t>
      </w:r>
      <w:proofErr w:type="gramStart"/>
      <w:r w:rsidR="00B72F7A" w:rsidRPr="00B72F7A">
        <w:rPr>
          <w:rFonts w:cs="Times New Roman"/>
          <w:lang w:val="en-GB"/>
        </w:rPr>
        <w:t>in reality it</w:t>
      </w:r>
      <w:proofErr w:type="gramEnd"/>
      <w:r w:rsidR="00B72F7A" w:rsidRPr="00B72F7A">
        <w:rPr>
          <w:rFonts w:cs="Times New Roman"/>
          <w:lang w:val="en-GB"/>
        </w:rPr>
        <w:t xml:space="preserve"> is subject to political influences and, particularly in the Portuguese context until recently, to the weight of the two largest parties in the </w:t>
      </w:r>
      <w:proofErr w:type="spellStart"/>
      <w:r w:rsidR="00B72F7A" w:rsidRPr="00B72F7A">
        <w:rPr>
          <w:rFonts w:cs="Times New Roman"/>
          <w:lang w:val="en-GB"/>
        </w:rPr>
        <w:t>center</w:t>
      </w:r>
      <w:proofErr w:type="spellEnd"/>
      <w:r w:rsidR="00B72F7A" w:rsidRPr="00B72F7A">
        <w:rPr>
          <w:rFonts w:cs="Times New Roman"/>
          <w:lang w:val="en-GB"/>
        </w:rPr>
        <w:t xml:space="preserve">, which divided deliberative power between them. Even so, analysis of the ERC's deliberations reveals that a significant majority are taken unanimously and those approved by majority vote have diverse political compositions, even if in the highly politicized case of the complaint against Minister </w:t>
      </w:r>
      <w:proofErr w:type="spellStart"/>
      <w:r w:rsidR="00B72F7A" w:rsidRPr="00B72F7A">
        <w:rPr>
          <w:rFonts w:cs="Times New Roman"/>
          <w:lang w:val="en-GB"/>
        </w:rPr>
        <w:t>Relvas</w:t>
      </w:r>
      <w:proofErr w:type="spellEnd"/>
      <w:r w:rsidR="00B72F7A" w:rsidRPr="00B72F7A">
        <w:rPr>
          <w:rFonts w:cs="Times New Roman"/>
          <w:lang w:val="en-GB"/>
        </w:rPr>
        <w:t xml:space="preserve"> for pressuring journalists from Público, the Regulatory Council ended up divided according to party preferences</w:t>
      </w:r>
      <w:r w:rsidR="00450559" w:rsidRPr="00B72F7A">
        <w:rPr>
          <w:rFonts w:cs="Times New Roman"/>
          <w:lang w:val="en-GB"/>
        </w:rPr>
        <w:t>.</w:t>
      </w:r>
      <w:r w:rsidR="000E5E2D" w:rsidRPr="002D79FD">
        <w:rPr>
          <w:rStyle w:val="FootnoteReference"/>
          <w:rFonts w:cs="Times New Roman"/>
        </w:rPr>
        <w:footnoteReference w:id="153"/>
      </w:r>
      <w:r w:rsidR="000E5E2D" w:rsidRPr="00B72F7A">
        <w:rPr>
          <w:rFonts w:cs="Times New Roman"/>
          <w:lang w:val="en-GB"/>
        </w:rPr>
        <w:t xml:space="preserve"> </w:t>
      </w:r>
      <w:r w:rsidR="00C22457" w:rsidRPr="00C22457">
        <w:rPr>
          <w:rFonts w:cs="Times New Roman"/>
          <w:lang w:val="en-GB"/>
        </w:rPr>
        <w:t xml:space="preserve">The media coverage of this case, however, sparked a dispute over the political independence of the ERC. In addition, historically, the governing parties, PS and PSD, have, contrary to the law, chosen the fifth member (to be co-opted) before Parliament voted on the other four and </w:t>
      </w:r>
      <w:r w:rsidR="00C22457" w:rsidRPr="00C22457">
        <w:rPr>
          <w:rFonts w:cs="Times New Roman"/>
          <w:lang w:val="en-GB"/>
        </w:rPr>
        <w:lastRenderedPageBreak/>
        <w:t>agreed that he/she should be the president of the ERC.</w:t>
      </w:r>
      <w:r w:rsidR="004B335B">
        <w:rPr>
          <w:rStyle w:val="FootnoteReference"/>
          <w:rFonts w:cs="Times New Roman"/>
          <w:lang w:val="en-GB"/>
        </w:rPr>
        <w:footnoteReference w:id="154"/>
      </w:r>
      <w:r w:rsidR="00C22457" w:rsidRPr="00C22457">
        <w:rPr>
          <w:rFonts w:cs="Times New Roman"/>
          <w:lang w:val="en-GB"/>
        </w:rPr>
        <w:t xml:space="preserve"> On the other hand, as has historically happened with the choice of Ombudsman, it may happen that the required qualified majority is not achieved successively, thus blocking the regular functioning of the institution, with costs in the sector. Such impediments arose in 2017, delaying the appointment of the members of the Regulatory Council.</w:t>
      </w:r>
    </w:p>
    <w:p w14:paraId="6BE6F607" w14:textId="16C28A7D" w:rsidR="00245CFB" w:rsidRPr="00EB2048" w:rsidRDefault="009C37DB" w:rsidP="00172A3B">
      <w:pPr>
        <w:spacing w:line="480" w:lineRule="auto"/>
        <w:jc w:val="both"/>
        <w:rPr>
          <w:rFonts w:cs="Times New Roman"/>
          <w:lang w:val="en-GB"/>
        </w:rPr>
      </w:pPr>
      <w:proofErr w:type="gramStart"/>
      <w:r w:rsidRPr="009C37DB">
        <w:rPr>
          <w:rFonts w:cs="Times New Roman"/>
          <w:lang w:val="en-GB"/>
        </w:rPr>
        <w:t>With regard to</w:t>
      </w:r>
      <w:proofErr w:type="gramEnd"/>
      <w:r w:rsidRPr="009C37DB">
        <w:rPr>
          <w:rFonts w:cs="Times New Roman"/>
          <w:lang w:val="en-GB"/>
        </w:rPr>
        <w:t xml:space="preserve"> the dismissal process, which is also fundamental for controlling pressure on EAI members, mandates are, in principle, irrevocable under Article 18(3) of the ERC Statutes. Furthermore, Article 22(1) provides for the termination of office due to the end of the term of office, death, resignation, and dissolution of the Council. In addition, dismissal may occur for absence from three consecutive meetings or nine interpolated meetings, unless justified by the plenary session of the Regulatory Board, and for serious violation of statutory duties, proven to have been committed in the performance of duties or in the </w:t>
      </w:r>
      <w:proofErr w:type="spellStart"/>
      <w:r w:rsidRPr="009C37DB">
        <w:rPr>
          <w:rFonts w:cs="Times New Roman"/>
          <w:lang w:val="en-GB"/>
        </w:rPr>
        <w:t>fulfillment</w:t>
      </w:r>
      <w:proofErr w:type="spellEnd"/>
      <w:r w:rsidRPr="009C37DB">
        <w:rPr>
          <w:rFonts w:cs="Times New Roman"/>
          <w:lang w:val="en-GB"/>
        </w:rPr>
        <w:t xml:space="preserve"> of any obligation inherent to the position. </w:t>
      </w:r>
      <w:r w:rsidR="00ED1715" w:rsidRPr="00ED1715">
        <w:rPr>
          <w:rFonts w:cs="Times New Roman"/>
          <w:lang w:val="en-GB"/>
        </w:rPr>
        <w:t xml:space="preserve">In this case, dismissal is decided by a resolution of the Assembly of the Republic, approved by two-thirds of the deputies present, </w:t>
      </w:r>
      <w:proofErr w:type="gramStart"/>
      <w:r w:rsidR="00ED1715" w:rsidRPr="00ED1715">
        <w:rPr>
          <w:rFonts w:cs="Times New Roman"/>
          <w:lang w:val="en-GB"/>
        </w:rPr>
        <w:t>provided that</w:t>
      </w:r>
      <w:proofErr w:type="gramEnd"/>
      <w:r w:rsidR="00ED1715" w:rsidRPr="00ED1715">
        <w:rPr>
          <w:rFonts w:cs="Times New Roman"/>
          <w:lang w:val="en-GB"/>
        </w:rPr>
        <w:t xml:space="preserve"> this is more than an absolute majority of the deputies in office. The qualified majority required is intended to prevent political interests from influencing the decision, particularly with regard to the characterization of what constitutes serious misconduct, which is not legally defined or circumscribed, although the legislator limits it to statutory </w:t>
      </w:r>
      <w:r w:rsidR="00ED1715" w:rsidRPr="00ED1715">
        <w:rPr>
          <w:rFonts w:cs="Times New Roman"/>
          <w:lang w:val="en-GB"/>
        </w:rPr>
        <w:lastRenderedPageBreak/>
        <w:t xml:space="preserve">duties and the exercise of functions or the </w:t>
      </w:r>
      <w:proofErr w:type="spellStart"/>
      <w:r w:rsidR="00ED1715" w:rsidRPr="00ED1715">
        <w:rPr>
          <w:rFonts w:cs="Times New Roman"/>
          <w:lang w:val="en-GB"/>
        </w:rPr>
        <w:t>fulfillment</w:t>
      </w:r>
      <w:proofErr w:type="spellEnd"/>
      <w:r w:rsidR="00ED1715" w:rsidRPr="00ED1715">
        <w:rPr>
          <w:rFonts w:cs="Times New Roman"/>
          <w:lang w:val="en-GB"/>
        </w:rPr>
        <w:t xml:space="preserve"> of any obligation inherent to the position, thus ruling out reasons unrelated to the mandate (e.g., conviction for domestic violence) as grounds for dismissal. </w:t>
      </w:r>
      <w:r w:rsidR="00EB2048" w:rsidRPr="00EB2048">
        <w:rPr>
          <w:rFonts w:cs="Times New Roman"/>
          <w:lang w:val="en-GB"/>
        </w:rPr>
        <w:t>Similarly, the dissolution of the Regulatory Council, under the terms of Article 23(1), also by a qualified majority of Parliament, requires as a condition “</w:t>
      </w:r>
      <w:r w:rsidR="00EB2048" w:rsidRPr="00EB2048">
        <w:rPr>
          <w:rFonts w:cs="Times New Roman"/>
          <w:i/>
          <w:iCs/>
          <w:lang w:val="en-GB"/>
        </w:rPr>
        <w:t>serious irregularities in the functioning of the body</w:t>
      </w:r>
      <w:r w:rsidR="00EB2048" w:rsidRPr="00EB2048">
        <w:rPr>
          <w:rFonts w:cs="Times New Roman"/>
          <w:lang w:val="en-GB"/>
        </w:rPr>
        <w:t xml:space="preserve">.” However, even though it is described as serious and refers to the functioning of the body, </w:t>
      </w:r>
      <w:proofErr w:type="gramStart"/>
      <w:r w:rsidR="00EB2048" w:rsidRPr="00EB2048">
        <w:rPr>
          <w:rFonts w:cs="Times New Roman"/>
          <w:lang w:val="en-GB"/>
        </w:rPr>
        <w:t>in reality its</w:t>
      </w:r>
      <w:proofErr w:type="gramEnd"/>
      <w:r w:rsidR="00EB2048" w:rsidRPr="00EB2048">
        <w:rPr>
          <w:rFonts w:cs="Times New Roman"/>
          <w:lang w:val="en-GB"/>
        </w:rPr>
        <w:t xml:space="preserve"> scope is broader and vaguer than in the case of the dismissal of members, since it refers specifically to violations of statutory duties and not mere “</w:t>
      </w:r>
      <w:r w:rsidR="00EB2048" w:rsidRPr="00EB2048">
        <w:rPr>
          <w:rFonts w:cs="Times New Roman"/>
          <w:i/>
          <w:iCs/>
          <w:lang w:val="en-GB"/>
        </w:rPr>
        <w:t>irregularities</w:t>
      </w:r>
      <w:r w:rsidR="00EB2048" w:rsidRPr="00EB2048">
        <w:rPr>
          <w:rFonts w:cs="Times New Roman"/>
          <w:lang w:val="en-GB"/>
        </w:rPr>
        <w:t>” that may not even be unlawful, and establishes a functional relationship. However, none of these reasons may apply here, as the issue at stake may be, for example, personal and professional acrimony between the members of the Council with repercussions on the proper functioning of the body, without any of them having violated their duties. In other words, there may be some scope here to undermine the independence of the ERC. It should be remembered that, unlike the Bank of Portugal, where the determination of what constitutes serious misconduct is established by peers, in the ERC this will be done politically by members of Parliament, which, on the one hand, may allow for greater accountability, but on the other, opens the door to political interference.</w:t>
      </w:r>
    </w:p>
    <w:p w14:paraId="184D0039" w14:textId="6617D1C3" w:rsidR="00AF205B" w:rsidRPr="000F5F3B" w:rsidRDefault="000F5F3B" w:rsidP="00172A3B">
      <w:pPr>
        <w:spacing w:line="480" w:lineRule="auto"/>
        <w:jc w:val="both"/>
        <w:rPr>
          <w:rFonts w:cs="Times New Roman"/>
          <w:lang w:val="en-GB"/>
        </w:rPr>
      </w:pPr>
      <w:r w:rsidRPr="000F5F3B">
        <w:rPr>
          <w:rFonts w:cs="Times New Roman"/>
          <w:lang w:val="en-GB"/>
        </w:rPr>
        <w:t>When it comes to institutional independence, it's also worth remembering that members of the Regulatory Council have a five-year non-renewable term, according to Article 19 of the Statutes. Not renewing their term helps guard against pressure for their future reappointment, and the five-year term allows, in theory, for a gap with the four-year parliamentary political cycles.</w:t>
      </w:r>
    </w:p>
    <w:p w14:paraId="219D4977" w14:textId="0C61C69B" w:rsidR="0019435D" w:rsidRPr="006A4810" w:rsidRDefault="002546D8" w:rsidP="00172A3B">
      <w:pPr>
        <w:spacing w:line="480" w:lineRule="auto"/>
        <w:jc w:val="both"/>
        <w:rPr>
          <w:rFonts w:cs="Times New Roman"/>
          <w:lang w:val="en-GB"/>
        </w:rPr>
      </w:pPr>
      <w:r w:rsidRPr="002546D8">
        <w:rPr>
          <w:rFonts w:cs="Times New Roman"/>
          <w:lang w:val="en-GB"/>
        </w:rPr>
        <w:t xml:space="preserve">On the other hand, Article 18 establishes a set of guarantees of independence and incompatibilities. In addition to the fact that the members of the Regulatory Council must be chosen or co-opted from among persons of recognized integrity, independence, and </w:t>
      </w:r>
      <w:r w:rsidRPr="002546D8">
        <w:rPr>
          <w:rFonts w:cs="Times New Roman"/>
          <w:lang w:val="en-GB"/>
        </w:rPr>
        <w:lastRenderedPageBreak/>
        <w:t xml:space="preserve">technical and professional competence, thereby seeking to combine personal and professional qualities, even if the law does not establish the criteria for their definition, the law provides for a set of conditions both in relation to political power and to those regulated, both at the time of appointment and during their term of office. Thus, members are not subject to specific instructions or guidelines; they must not have belonged, in the last two years, to executive bodies of the media or associations representing the sector or been members of the Government or executive bodies of the Autonomous Regions or local authorities. </w:t>
      </w:r>
      <w:r w:rsidR="006A4810" w:rsidRPr="006A4810">
        <w:rPr>
          <w:rFonts w:cs="Times New Roman"/>
          <w:lang w:val="en-GB"/>
        </w:rPr>
        <w:t>In addition, members of the Regulatory Council are subject to the incompatibilities and impediments of holders of high public office. Furthermore, during their term of office, they may not have financial interests in entities engaged in media activities; hold any other public office or professional activity, except as a university lecturer; hold any executive position in companies, trade unions, confederations, or business associations in the media sector for a period of two years from the date of their termination of office. ERC technicians are also subject to a set of incompatibilities provided for in Article 44</w:t>
      </w:r>
      <w:r w:rsidR="00F955F6" w:rsidRPr="006A4810">
        <w:rPr>
          <w:rFonts w:cs="Times New Roman"/>
          <w:lang w:val="en-GB"/>
        </w:rPr>
        <w:t>.</w:t>
      </w:r>
    </w:p>
    <w:p w14:paraId="30FBC6FA" w14:textId="48081A37" w:rsidR="00F955F6" w:rsidRPr="00AB2D84" w:rsidRDefault="00AB2D84" w:rsidP="00172A3B">
      <w:pPr>
        <w:spacing w:line="480" w:lineRule="auto"/>
        <w:jc w:val="both"/>
        <w:rPr>
          <w:rFonts w:cs="Times New Roman"/>
          <w:lang w:val="en-GB"/>
        </w:rPr>
      </w:pPr>
      <w:r w:rsidRPr="00AB2D84">
        <w:rPr>
          <w:rFonts w:cs="Times New Roman"/>
          <w:lang w:val="en-GB"/>
        </w:rPr>
        <w:t>In the case of members of the Regulatory Council, Article 20 stipulates a set of duties that promote independence, with particular emphasis on paragraph 3, which establishes that “</w:t>
      </w:r>
      <w:r w:rsidRPr="00AB2D84">
        <w:rPr>
          <w:rFonts w:cs="Times New Roman"/>
          <w:i/>
          <w:iCs/>
          <w:lang w:val="en-GB"/>
        </w:rPr>
        <w:t>they must exercise their duties with impartiality, rigor, independence, and a high sense of responsibility, and may not publicly express negative opinions about the content of approved decisions</w:t>
      </w:r>
      <w:r w:rsidRPr="00AB2D84">
        <w:rPr>
          <w:rFonts w:cs="Times New Roman"/>
          <w:lang w:val="en-GB"/>
        </w:rPr>
        <w:t>.” In addition, they have a duty of confidentiality, under the terms of Article 54, which extends to all ERC staff.</w:t>
      </w:r>
    </w:p>
    <w:p w14:paraId="308DB067" w14:textId="77777777" w:rsidR="008335E3" w:rsidRPr="008335E3" w:rsidRDefault="008335E3" w:rsidP="00172A3B">
      <w:pPr>
        <w:spacing w:line="480" w:lineRule="auto"/>
        <w:jc w:val="both"/>
        <w:rPr>
          <w:rFonts w:cs="Times New Roman"/>
          <w:lang w:val="en-GB"/>
        </w:rPr>
      </w:pPr>
      <w:r w:rsidRPr="008335E3">
        <w:rPr>
          <w:rFonts w:cs="Times New Roman"/>
          <w:lang w:val="en-GB"/>
        </w:rPr>
        <w:t xml:space="preserve">Finally, with regard to institutional independence, it should be mentioned that, unlike the constitutional revisions of 1989 and 1997, there are currently no members appointed by the government in the ERC, let alone members of the government in its bodies, not even in the Advisory Council provided for in Article 39 of the Statutes, which includes institutional, </w:t>
      </w:r>
      <w:r w:rsidRPr="008335E3">
        <w:rPr>
          <w:rFonts w:cs="Times New Roman"/>
          <w:lang w:val="en-GB"/>
        </w:rPr>
        <w:lastRenderedPageBreak/>
        <w:t xml:space="preserve">public, and private representatives, as well as professionals from the media sector. There are also no members of the Assembly, even though, as seen above, it is responsible for appointing four of the five members of the Regulatory Council. </w:t>
      </w:r>
    </w:p>
    <w:p w14:paraId="1A14884A" w14:textId="46B52F11" w:rsidR="0026457F" w:rsidRPr="008335E3" w:rsidRDefault="008335E3" w:rsidP="00172A3B">
      <w:pPr>
        <w:spacing w:line="480" w:lineRule="auto"/>
        <w:jc w:val="both"/>
        <w:rPr>
          <w:rFonts w:cs="Times New Roman"/>
          <w:lang w:val="en-GB"/>
        </w:rPr>
      </w:pPr>
      <w:r w:rsidRPr="008335E3">
        <w:rPr>
          <w:rFonts w:cs="Times New Roman"/>
          <w:lang w:val="en-GB"/>
        </w:rPr>
        <w:t xml:space="preserve">In short, in institutional terms, although there are </w:t>
      </w:r>
      <w:proofErr w:type="gramStart"/>
      <w:r w:rsidRPr="008335E3">
        <w:rPr>
          <w:rFonts w:cs="Times New Roman"/>
          <w:lang w:val="en-GB"/>
        </w:rPr>
        <w:t>a number of</w:t>
      </w:r>
      <w:proofErr w:type="gramEnd"/>
      <w:r w:rsidRPr="008335E3">
        <w:rPr>
          <w:rFonts w:cs="Times New Roman"/>
          <w:lang w:val="en-GB"/>
        </w:rPr>
        <w:t xml:space="preserve"> formal guarantees to ensure the independence of the ERC, there are some loopholes, particularly </w:t>
      </w:r>
      <w:proofErr w:type="gramStart"/>
      <w:r w:rsidRPr="008335E3">
        <w:rPr>
          <w:rFonts w:cs="Times New Roman"/>
          <w:lang w:val="en-GB"/>
        </w:rPr>
        <w:t>with regard to</w:t>
      </w:r>
      <w:proofErr w:type="gramEnd"/>
      <w:r w:rsidRPr="008335E3">
        <w:rPr>
          <w:rFonts w:cs="Times New Roman"/>
          <w:lang w:val="en-GB"/>
        </w:rPr>
        <w:t xml:space="preserve"> appointment and dismissal.</w:t>
      </w:r>
    </w:p>
    <w:p w14:paraId="6E34DCDB" w14:textId="7AAA52E7" w:rsidR="0086529D" w:rsidRPr="00BD6C8B" w:rsidRDefault="0086529D" w:rsidP="00172A3B">
      <w:pPr>
        <w:spacing w:line="480" w:lineRule="auto"/>
        <w:jc w:val="both"/>
        <w:rPr>
          <w:rFonts w:cs="Times New Roman"/>
          <w:lang w:val="en-GB"/>
        </w:rPr>
      </w:pPr>
      <w:r w:rsidRPr="0086529D">
        <w:rPr>
          <w:rFonts w:cs="Times New Roman"/>
          <w:lang w:val="en-GB"/>
        </w:rPr>
        <w:t xml:space="preserve">Independence must also be assessed at the regulatory level. According to Article 24(1)(c) of the Statutes, the Regulatory Council is responsible for approving regulations and directives, as well as other decisions assigned to it by law and by the ERC Statutes, with Articles 62 and 65(1), 63 refer to regulations, directives, and recommendations. </w:t>
      </w:r>
      <w:proofErr w:type="gramStart"/>
      <w:r w:rsidRPr="0086529D">
        <w:rPr>
          <w:rFonts w:cs="Times New Roman"/>
          <w:lang w:val="en-GB"/>
        </w:rPr>
        <w:t>With regard to</w:t>
      </w:r>
      <w:proofErr w:type="gramEnd"/>
      <w:r w:rsidRPr="0086529D">
        <w:rPr>
          <w:rFonts w:cs="Times New Roman"/>
          <w:lang w:val="en-GB"/>
        </w:rPr>
        <w:t xml:space="preserve"> regulations in particular, the Statutes stipulate that they must comply with the principles of legality, necessity, clarity, participation, and publicity and, </w:t>
      </w:r>
      <w:proofErr w:type="gramStart"/>
      <w:r w:rsidRPr="0086529D">
        <w:rPr>
          <w:rFonts w:cs="Times New Roman"/>
          <w:lang w:val="en-GB"/>
        </w:rPr>
        <w:t>with the exception of</w:t>
      </w:r>
      <w:proofErr w:type="gramEnd"/>
      <w:r w:rsidRPr="0086529D">
        <w:rPr>
          <w:rFonts w:cs="Times New Roman"/>
          <w:lang w:val="en-GB"/>
        </w:rPr>
        <w:t xml:space="preserve"> regulations concerning the organization and internal functioning of the ERC's services, there shall be a consultation and reasoning process. </w:t>
      </w:r>
      <w:r w:rsidRPr="00BD6C8B">
        <w:rPr>
          <w:rFonts w:cs="Times New Roman"/>
          <w:lang w:val="en-GB"/>
        </w:rPr>
        <w:t>Article 24(3) also sets out regulatory functions, with the definition of rules and parameters, namely in subparagraphs (r), (s), and (q).</w:t>
      </w:r>
    </w:p>
    <w:p w14:paraId="7DEC2E13" w14:textId="47C5EE37" w:rsidR="008F3A2A" w:rsidRPr="005133A7" w:rsidRDefault="00D04662" w:rsidP="00172A3B">
      <w:pPr>
        <w:spacing w:line="480" w:lineRule="auto"/>
        <w:jc w:val="both"/>
        <w:rPr>
          <w:rFonts w:cs="Times New Roman"/>
          <w:lang w:val="en-GB"/>
        </w:rPr>
      </w:pPr>
      <w:r w:rsidRPr="00D04662">
        <w:rPr>
          <w:rFonts w:cs="Times New Roman"/>
          <w:lang w:val="en-GB"/>
        </w:rPr>
        <w:t xml:space="preserve">For example, in recent years, the ERC has presented </w:t>
      </w:r>
      <w:r w:rsidR="00EE3946" w:rsidRPr="00D04662">
        <w:rPr>
          <w:rFonts w:cs="Times New Roman"/>
          <w:lang w:val="en-GB"/>
        </w:rPr>
        <w:t>several</w:t>
      </w:r>
      <w:r w:rsidRPr="00D04662">
        <w:rPr>
          <w:rFonts w:cs="Times New Roman"/>
          <w:lang w:val="en-GB"/>
        </w:rPr>
        <w:t xml:space="preserve"> proposals for legislative changes to laws regulating the sector. In 2023, the ERC proposed to the Assembly of the Republic a revision of the Press Law and the Radio Law, which was criticized by the sector for the lack of dialogue and for having submitted the proposals at a time when a new Regulatory Council was about to take office. In 2024, with a new Regulatory Council in place, the ERC submitted a proposal to revise the Media Transparency Law</w:t>
      </w:r>
      <w:r w:rsidR="001B4854" w:rsidRPr="002D79FD">
        <w:rPr>
          <w:rStyle w:val="FootnoteReference"/>
          <w:rFonts w:cs="Times New Roman"/>
        </w:rPr>
        <w:footnoteReference w:id="155"/>
      </w:r>
      <w:r w:rsidR="001B4854" w:rsidRPr="00D04662">
        <w:rPr>
          <w:rFonts w:cs="Times New Roman"/>
          <w:lang w:val="en-GB"/>
        </w:rPr>
        <w:t>.</w:t>
      </w:r>
      <w:r w:rsidR="003E22A1" w:rsidRPr="00D04662">
        <w:rPr>
          <w:rFonts w:cs="Times New Roman"/>
          <w:lang w:val="en-GB"/>
        </w:rPr>
        <w:t xml:space="preserve"> </w:t>
      </w:r>
      <w:r w:rsidR="005133A7" w:rsidRPr="005133A7">
        <w:rPr>
          <w:rFonts w:cs="Times New Roman"/>
          <w:lang w:val="en-GB"/>
        </w:rPr>
        <w:t xml:space="preserve">On the </w:t>
      </w:r>
      <w:r w:rsidR="005133A7" w:rsidRPr="005133A7">
        <w:rPr>
          <w:rFonts w:cs="Times New Roman"/>
          <w:lang w:val="en-GB"/>
        </w:rPr>
        <w:lastRenderedPageBreak/>
        <w:t>regulatory front, it also submitted a draft directive on the separation of journalistic content from advertising/commercial content for public consultation in 2024</w:t>
      </w:r>
      <w:r w:rsidR="001B4854" w:rsidRPr="002D79FD">
        <w:rPr>
          <w:rStyle w:val="FootnoteReference"/>
          <w:rFonts w:cs="Times New Roman"/>
        </w:rPr>
        <w:footnoteReference w:id="156"/>
      </w:r>
      <w:r w:rsidR="001B4854" w:rsidRPr="005133A7">
        <w:rPr>
          <w:rFonts w:cs="Times New Roman"/>
          <w:lang w:val="en-GB"/>
        </w:rPr>
        <w:t>.</w:t>
      </w:r>
    </w:p>
    <w:p w14:paraId="0CE5FBB1" w14:textId="0172D159" w:rsidR="00BC20B7" w:rsidRDefault="00BC20B7" w:rsidP="00172A3B">
      <w:pPr>
        <w:spacing w:line="480" w:lineRule="auto"/>
        <w:jc w:val="both"/>
        <w:rPr>
          <w:rFonts w:cs="Times New Roman"/>
          <w:lang w:val="en-GB"/>
        </w:rPr>
      </w:pPr>
      <w:r w:rsidRPr="00BC20B7">
        <w:rPr>
          <w:rFonts w:cs="Times New Roman"/>
          <w:lang w:val="en-GB"/>
        </w:rPr>
        <w:t>It therefore looks like the ERC has specific regulatory powers.</w:t>
      </w:r>
      <w:r w:rsidR="002A1868">
        <w:rPr>
          <w:rStyle w:val="FootnoteReference"/>
          <w:rFonts w:cs="Times New Roman"/>
          <w:lang w:val="en-GB"/>
        </w:rPr>
        <w:footnoteReference w:id="157"/>
      </w:r>
      <w:r w:rsidRPr="00BC20B7">
        <w:rPr>
          <w:rFonts w:cs="Times New Roman"/>
          <w:lang w:val="en-GB"/>
        </w:rPr>
        <w:t xml:space="preserve"> However, even so, it should be noted that, as with other sectors and ISAs, here too the ERC, even due to the principles of legality and necessity required, is constrained in its regulatory output by a multi-level legislative and regulatory framework, whether national, arising from the Government (such as the new Action Plan) or the Assembly (such as the Press or TV or Radio Law), or European, namely with the EMFA. </w:t>
      </w:r>
    </w:p>
    <w:p w14:paraId="6C4F601F" w14:textId="694E8954" w:rsidR="007A77CE" w:rsidRPr="0008774E" w:rsidRDefault="0008774E" w:rsidP="00172A3B">
      <w:pPr>
        <w:spacing w:line="480" w:lineRule="auto"/>
        <w:jc w:val="both"/>
        <w:rPr>
          <w:rFonts w:cs="Times New Roman"/>
          <w:lang w:val="en-GB"/>
        </w:rPr>
      </w:pPr>
      <w:r w:rsidRPr="0008774E">
        <w:rPr>
          <w:rFonts w:cs="Times New Roman"/>
          <w:lang w:val="en-GB"/>
        </w:rPr>
        <w:t xml:space="preserve">With regard to supervision, it is important to note Article 24(1)(c) and Article 64(1) of the Statutes concerning the adoption of binding decisions </w:t>
      </w:r>
      <w:r w:rsidRPr="0008774E">
        <w:rPr>
          <w:rFonts w:cs="Times New Roman"/>
          <w:i/>
          <w:iCs/>
          <w:lang w:val="en-GB"/>
        </w:rPr>
        <w:t>ex officio</w:t>
      </w:r>
      <w:r w:rsidRPr="0008774E">
        <w:rPr>
          <w:rFonts w:cs="Times New Roman"/>
          <w:lang w:val="en-GB"/>
        </w:rPr>
        <w:t xml:space="preserve"> or upon the filing of a complaint, compliance with which is the personal responsibility of the members of the executive bodies of entities engaged in media activities, as well as the editors-in-chief and directors of programming and information of radio and television operators; and Article 24(3) of the Statutes with a wide range of supervisory powers</w:t>
      </w:r>
      <w:r w:rsidR="003C0D50">
        <w:rPr>
          <w:rStyle w:val="FootnoteReference"/>
          <w:rFonts w:cs="Times New Roman"/>
          <w:lang w:val="en-GB"/>
        </w:rPr>
        <w:footnoteReference w:id="158"/>
      </w:r>
      <w:r w:rsidRPr="0008774E">
        <w:rPr>
          <w:rFonts w:cs="Times New Roman"/>
          <w:lang w:val="en-GB"/>
        </w:rPr>
        <w:t>, particularly, for the purposes of this matter, in terms of</w:t>
      </w:r>
      <w:r w:rsidR="007A77CE" w:rsidRPr="0008774E">
        <w:rPr>
          <w:rFonts w:cs="Times New Roman"/>
          <w:lang w:val="en-GB"/>
        </w:rPr>
        <w:t>:</w:t>
      </w:r>
    </w:p>
    <w:p w14:paraId="19EAB50D" w14:textId="65D6DD6E" w:rsidR="00266FC8" w:rsidRPr="00480147" w:rsidRDefault="00480147" w:rsidP="00172A3B">
      <w:pPr>
        <w:pStyle w:val="ListParagraph"/>
        <w:numPr>
          <w:ilvl w:val="0"/>
          <w:numId w:val="30"/>
        </w:numPr>
        <w:spacing w:line="480" w:lineRule="auto"/>
        <w:jc w:val="both"/>
        <w:rPr>
          <w:rFonts w:cs="Times New Roman"/>
          <w:lang w:val="en-GB"/>
        </w:rPr>
      </w:pPr>
      <w:r w:rsidRPr="00480147">
        <w:rPr>
          <w:rFonts w:cs="Times New Roman"/>
          <w:lang w:val="en-GB"/>
        </w:rPr>
        <w:lastRenderedPageBreak/>
        <w:t xml:space="preserve">decision-making and autonomous authorization functions - e.g. subparagraphs d) Decide on public tenders for the award of licenses; e) Award and renew qualifications, decide on changes and </w:t>
      </w:r>
      <w:proofErr w:type="gramStart"/>
      <w:r w:rsidRPr="00480147">
        <w:rPr>
          <w:rFonts w:cs="Times New Roman"/>
          <w:lang w:val="en-GB"/>
        </w:rPr>
        <w:t>tenders</w:t>
      </w:r>
      <w:r w:rsidR="00266FC8" w:rsidRPr="00480147">
        <w:rPr>
          <w:rFonts w:cs="Times New Roman"/>
          <w:lang w:val="en-GB"/>
        </w:rPr>
        <w:t>;</w:t>
      </w:r>
      <w:proofErr w:type="gramEnd"/>
    </w:p>
    <w:p w14:paraId="237064E9" w14:textId="5D8A33F7" w:rsidR="00266FC8" w:rsidRPr="002A46D2" w:rsidRDefault="002A46D2" w:rsidP="00172A3B">
      <w:pPr>
        <w:pStyle w:val="ListParagraph"/>
        <w:numPr>
          <w:ilvl w:val="0"/>
          <w:numId w:val="30"/>
        </w:numPr>
        <w:spacing w:line="480" w:lineRule="auto"/>
        <w:jc w:val="both"/>
        <w:rPr>
          <w:rFonts w:cs="Times New Roman"/>
          <w:lang w:val="en-GB"/>
        </w:rPr>
      </w:pPr>
      <w:r w:rsidRPr="002A46D2">
        <w:rPr>
          <w:rFonts w:cs="Times New Roman"/>
          <w:lang w:val="en-GB"/>
        </w:rPr>
        <w:t xml:space="preserve">oversight (control and monitoring) - e.g. subparagraphs a) Ensuring compliance with legal principles regarding content; c) Overseeing compliance with laws, regulations, and technical requirements; </w:t>
      </w:r>
      <w:proofErr w:type="spellStart"/>
      <w:r w:rsidRPr="002A46D2">
        <w:rPr>
          <w:rFonts w:cs="Times New Roman"/>
          <w:lang w:val="en-GB"/>
        </w:rPr>
        <w:t>i</w:t>
      </w:r>
      <w:proofErr w:type="spellEnd"/>
      <w:r w:rsidRPr="002A46D2">
        <w:rPr>
          <w:rFonts w:cs="Times New Roman"/>
          <w:lang w:val="en-GB"/>
        </w:rPr>
        <w:t xml:space="preserve">) Verify compliance with the purposes and obligations of operators; j) Decide on complaints regarding rights of reply, airtime, and response; u) Verify compliance with editorial statutes; v) Assess changes in editorial policy (conscience clause). Note that the procedure for handling complaints by any interested party regarding </w:t>
      </w:r>
      <w:proofErr w:type="spellStart"/>
      <w:r w:rsidRPr="002A46D2">
        <w:rPr>
          <w:rFonts w:cs="Times New Roman"/>
          <w:lang w:val="en-GB"/>
        </w:rPr>
        <w:t>behavior</w:t>
      </w:r>
      <w:proofErr w:type="spellEnd"/>
      <w:r w:rsidRPr="002A46D2">
        <w:rPr>
          <w:rFonts w:cs="Times New Roman"/>
          <w:lang w:val="en-GB"/>
        </w:rPr>
        <w:t xml:space="preserve"> that may constitute a violation of rights, freedoms, and guarantees or of any legal or regulatory norms applicable to media activities is established in Articles 55 to 58, which set forth the deadlines, the right to </w:t>
      </w:r>
      <w:proofErr w:type="spellStart"/>
      <w:r w:rsidRPr="002A46D2">
        <w:rPr>
          <w:rFonts w:cs="Times New Roman"/>
          <w:lang w:val="en-GB"/>
        </w:rPr>
        <w:t>defense</w:t>
      </w:r>
      <w:proofErr w:type="spellEnd"/>
      <w:r w:rsidRPr="002A46D2">
        <w:rPr>
          <w:rFonts w:cs="Times New Roman"/>
          <w:lang w:val="en-GB"/>
        </w:rPr>
        <w:t xml:space="preserve"> and conciliation hearings, and the Regulatory Council's duty to issue a reasoned decision</w:t>
      </w:r>
      <w:r w:rsidR="003A569F" w:rsidRPr="002A46D2">
        <w:rPr>
          <w:rFonts w:cs="Times New Roman"/>
          <w:lang w:val="en-GB"/>
        </w:rPr>
        <w:t>;</w:t>
      </w:r>
    </w:p>
    <w:p w14:paraId="2E27893D" w14:textId="3DC8A28E" w:rsidR="000E2E31" w:rsidRDefault="005A46CA" w:rsidP="00172A3B">
      <w:pPr>
        <w:pStyle w:val="ListParagraph"/>
        <w:numPr>
          <w:ilvl w:val="0"/>
          <w:numId w:val="30"/>
        </w:numPr>
        <w:spacing w:line="480" w:lineRule="auto"/>
        <w:jc w:val="both"/>
        <w:rPr>
          <w:rFonts w:cs="Times New Roman"/>
          <w:lang w:val="en-GB"/>
        </w:rPr>
      </w:pPr>
      <w:r w:rsidRPr="005A46CA">
        <w:rPr>
          <w:rFonts w:cs="Times New Roman"/>
          <w:lang w:val="en-GB"/>
        </w:rPr>
        <w:t>sanctions and dispute resolution, also considering Chapter IV of the Statutes on liability, namely Articles 66 and 67-</w:t>
      </w:r>
      <w:r w:rsidR="000E2E31">
        <w:rPr>
          <w:rFonts w:cs="Times New Roman"/>
          <w:lang w:val="en-GB"/>
        </w:rPr>
        <w:t xml:space="preserve"> </w:t>
      </w:r>
      <w:r w:rsidRPr="005A46CA">
        <w:rPr>
          <w:rFonts w:cs="Times New Roman"/>
          <w:lang w:val="en-GB"/>
        </w:rPr>
        <w:t>e.g. subparagraphs  f) Apply sanctions, including suspension or revocation of titles; l) Issue binding opinions on the appointment/dismissal of directors; ac) Prosecute administrative offenses and impose fines and additional penalties; ae) Restrict the circulation of information services that undermine fundamental values; t) Arbitrate and resolve disputes in the sector</w:t>
      </w:r>
      <w:r w:rsidR="00696564" w:rsidRPr="005A46CA">
        <w:rPr>
          <w:rFonts w:cs="Times New Roman"/>
          <w:lang w:val="en-GB"/>
        </w:rPr>
        <w:t>;</w:t>
      </w:r>
    </w:p>
    <w:p w14:paraId="6D5BCF57" w14:textId="0B85FC2A" w:rsidR="000E2E31" w:rsidRPr="000E2E31" w:rsidRDefault="000E2E31" w:rsidP="00172A3B">
      <w:pPr>
        <w:pStyle w:val="ListParagraph"/>
        <w:numPr>
          <w:ilvl w:val="0"/>
          <w:numId w:val="30"/>
        </w:numPr>
        <w:spacing w:line="480" w:lineRule="auto"/>
        <w:jc w:val="both"/>
        <w:rPr>
          <w:rFonts w:cs="Times New Roman"/>
          <w:lang w:val="en-GB"/>
        </w:rPr>
      </w:pPr>
      <w:r w:rsidRPr="000E2E31">
        <w:rPr>
          <w:rFonts w:cs="Times New Roman"/>
          <w:lang w:val="en-GB"/>
        </w:rPr>
        <w:t>institutional cooperation—e.g., with counterparts and the Competition Authority: subparagraphs o), p), ad).</w:t>
      </w:r>
    </w:p>
    <w:p w14:paraId="79351F4B" w14:textId="77777777" w:rsidR="0010456D" w:rsidRPr="00BD6C8B" w:rsidRDefault="0010456D" w:rsidP="00172A3B">
      <w:pPr>
        <w:spacing w:line="480" w:lineRule="auto"/>
        <w:jc w:val="both"/>
        <w:rPr>
          <w:rFonts w:cs="Times New Roman"/>
          <w:lang w:val="en-GB"/>
        </w:rPr>
      </w:pPr>
      <w:r w:rsidRPr="0010456D">
        <w:rPr>
          <w:rFonts w:cs="Times New Roman"/>
          <w:lang w:val="en-GB"/>
        </w:rPr>
        <w:t xml:space="preserve">Within the scope of its supervisory activities, the ERC may conduct investigations and examinations at any entity or location in the pursuit of its duties. Media operators subject to supervision are required to cooperate effectively in accordance with Article 53, under </w:t>
      </w:r>
      <w:r w:rsidRPr="0010456D">
        <w:rPr>
          <w:rFonts w:cs="Times New Roman"/>
          <w:lang w:val="en-GB"/>
        </w:rPr>
        <w:lastRenderedPageBreak/>
        <w:t xml:space="preserve">penalty of sanctions pursuant to Articles 68 and 60 of the Statutes. </w:t>
      </w:r>
      <w:proofErr w:type="gramStart"/>
      <w:r w:rsidRPr="00BD6C8B">
        <w:rPr>
          <w:rFonts w:cs="Times New Roman"/>
          <w:lang w:val="en-GB"/>
        </w:rPr>
        <w:t>With regard to</w:t>
      </w:r>
      <w:proofErr w:type="gramEnd"/>
      <w:r w:rsidRPr="00BD6C8B">
        <w:rPr>
          <w:rFonts w:cs="Times New Roman"/>
          <w:lang w:val="en-GB"/>
        </w:rPr>
        <w:t xml:space="preserve"> procedures for handling complaints, particularly those concerning violations of fundamental rights, attention should be paid to Articles 55 et seq. of the Statutes.</w:t>
      </w:r>
    </w:p>
    <w:p w14:paraId="15D29D49" w14:textId="7640187E" w:rsidR="008907B3" w:rsidRDefault="002C37DE" w:rsidP="00172A3B">
      <w:pPr>
        <w:spacing w:line="480" w:lineRule="auto"/>
        <w:jc w:val="both"/>
        <w:rPr>
          <w:rFonts w:cs="Times New Roman"/>
          <w:lang w:val="en-GB"/>
        </w:rPr>
      </w:pPr>
      <w:r w:rsidRPr="002C37DE">
        <w:rPr>
          <w:rFonts w:cs="Times New Roman"/>
          <w:lang w:val="en-GB"/>
        </w:rPr>
        <w:t xml:space="preserve">Now, insofar as is relevant here, namely considering the </w:t>
      </w:r>
      <w:proofErr w:type="gramStart"/>
      <w:r w:rsidRPr="002C37DE">
        <w:rPr>
          <w:rFonts w:cs="Times New Roman"/>
          <w:lang w:val="en-GB"/>
        </w:rPr>
        <w:t>aforementioned subparagraphs</w:t>
      </w:r>
      <w:proofErr w:type="gramEnd"/>
      <w:r w:rsidRPr="002C37DE">
        <w:rPr>
          <w:rFonts w:cs="Times New Roman"/>
          <w:lang w:val="en-GB"/>
        </w:rPr>
        <w:t xml:space="preserve"> a), f) and c) of Article 24(3) of the Statutes, it is clearly incumbent upon the ERC, through its Regulatory Council, to intervene in matters concerning violations of the limits of press freedom and the duties of journalists. However, Article 6 of the Statutes, on the scope of the ERC's intervention, refers to natural or legal persons engaged in media activities, namely news </w:t>
      </w:r>
      <w:r w:rsidR="00507759" w:rsidRPr="002C37DE">
        <w:rPr>
          <w:rFonts w:cs="Times New Roman"/>
          <w:lang w:val="en-GB"/>
        </w:rPr>
        <w:t>agencies, radio</w:t>
      </w:r>
      <w:r w:rsidRPr="002C37DE">
        <w:rPr>
          <w:rFonts w:cs="Times New Roman"/>
          <w:lang w:val="en-GB"/>
        </w:rPr>
        <w:t xml:space="preserve"> and television operators, publishers of periodicals, and providers of radio or television services or content subject to editorial treatment and organized as a coherent whole via electronic communication networks. In other words, the ERC does not assess cases of liability for violations of journalistic duties by individual journalists.</w:t>
      </w:r>
      <w:r w:rsidR="00993D1E" w:rsidRPr="002C37DE">
        <w:rPr>
          <w:rFonts w:cs="Times New Roman"/>
          <w:lang w:val="en-GB"/>
        </w:rPr>
        <w:t xml:space="preserve"> </w:t>
      </w:r>
      <w:r w:rsidR="00507759" w:rsidRPr="00507759">
        <w:rPr>
          <w:rFonts w:cs="Times New Roman"/>
          <w:lang w:val="en-GB"/>
        </w:rPr>
        <w:t>This may help explain some apparent contradictions between ERC deliberations, in which it sometimes refuses to deal with ethical duties, sometimes assumes these powers, and sometimes recognizes the difficulty of defining cases that strictly fall within the scope of the Code of Ethics</w:t>
      </w:r>
      <w:r w:rsidR="00E72B12" w:rsidRPr="00507759">
        <w:rPr>
          <w:rFonts w:cs="Times New Roman"/>
          <w:lang w:val="en-GB"/>
        </w:rPr>
        <w:t>.</w:t>
      </w:r>
      <w:r w:rsidR="00E72B12" w:rsidRPr="002D79FD">
        <w:rPr>
          <w:rStyle w:val="FootnoteReference"/>
          <w:rFonts w:cs="Times New Roman"/>
        </w:rPr>
        <w:footnoteReference w:id="159"/>
      </w:r>
      <w:r w:rsidR="00913A32" w:rsidRPr="00507759">
        <w:rPr>
          <w:rFonts w:cs="Times New Roman"/>
          <w:lang w:val="en-GB"/>
        </w:rPr>
        <w:t xml:space="preserve"> </w:t>
      </w:r>
      <w:r w:rsidR="000B387B" w:rsidRPr="000B387B">
        <w:rPr>
          <w:rFonts w:cs="Times New Roman"/>
          <w:lang w:val="en-GB"/>
        </w:rPr>
        <w:t>As Martins</w:t>
      </w:r>
      <w:r w:rsidR="000B387B" w:rsidRPr="002D79FD">
        <w:rPr>
          <w:rStyle w:val="FootnoteReference"/>
          <w:rFonts w:cs="Times New Roman"/>
        </w:rPr>
        <w:footnoteReference w:id="160"/>
      </w:r>
      <w:r w:rsidR="000B387B" w:rsidRPr="000B387B">
        <w:rPr>
          <w:rFonts w:cs="Times New Roman"/>
          <w:lang w:val="en-GB"/>
        </w:rPr>
        <w:t xml:space="preserve"> rightly points out, “</w:t>
      </w:r>
      <w:r w:rsidR="000B387B" w:rsidRPr="000B387B">
        <w:rPr>
          <w:rFonts w:cs="Times New Roman"/>
          <w:i/>
          <w:iCs/>
          <w:lang w:val="en-GB"/>
        </w:rPr>
        <w:t>in several decisions, the ERC summarily dismissed the assessment of the individual conduct of these professionals, arguing that disciplinary scrutiny of violations of journalists’ duties is the responsibility of the CCPJ, to which it occasionally refers cases. Underlying this delimitation is the understanding that editorial power is a collective exercise and involves a hierarchical chain of decisions, which is not disconnected from the editorial framework within an ownership structure that, upstream, defines positions and objectives that are not indifferent to the work of individual journalists.</w:t>
      </w:r>
      <w:r w:rsidR="000B387B" w:rsidRPr="000B387B">
        <w:rPr>
          <w:rFonts w:cs="Times New Roman"/>
          <w:lang w:val="en-GB"/>
        </w:rPr>
        <w:t xml:space="preserve">” In other words, it undermines the logic that journalistic work is ultimately the </w:t>
      </w:r>
      <w:r w:rsidR="000B387B" w:rsidRPr="000B387B">
        <w:rPr>
          <w:rFonts w:cs="Times New Roman"/>
          <w:lang w:val="en-GB"/>
        </w:rPr>
        <w:lastRenderedPageBreak/>
        <w:t xml:space="preserve">result of a product collectively sanctioned by the editorial structure. It should be noted, nevertheless, that while this may still make sense in traditional media, digitization and </w:t>
      </w:r>
      <w:proofErr w:type="spellStart"/>
      <w:r w:rsidR="000B387B" w:rsidRPr="000B387B">
        <w:rPr>
          <w:rFonts w:cs="Times New Roman"/>
          <w:lang w:val="en-GB"/>
        </w:rPr>
        <w:t>platformization</w:t>
      </w:r>
      <w:proofErr w:type="spellEnd"/>
      <w:r w:rsidR="000B387B" w:rsidRPr="000B387B">
        <w:rPr>
          <w:rFonts w:cs="Times New Roman"/>
          <w:lang w:val="en-GB"/>
        </w:rPr>
        <w:t xml:space="preserve"> are eroding this collective and hierarchical structure</w:t>
      </w:r>
      <w:r w:rsidR="00C74DA3">
        <w:rPr>
          <w:rFonts w:cs="Times New Roman"/>
          <w:lang w:val="en-GB"/>
        </w:rPr>
        <w:t xml:space="preserve"> </w:t>
      </w:r>
      <w:r w:rsidR="00E4199D" w:rsidRPr="000B387B">
        <w:rPr>
          <w:rFonts w:cs="Times New Roman"/>
          <w:lang w:val="en-GB"/>
        </w:rPr>
        <w:t xml:space="preserve">by </w:t>
      </w:r>
      <w:r w:rsidR="0093726E" w:rsidRPr="000B387B">
        <w:rPr>
          <w:rFonts w:cs="Times New Roman"/>
          <w:lang w:val="en-GB"/>
        </w:rPr>
        <w:t>blurring the existing legal definitions of journalism, authorship, and editorial liability.</w:t>
      </w:r>
    </w:p>
    <w:p w14:paraId="6F1E10EF" w14:textId="5C5CF1DC" w:rsidR="003977D6" w:rsidRPr="008A58E0" w:rsidRDefault="00C0706A" w:rsidP="00172A3B">
      <w:pPr>
        <w:spacing w:line="480" w:lineRule="auto"/>
        <w:jc w:val="both"/>
        <w:rPr>
          <w:rFonts w:cs="Times New Roman"/>
          <w:lang w:val="en-GB"/>
        </w:rPr>
      </w:pPr>
      <w:r w:rsidRPr="00C0706A">
        <w:rPr>
          <w:rFonts w:cs="Times New Roman"/>
          <w:lang w:val="en-GB"/>
        </w:rPr>
        <w:t>Within the scope of this competence to deal with breaches of journalistic duties (in institutional terms), for example, in 2024, the ERC</w:t>
      </w:r>
      <w:r w:rsidR="00FB1C8A" w:rsidRPr="002D79FD">
        <w:rPr>
          <w:rStyle w:val="FootnoteReference"/>
          <w:rFonts w:cs="Times New Roman"/>
        </w:rPr>
        <w:footnoteReference w:id="161"/>
      </w:r>
      <w:r w:rsidRPr="00C0706A">
        <w:rPr>
          <w:rFonts w:cs="Times New Roman"/>
          <w:lang w:val="en-GB"/>
        </w:rPr>
        <w:t xml:space="preserve"> dealt with 73 complaints about violations of personality rights and accuracy of information, far more than those related to violations of access rights (14) and exclusive rights and information extracts (16), with most proceedings relating to the written press and television. In addition, 81 proceedings were </w:t>
      </w:r>
      <w:proofErr w:type="spellStart"/>
      <w:r w:rsidRPr="00C0706A">
        <w:rPr>
          <w:rFonts w:cs="Times New Roman"/>
          <w:lang w:val="en-GB"/>
        </w:rPr>
        <w:t>analyzed</w:t>
      </w:r>
      <w:proofErr w:type="spellEnd"/>
      <w:r w:rsidRPr="00C0706A">
        <w:rPr>
          <w:rFonts w:cs="Times New Roman"/>
          <w:lang w:val="en-GB"/>
        </w:rPr>
        <w:t xml:space="preserve"> for denial of the right of reply. In total, although the 2024 Activity Report does not specify the nature of the underlying </w:t>
      </w:r>
      <w:proofErr w:type="gramStart"/>
      <w:r w:rsidRPr="00C0706A">
        <w:rPr>
          <w:rFonts w:cs="Times New Roman"/>
          <w:lang w:val="en-GB"/>
        </w:rPr>
        <w:t>illegality, and</w:t>
      </w:r>
      <w:proofErr w:type="gramEnd"/>
      <w:r w:rsidRPr="00C0706A">
        <w:rPr>
          <w:rFonts w:cs="Times New Roman"/>
          <w:lang w:val="en-GB"/>
        </w:rPr>
        <w:t xml:space="preserve"> may therefore refer to various aspects unrelated to the violation of journalists' duties and </w:t>
      </w:r>
      <w:proofErr w:type="gramStart"/>
      <w:r w:rsidRPr="00C0706A">
        <w:rPr>
          <w:rFonts w:cs="Times New Roman"/>
          <w:lang w:val="en-GB"/>
        </w:rPr>
        <w:t>in particular to</w:t>
      </w:r>
      <w:proofErr w:type="gramEnd"/>
      <w:r w:rsidRPr="00C0706A">
        <w:rPr>
          <w:rFonts w:cs="Times New Roman"/>
          <w:lang w:val="en-GB"/>
        </w:rPr>
        <w:t xml:space="preserve"> the violation of personality rights, 35 administrative offense proceedings were concluded, with 19 resulting in the imposition of fines.</w:t>
      </w:r>
      <w:r w:rsidR="00921A44">
        <w:rPr>
          <w:rFonts w:cs="Times New Roman"/>
          <w:lang w:val="en-GB"/>
        </w:rPr>
        <w:t xml:space="preserve"> </w:t>
      </w:r>
      <w:r w:rsidR="00921A44" w:rsidRPr="00921A44">
        <w:rPr>
          <w:rFonts w:cs="Times New Roman"/>
          <w:lang w:val="en-GB"/>
        </w:rPr>
        <w:t xml:space="preserve">In other words, it seems that sanctions are, in general, quite low in terms of what interests us. By comparison, in 2011, 40 decisions were approved by the Regulatory Council regarding violations of journalistic duties, with proceedings initiated, in the overwhelming majority of cases, by complaint and not ex officio, mainly against the private television channel SIC and the newspaper </w:t>
      </w:r>
      <w:proofErr w:type="spellStart"/>
      <w:r w:rsidR="00921A44" w:rsidRPr="00921A44">
        <w:rPr>
          <w:rFonts w:cs="Times New Roman"/>
          <w:lang w:val="en-GB"/>
        </w:rPr>
        <w:t>Correio</w:t>
      </w:r>
      <w:proofErr w:type="spellEnd"/>
      <w:r w:rsidR="00921A44" w:rsidRPr="00921A44">
        <w:rPr>
          <w:rFonts w:cs="Times New Roman"/>
          <w:lang w:val="en-GB"/>
        </w:rPr>
        <w:t xml:space="preserve"> da </w:t>
      </w:r>
      <w:proofErr w:type="spellStart"/>
      <w:r w:rsidR="00921A44" w:rsidRPr="00921A44">
        <w:rPr>
          <w:rFonts w:cs="Times New Roman"/>
          <w:lang w:val="en-GB"/>
        </w:rPr>
        <w:t>Manhã</w:t>
      </w:r>
      <w:proofErr w:type="spellEnd"/>
      <w:r w:rsidR="00057459" w:rsidRPr="00921A44">
        <w:rPr>
          <w:rFonts w:cs="Times New Roman"/>
          <w:lang w:val="en-GB"/>
        </w:rPr>
        <w:t>.</w:t>
      </w:r>
      <w:r w:rsidR="00057459" w:rsidRPr="002D79FD">
        <w:rPr>
          <w:rStyle w:val="FootnoteReference"/>
          <w:rFonts w:cs="Times New Roman"/>
        </w:rPr>
        <w:footnoteReference w:id="162"/>
      </w:r>
      <w:r w:rsidR="00593E81" w:rsidRPr="00921A44">
        <w:rPr>
          <w:rFonts w:cs="Times New Roman"/>
          <w:lang w:val="en-GB"/>
        </w:rPr>
        <w:t xml:space="preserve"> </w:t>
      </w:r>
      <w:r w:rsidR="008A58E0" w:rsidRPr="008A58E0">
        <w:rPr>
          <w:rFonts w:cs="Times New Roman"/>
          <w:lang w:val="en-GB"/>
        </w:rPr>
        <w:t>Now, if 75% of the cases resulted in convictions, as Martins</w:t>
      </w:r>
      <w:r w:rsidR="008A58E0">
        <w:rPr>
          <w:rStyle w:val="FootnoteReference"/>
          <w:rFonts w:cs="Times New Roman"/>
          <w:lang w:val="en-GB"/>
        </w:rPr>
        <w:footnoteReference w:id="163"/>
      </w:r>
      <w:r w:rsidR="008A58E0" w:rsidRPr="008A58E0">
        <w:rPr>
          <w:rFonts w:cs="Times New Roman"/>
          <w:lang w:val="en-GB"/>
        </w:rPr>
        <w:t xml:space="preserve"> recalls, “</w:t>
      </w:r>
      <w:r w:rsidR="008A58E0" w:rsidRPr="008A58E0">
        <w:rPr>
          <w:rFonts w:cs="Times New Roman"/>
          <w:i/>
          <w:iCs/>
          <w:lang w:val="en-GB"/>
        </w:rPr>
        <w:t xml:space="preserve">most of these are limited to raising awareness, warning, or urging compliance with the ‘ethical and legal duties’ of journalism. </w:t>
      </w:r>
      <w:r w:rsidR="008A58E0" w:rsidRPr="008A58E0">
        <w:rPr>
          <w:rFonts w:cs="Times New Roman"/>
          <w:i/>
          <w:iCs/>
          <w:lang w:val="en-GB"/>
        </w:rPr>
        <w:lastRenderedPageBreak/>
        <w:t>Of the range of decisions approved in 2011, only in two cases did the Regulatory Council adopt more severe measures, in this case, a recommendation, which must be published by the media outlet, and the opening of administrative proceedings with a view to the payment of a fine</w:t>
      </w:r>
      <w:r w:rsidR="008A58E0" w:rsidRPr="008A58E0">
        <w:rPr>
          <w:rFonts w:cs="Times New Roman"/>
          <w:lang w:val="en-GB"/>
        </w:rPr>
        <w:t>.” In the latter case, linked to the dissemination of images of a violent homicide in the presence of a child, the ERC considered it inhumane and disproportionate (unnecessary, inappropriate, and excessive), violating the ethical and legal standards of journalistic practice by breaching the duty to respect human dignity and the privacy of citizens, especially victims, and the duty to reject sensationalism. A fine of €75,000 was imposed on the private television channel TVI.</w:t>
      </w:r>
    </w:p>
    <w:p w14:paraId="6F85DC56" w14:textId="21A1E31F" w:rsidR="00AA4077" w:rsidRDefault="00AA4077" w:rsidP="00172A3B">
      <w:pPr>
        <w:spacing w:line="480" w:lineRule="auto"/>
        <w:jc w:val="both"/>
        <w:rPr>
          <w:rFonts w:cs="Times New Roman"/>
          <w:lang w:val="en-GB"/>
        </w:rPr>
      </w:pPr>
      <w:r w:rsidRPr="00AA4077">
        <w:rPr>
          <w:rFonts w:cs="Times New Roman"/>
          <w:lang w:val="en-GB"/>
        </w:rPr>
        <w:t xml:space="preserve">Finally, it is important to assess the financial independence of the ERC, with fines being one of its sources of revenue, as will be seen. After all, even if it displays formal characteristics of independence in institutional, regulatory, and supervisory terms, these will be of little value if there are no means to carry out this activity and ensure the regular functioning of the </w:t>
      </w:r>
      <w:r>
        <w:rPr>
          <w:rFonts w:cs="Times New Roman"/>
          <w:lang w:val="en-GB"/>
        </w:rPr>
        <w:t>Authority</w:t>
      </w:r>
      <w:r w:rsidRPr="00AA4077">
        <w:rPr>
          <w:rFonts w:cs="Times New Roman"/>
          <w:lang w:val="en-GB"/>
        </w:rPr>
        <w:t>.</w:t>
      </w:r>
    </w:p>
    <w:p w14:paraId="3EE6BAC0" w14:textId="104574D7" w:rsidR="00084506" w:rsidRDefault="00084506" w:rsidP="00172A3B">
      <w:pPr>
        <w:spacing w:line="480" w:lineRule="auto"/>
        <w:jc w:val="both"/>
        <w:rPr>
          <w:rFonts w:cs="Times New Roman"/>
          <w:lang w:val="en-GB"/>
        </w:rPr>
      </w:pPr>
      <w:r w:rsidRPr="00084506">
        <w:rPr>
          <w:rFonts w:cs="Times New Roman"/>
          <w:lang w:val="en-GB"/>
        </w:rPr>
        <w:t xml:space="preserve">This matter is regulated mainly in Chapter IV of the Statutes, in Articles 48 to 52. Article 48(5) provides for an annual budget which, in accordance with Article 24(2)(b), is approved by the Regulatory Council, as is the activity report and accounts, which, under the terms of Article 29(3)(f), requires a vote by all members and, under Article 36(d), an opinion from the ERC's Sole Auditor. In other words, </w:t>
      </w:r>
      <w:r w:rsidR="00D66D2F" w:rsidRPr="00084506">
        <w:rPr>
          <w:rFonts w:cs="Times New Roman"/>
          <w:lang w:val="en-GB"/>
        </w:rPr>
        <w:t>no</w:t>
      </w:r>
      <w:r w:rsidRPr="00084506">
        <w:rPr>
          <w:rFonts w:cs="Times New Roman"/>
          <w:lang w:val="en-GB"/>
        </w:rPr>
        <w:t xml:space="preserve"> member of the Executive is involved </w:t>
      </w:r>
      <w:r w:rsidRPr="00D66D2F">
        <w:rPr>
          <w:rFonts w:cs="Times New Roman"/>
          <w:i/>
          <w:iCs/>
          <w:lang w:val="en-GB"/>
        </w:rPr>
        <w:t>a priori</w:t>
      </w:r>
      <w:r w:rsidRPr="00084506">
        <w:rPr>
          <w:rFonts w:cs="Times New Roman"/>
          <w:lang w:val="en-GB"/>
        </w:rPr>
        <w:t xml:space="preserve"> in the preparation and approval of the ERC's budget. However, the situation is not so straightforward. After all, pursuant to Articles 48(5) and 50(a), part of the revenue comes from the State Budget, even though it must be included in the budget of the Assembly of the Republic, under a separate heading in the overall revenue and expenditure tables for autonomous services and funds. </w:t>
      </w:r>
    </w:p>
    <w:p w14:paraId="5BB16F0D" w14:textId="77777777" w:rsidR="001D2C5A" w:rsidRPr="001D2C5A" w:rsidRDefault="001D2C5A" w:rsidP="00172A3B">
      <w:pPr>
        <w:spacing w:line="480" w:lineRule="auto"/>
        <w:jc w:val="both"/>
        <w:rPr>
          <w:rFonts w:cs="Times New Roman"/>
          <w:lang w:val="en-GB"/>
        </w:rPr>
      </w:pPr>
      <w:r w:rsidRPr="001D2C5A">
        <w:rPr>
          <w:rFonts w:cs="Times New Roman"/>
          <w:lang w:val="en-GB"/>
        </w:rPr>
        <w:lastRenderedPageBreak/>
        <w:t xml:space="preserve">Another significant source of revenue comes from fees charged to regulated entities, pursuant to Article 50(b) and (c), with the conditions set out in Article 51. This article reveals that the criteria for levying fees, the requirements for exemption, and the amount of fees due in return for acts performed by the ERC are defined by decree-law, i.e., they require government intervention. Similarly, the regulation of the incidence and amount of fees due in return for acts performed by the ERC is defined by joint order of the Minister of Finance and the member of the Government responsible for the media. </w:t>
      </w:r>
    </w:p>
    <w:p w14:paraId="35B5CD01" w14:textId="77777777" w:rsidR="000E05FD" w:rsidRPr="00BD6C8B" w:rsidRDefault="001D2C5A" w:rsidP="00172A3B">
      <w:pPr>
        <w:spacing w:line="480" w:lineRule="auto"/>
        <w:jc w:val="both"/>
        <w:rPr>
          <w:rFonts w:cs="Times New Roman"/>
          <w:lang w:val="en-GB"/>
        </w:rPr>
      </w:pPr>
      <w:r w:rsidRPr="00BD6C8B">
        <w:rPr>
          <w:rFonts w:cs="Times New Roman"/>
          <w:lang w:val="en-GB"/>
        </w:rPr>
        <w:t>Revenues also include the proceeds of penalties imposed, in accordance with subparagraphs d), e) and f).</w:t>
      </w:r>
    </w:p>
    <w:p w14:paraId="52D84AFD" w14:textId="77777777" w:rsidR="00FE05C6" w:rsidRPr="00FE05C6" w:rsidRDefault="00FE05C6" w:rsidP="00172A3B">
      <w:pPr>
        <w:spacing w:line="480" w:lineRule="auto"/>
        <w:jc w:val="both"/>
        <w:rPr>
          <w:rFonts w:cs="Times New Roman"/>
          <w:lang w:val="en-GB"/>
        </w:rPr>
      </w:pPr>
      <w:r w:rsidRPr="00FE05C6">
        <w:rPr>
          <w:rFonts w:cs="Times New Roman"/>
          <w:lang w:val="en-GB"/>
        </w:rPr>
        <w:t>Lastly, there is a set of own revenues associated with the management of its assets and income, its activity, and amounts owed to it for its activity, contract, or law, as well as subsidies or other support.</w:t>
      </w:r>
    </w:p>
    <w:p w14:paraId="4EC1BE53" w14:textId="77777777" w:rsidR="00FE05C6" w:rsidRPr="00FE05C6" w:rsidRDefault="00FE05C6" w:rsidP="00172A3B">
      <w:pPr>
        <w:spacing w:line="480" w:lineRule="auto"/>
        <w:jc w:val="both"/>
        <w:rPr>
          <w:rFonts w:cs="Times New Roman"/>
          <w:lang w:val="en-GB"/>
        </w:rPr>
      </w:pPr>
      <w:r w:rsidRPr="00FE05C6">
        <w:rPr>
          <w:rFonts w:cs="Times New Roman"/>
          <w:lang w:val="en-GB"/>
        </w:rPr>
        <w:t>In short, despite this latter income, a large part of the ERC's revenue is in the hands of the State, with the ERC's activity being constrained by the amount allocated to it in the budget, and by the regulated entities, to whom a large part of the costs of its activities are passed on, which limits its financial independence and, consequently, its activity.</w:t>
      </w:r>
    </w:p>
    <w:p w14:paraId="383D8EF2" w14:textId="77777777" w:rsidR="00FE05C6" w:rsidRDefault="00FE05C6" w:rsidP="00172A3B">
      <w:pPr>
        <w:spacing w:line="480" w:lineRule="auto"/>
        <w:jc w:val="both"/>
        <w:rPr>
          <w:rFonts w:cs="Times New Roman"/>
          <w:lang w:val="en-GB"/>
        </w:rPr>
      </w:pPr>
      <w:r w:rsidRPr="00FE05C6">
        <w:rPr>
          <w:rFonts w:cs="Times New Roman"/>
          <w:lang w:val="en-GB"/>
        </w:rPr>
        <w:t>Expenses, on the other hand, arise from Article 54 and are mainly linked to the exercise of the powers and responsibilities entrusted to the ER and the acquisition of fixed assets, thus offering greater flexibility in their forecasting than if it did not have financial autonomy and were governed by the general rules of the Administration.</w:t>
      </w:r>
    </w:p>
    <w:p w14:paraId="5304B15D" w14:textId="77777777" w:rsidR="00736711" w:rsidRPr="00736711" w:rsidRDefault="00736711" w:rsidP="00172A3B">
      <w:pPr>
        <w:spacing w:line="480" w:lineRule="auto"/>
        <w:jc w:val="both"/>
        <w:rPr>
          <w:rFonts w:cs="Times New Roman"/>
          <w:lang w:val="en-GB"/>
        </w:rPr>
      </w:pPr>
      <w:r w:rsidRPr="00736711">
        <w:rPr>
          <w:rFonts w:cs="Times New Roman"/>
          <w:lang w:val="en-GB"/>
        </w:rPr>
        <w:t>The ERC therefore has autonomy to hire its employees and establish its organization, under the terms of Articles 24(1)(e) and 42 to 47 of the Statutes, which essentially allows it to attract better employees.</w:t>
      </w:r>
    </w:p>
    <w:p w14:paraId="2951047C" w14:textId="33D254E3" w:rsidR="00F56AEF" w:rsidRPr="00736711" w:rsidRDefault="00736711" w:rsidP="00172A3B">
      <w:pPr>
        <w:spacing w:line="480" w:lineRule="auto"/>
        <w:jc w:val="both"/>
        <w:rPr>
          <w:rFonts w:cs="Times New Roman"/>
          <w:lang w:val="en-GB"/>
        </w:rPr>
      </w:pPr>
      <w:r w:rsidRPr="00736711">
        <w:rPr>
          <w:rFonts w:cs="Times New Roman"/>
          <w:lang w:val="en-GB"/>
        </w:rPr>
        <w:lastRenderedPageBreak/>
        <w:t>While it is true that there is a formal effort to safeguard the independence of the ERC in its various dimensions, albeit with some shortcomings, it is also important to ensure its accountability, which also involves several levels in line with Quintyn, et al</w:t>
      </w:r>
      <w:r w:rsidR="009F0258" w:rsidRPr="00736711">
        <w:rPr>
          <w:rFonts w:cs="Times New Roman"/>
          <w:lang w:val="en-GB"/>
        </w:rPr>
        <w:t>.</w:t>
      </w:r>
      <w:r w:rsidR="00E64717" w:rsidRPr="002D79FD">
        <w:rPr>
          <w:rStyle w:val="FootnoteReference"/>
          <w:rFonts w:cs="Times New Roman"/>
        </w:rPr>
        <w:footnoteReference w:id="164"/>
      </w:r>
    </w:p>
    <w:p w14:paraId="0B99771B" w14:textId="77777777" w:rsidR="00830FF9" w:rsidRDefault="00830FF9" w:rsidP="00172A3B">
      <w:pPr>
        <w:spacing w:line="480" w:lineRule="auto"/>
        <w:jc w:val="both"/>
        <w:rPr>
          <w:rFonts w:cs="Times New Roman"/>
          <w:lang w:val="en-GB"/>
        </w:rPr>
      </w:pPr>
      <w:r w:rsidRPr="00830FF9">
        <w:rPr>
          <w:rFonts w:cs="Times New Roman"/>
          <w:lang w:val="en-GB"/>
        </w:rPr>
        <w:t>Firstly, the ERC's mandate is defined and clarified in its statutes, with the definition of its purpose in Article 1(2), its scope of intervention in Article 6, and its regulatory objectives in Article 7 (which includes, in subparagraph f) “</w:t>
      </w:r>
      <w:r w:rsidRPr="00830FF9">
        <w:rPr>
          <w:rFonts w:cs="Times New Roman"/>
          <w:i/>
          <w:iCs/>
          <w:lang w:val="en-GB"/>
        </w:rPr>
        <w:t>Ensuring the protection of individual personality rights whenever these are at stake in the provision of media content services subject to its regulation</w:t>
      </w:r>
      <w:r w:rsidRPr="00830FF9">
        <w:rPr>
          <w:rFonts w:cs="Times New Roman"/>
          <w:lang w:val="en-GB"/>
        </w:rPr>
        <w:t>”) and a summary of its powers in Article 8 (in particular in subparagraph a) “</w:t>
      </w:r>
      <w:r w:rsidRPr="00830FF9">
        <w:rPr>
          <w:rFonts w:cs="Times New Roman"/>
          <w:i/>
          <w:iCs/>
          <w:lang w:val="en-GB"/>
        </w:rPr>
        <w:t>Ensuring the free exercise of the right to information and freedom of the press</w:t>
      </w:r>
      <w:r w:rsidRPr="00830FF9">
        <w:rPr>
          <w:rFonts w:cs="Times New Roman"/>
          <w:lang w:val="en-GB"/>
        </w:rPr>
        <w:t>”; in subparagraph d) “</w:t>
      </w:r>
      <w:r w:rsidRPr="00830FF9">
        <w:rPr>
          <w:rFonts w:cs="Times New Roman"/>
          <w:i/>
          <w:iCs/>
          <w:lang w:val="en-GB"/>
        </w:rPr>
        <w:t>Ensuring respect for rights, freedoms, and guarantees</w:t>
      </w:r>
      <w:r w:rsidRPr="00830FF9">
        <w:rPr>
          <w:rFonts w:cs="Times New Roman"/>
          <w:lang w:val="en-GB"/>
        </w:rPr>
        <w:t>”; and in subparagraph e) “</w:t>
      </w:r>
      <w:r w:rsidRPr="00830FF9">
        <w:rPr>
          <w:rFonts w:cs="Times New Roman"/>
          <w:i/>
          <w:iCs/>
          <w:lang w:val="en-GB"/>
        </w:rPr>
        <w:t>Ensuring the effective expression and confrontation of different currents of opinion, in accordance with the principle of pluralism and the editorial line of each media outlet</w:t>
      </w:r>
      <w:r w:rsidRPr="00830FF9">
        <w:rPr>
          <w:rFonts w:cs="Times New Roman"/>
          <w:lang w:val="en-GB"/>
        </w:rPr>
        <w:t>”)</w:t>
      </w:r>
      <w:r>
        <w:rPr>
          <w:rFonts w:cs="Times New Roman"/>
          <w:lang w:val="en-GB"/>
        </w:rPr>
        <w:t>.</w:t>
      </w:r>
    </w:p>
    <w:p w14:paraId="5072313D" w14:textId="1A44153F" w:rsidR="00F60F24" w:rsidRPr="00405B51" w:rsidRDefault="008360E8" w:rsidP="00172A3B">
      <w:pPr>
        <w:spacing w:line="480" w:lineRule="auto"/>
        <w:jc w:val="both"/>
        <w:rPr>
          <w:rFonts w:cs="Times New Roman"/>
          <w:lang w:val="en-GB"/>
        </w:rPr>
      </w:pPr>
      <w:r w:rsidRPr="008360E8">
        <w:rPr>
          <w:rFonts w:cs="Times New Roman"/>
          <w:lang w:val="en-GB"/>
        </w:rPr>
        <w:t xml:space="preserve">Secondly, </w:t>
      </w:r>
      <w:proofErr w:type="gramStart"/>
      <w:r w:rsidRPr="008360E8">
        <w:rPr>
          <w:rFonts w:cs="Times New Roman"/>
          <w:lang w:val="en-GB"/>
        </w:rPr>
        <w:t>with regard to</w:t>
      </w:r>
      <w:proofErr w:type="gramEnd"/>
      <w:r w:rsidRPr="008360E8">
        <w:rPr>
          <w:rFonts w:cs="Times New Roman"/>
          <w:lang w:val="en-GB"/>
        </w:rPr>
        <w:t xml:space="preserve"> accountability to the legislative branch, Article 73(1) of the Statutes provides that the ERC shall keep the Assembly of the Republic informed of its deliberations and activities by sending it its monthly collection. Furthermore, under the terms of paragraph 2, “</w:t>
      </w:r>
      <w:r w:rsidRPr="008360E8">
        <w:rPr>
          <w:rFonts w:cs="Times New Roman"/>
          <w:i/>
          <w:iCs/>
          <w:lang w:val="en-GB"/>
        </w:rPr>
        <w:t>it shall send to the Assembly of the Republic, for discussion, preceded by a hearing before the Committee on Constitutional Affairs, Rights, Freedoms, and Guarantees, an annual report on its regulatory activities, as well as its activity report and accounts</w:t>
      </w:r>
      <w:r w:rsidRPr="008360E8">
        <w:rPr>
          <w:rFonts w:cs="Times New Roman"/>
          <w:lang w:val="en-GB"/>
        </w:rPr>
        <w:t>.” Furthermore, under the terms of paragraph 4, “</w:t>
      </w:r>
      <w:r w:rsidRPr="008360E8">
        <w:rPr>
          <w:rFonts w:cs="Times New Roman"/>
          <w:i/>
          <w:iCs/>
          <w:lang w:val="en-GB"/>
        </w:rPr>
        <w:t>The members of the regulatory council shall appear before the competent committee of the Assembly of the Republic to provide information or clarification on their activities, whenever requested to do so</w:t>
      </w:r>
      <w:r w:rsidRPr="008360E8">
        <w:rPr>
          <w:rFonts w:cs="Times New Roman"/>
          <w:lang w:val="en-GB"/>
        </w:rPr>
        <w:t xml:space="preserve">.” In short, there is strong accountability to Parliament, without any intermediation by the Executive, which is in line with the process of appointing and dismissing members of the Regulatory Council, </w:t>
      </w:r>
      <w:r w:rsidRPr="008360E8">
        <w:rPr>
          <w:rFonts w:cs="Times New Roman"/>
          <w:lang w:val="en-GB"/>
        </w:rPr>
        <w:lastRenderedPageBreak/>
        <w:t xml:space="preserve">and which helps to explain why there is no real accountability to the Executive in the Statutes. </w:t>
      </w:r>
      <w:r w:rsidR="00405B51" w:rsidRPr="00405B51">
        <w:rPr>
          <w:rFonts w:cs="Times New Roman"/>
          <w:lang w:val="en-GB"/>
        </w:rPr>
        <w:t xml:space="preserve">Now, if this is justified by the (historical) rationale of independence from political pressure, it is nonetheless surprising, especially when part of the revenue comes from the State Budget and the Government has legislative and regulatory powers </w:t>
      </w:r>
      <w:r w:rsidR="002D0CDC" w:rsidRPr="00405B51">
        <w:rPr>
          <w:rFonts w:cs="Times New Roman"/>
          <w:lang w:val="en-GB"/>
        </w:rPr>
        <w:t>in</w:t>
      </w:r>
      <w:r w:rsidR="00405B51" w:rsidRPr="00405B51">
        <w:rPr>
          <w:rFonts w:cs="Times New Roman"/>
          <w:lang w:val="en-GB"/>
        </w:rPr>
        <w:t xml:space="preserve"> media. In fact, there is no provision for the </w:t>
      </w:r>
      <w:proofErr w:type="gramStart"/>
      <w:r w:rsidR="00405B51" w:rsidRPr="00405B51">
        <w:rPr>
          <w:rFonts w:cs="Times New Roman"/>
          <w:i/>
          <w:iCs/>
          <w:lang w:val="en-GB"/>
        </w:rPr>
        <w:t>ex post</w:t>
      </w:r>
      <w:proofErr w:type="gramEnd"/>
      <w:r w:rsidR="00405B51" w:rsidRPr="00405B51">
        <w:rPr>
          <w:rFonts w:cs="Times New Roman"/>
          <w:lang w:val="en-GB"/>
        </w:rPr>
        <w:t xml:space="preserve"> presentation and discussion of the ERC's budget. After all, accountability, particularly with the annual presentation of reports to the government, should not be confused with or reduced to potential interference, not least because several reports, such as the activity report, are published on the institutional website.</w:t>
      </w:r>
    </w:p>
    <w:p w14:paraId="18C4D96E" w14:textId="77777777" w:rsidR="006E2A29" w:rsidRDefault="006E2A29" w:rsidP="00172A3B">
      <w:pPr>
        <w:spacing w:line="480" w:lineRule="auto"/>
        <w:jc w:val="both"/>
        <w:rPr>
          <w:rFonts w:cs="Times New Roman"/>
          <w:lang w:val="en-GB"/>
        </w:rPr>
      </w:pPr>
      <w:proofErr w:type="gramStart"/>
      <w:r w:rsidRPr="006E2A29">
        <w:rPr>
          <w:rFonts w:cs="Times New Roman"/>
          <w:lang w:val="en-GB"/>
        </w:rPr>
        <w:t>In regard to</w:t>
      </w:r>
      <w:proofErr w:type="gramEnd"/>
      <w:r w:rsidRPr="006E2A29">
        <w:rPr>
          <w:rFonts w:cs="Times New Roman"/>
          <w:lang w:val="en-GB"/>
        </w:rPr>
        <w:t xml:space="preserve"> accountability in relation to the judiciary, consideration must be given, on the one hand, to the presence of the judiciary in the ERC and, on the other, to the reviewability of its decisions, particularly in relation to the responsibility of the press for violations of rights, freedoms, and guarantees. </w:t>
      </w:r>
    </w:p>
    <w:p w14:paraId="66E493AA" w14:textId="77777777" w:rsidR="003E2EF1" w:rsidRPr="00BD6C8B" w:rsidRDefault="003E2EF1" w:rsidP="00172A3B">
      <w:pPr>
        <w:spacing w:line="480" w:lineRule="auto"/>
        <w:jc w:val="both"/>
        <w:rPr>
          <w:rFonts w:cs="Times New Roman"/>
          <w:lang w:val="en-GB"/>
        </w:rPr>
      </w:pPr>
      <w:r w:rsidRPr="003E2EF1">
        <w:rPr>
          <w:rFonts w:cs="Times New Roman"/>
          <w:lang w:val="en-GB"/>
        </w:rPr>
        <w:t xml:space="preserve">As regards the first aspect, there has been an institutional setback, since the 1989 constitutional provision for the appointment of a magistrate by the Superior Council of Magistrates, who would chair the AACS, disappeared in 2004 from Article 39 of the CRP and was not reinstated by Law No. 53/2005. If the basic concern in media regulation is based on the protection of fundamental rights, the presence of a magistrate from an independent authority would make sense. Furthermore, given that the State has interests in the sector, namely as an economic agent through public TV channels or news agencies such as Lusa, the presence and intervention of a magistrate could ensure greater neutrality in decision-making, helping to shield the ERC's actions from capture phenomena. </w:t>
      </w:r>
      <w:r w:rsidRPr="00BD6C8B">
        <w:rPr>
          <w:rFonts w:cs="Times New Roman"/>
          <w:lang w:val="en-GB"/>
        </w:rPr>
        <w:t>Possibly, its current removal may be due to the greater maturity of Portuguese democracy and, therefore, the lack of need for this form of safeguard.</w:t>
      </w:r>
    </w:p>
    <w:p w14:paraId="7F710DFE" w14:textId="19FCD56D" w:rsidR="008D7B0B" w:rsidRPr="00CE71D6" w:rsidRDefault="0065016A" w:rsidP="00172A3B">
      <w:pPr>
        <w:spacing w:line="480" w:lineRule="auto"/>
        <w:jc w:val="both"/>
        <w:rPr>
          <w:rFonts w:cs="Times New Roman"/>
          <w:lang w:val="en-GB"/>
        </w:rPr>
      </w:pPr>
      <w:r w:rsidRPr="0065016A">
        <w:rPr>
          <w:rFonts w:cs="Times New Roman"/>
          <w:lang w:val="en-GB"/>
        </w:rPr>
        <w:t xml:space="preserve">As regards the second aspect, Article 75 provides for judicial oversight of the activities of the ERC's bodies and agents, especially since Article 74 stipulates their civil, criminal, </w:t>
      </w:r>
      <w:r w:rsidRPr="0065016A">
        <w:rPr>
          <w:rFonts w:cs="Times New Roman"/>
          <w:lang w:val="en-GB"/>
        </w:rPr>
        <w:lastRenderedPageBreak/>
        <w:t xml:space="preserve">disciplinary, and financial liability for acts and omissions committed in the exercise of their duties. In terms of non-contractual civil liability, Law No. 67/2007 of December 31 also provides for liability for acts and omissions and presumes the existence of slight negligence in the performance of unlawful legal acts. However, with regard to Article 75, an updated interpretation of its provisions is necessary in view of the creation by Law No. 46/2011 of June 24 of the Competition, Regulation and Supervision, with specialized jurisdiction, which, under the terms of Article 112(1)(h) of the Organic Law of the Judicial System, is responsible for hearing matters relating to appeals, reviews, and enforcement of decisions, orders, and other measures in administrative offense proceedings that are legally subject to challenge. In other words, there is currently a specialized court in Portugal to deal with these appeals and penalties for incorrect supervision. </w:t>
      </w:r>
      <w:r w:rsidR="00CE71D6" w:rsidRPr="00CE71D6">
        <w:rPr>
          <w:rFonts w:cs="Times New Roman"/>
          <w:lang w:val="en-GB"/>
        </w:rPr>
        <w:t>It should be noted, however, that, as has been written elsewhere</w:t>
      </w:r>
      <w:r w:rsidR="00CE71D6">
        <w:rPr>
          <w:rStyle w:val="FootnoteReference"/>
          <w:rFonts w:cs="Times New Roman"/>
          <w:lang w:val="en-GB"/>
        </w:rPr>
        <w:footnoteReference w:id="165"/>
      </w:r>
      <w:r w:rsidR="00CE71D6" w:rsidRPr="00CE71D6">
        <w:rPr>
          <w:rFonts w:cs="Times New Roman"/>
          <w:lang w:val="en-GB"/>
        </w:rPr>
        <w:t>, albeit in relation to the Bank of Portugal, in matters of non-contractual civil liability, the presumption of slight fault is potentially counterproductive, increasing litigation and the associated costs and eroding the reputation of the ERC, which is fundamental to the credibility and effectiveness of its actions and compliance with its decisions.</w:t>
      </w:r>
    </w:p>
    <w:p w14:paraId="1C7DCAAD" w14:textId="77777777" w:rsidR="00F57807" w:rsidRPr="00BD6C8B" w:rsidRDefault="00F57807" w:rsidP="00172A3B">
      <w:pPr>
        <w:spacing w:line="480" w:lineRule="auto"/>
        <w:jc w:val="both"/>
        <w:rPr>
          <w:rFonts w:cs="Times New Roman"/>
          <w:lang w:val="en-GB"/>
        </w:rPr>
      </w:pPr>
      <w:r w:rsidRPr="00F57807">
        <w:rPr>
          <w:rFonts w:cs="Times New Roman"/>
          <w:lang w:val="en-GB"/>
        </w:rPr>
        <w:t xml:space="preserve">In terms of financial accountability, in addition to the financial statements submitted to Parliament, Article 76 of the Statutes provides for supervision by the Court of Auditors, to which the ERC must submit its annual accounts for review. </w:t>
      </w:r>
      <w:r w:rsidRPr="00BD6C8B">
        <w:rPr>
          <w:rFonts w:cs="Times New Roman"/>
          <w:lang w:val="en-GB"/>
        </w:rPr>
        <w:t>Moreover, in this regard, there is also an internal audit by the Sole Auditor, who must be a certified public accountant appointed by the Assembly of the Republic, pursuant to Articles 34 to 37 of the Statutes.</w:t>
      </w:r>
    </w:p>
    <w:p w14:paraId="0C99EFDE" w14:textId="30D5F5C6" w:rsidR="00245605" w:rsidRPr="001C25C8" w:rsidRDefault="001C25C8" w:rsidP="00172A3B">
      <w:pPr>
        <w:spacing w:line="480" w:lineRule="auto"/>
        <w:jc w:val="both"/>
        <w:rPr>
          <w:rFonts w:cs="Times New Roman"/>
          <w:lang w:val="en-GB"/>
        </w:rPr>
      </w:pPr>
      <w:r w:rsidRPr="001C25C8">
        <w:rPr>
          <w:rFonts w:cs="Times New Roman"/>
          <w:lang w:val="en-GB"/>
        </w:rPr>
        <w:t xml:space="preserve">Finally, in terms of accountability, the ERC is concerned with transparency, both in terms of Article 65 regarding the publication of its regulations, directives, recommendations, and </w:t>
      </w:r>
      <w:r w:rsidRPr="001C25C8">
        <w:rPr>
          <w:rFonts w:cs="Times New Roman"/>
          <w:lang w:val="en-GB"/>
        </w:rPr>
        <w:lastRenderedPageBreak/>
        <w:t>decisions, and in terms of Article 77 regarding the requirement to have a website containing all relevant data, namely the founding document, the statutes, the regulations, decisions, and guidelines, as well as the composition of its bodies, plans, budgets, reports, and accounts for the last two years of its activity, all deliberations, disclosure of templates and forms for the electronic submission of applications, with a view to satisfying the respective requests and obtaining information, and also judgments or rulings communicated to the ERC.</w:t>
      </w:r>
    </w:p>
    <w:p w14:paraId="319BFC59" w14:textId="4E488775" w:rsidR="00FD0BAA" w:rsidRPr="00442A97" w:rsidRDefault="00C5696B" w:rsidP="00172A3B">
      <w:pPr>
        <w:spacing w:line="480" w:lineRule="auto"/>
        <w:jc w:val="both"/>
        <w:rPr>
          <w:rFonts w:cs="Times New Roman"/>
          <w:lang w:val="en-GB"/>
        </w:rPr>
      </w:pPr>
      <w:r w:rsidRPr="00C5696B">
        <w:rPr>
          <w:rFonts w:cs="Times New Roman"/>
          <w:lang w:val="en-GB"/>
        </w:rPr>
        <w:t>In short, the ERC emerges as an agency-based regulatory and supervisory solution that aims to be apolitical and non-statutory. Nonetheless, it remains part of the Administration, even if independent, and, like other EAIs, assumes itself to be a structure that, contrary to Montesquieu's proclamation, concentrates powers because, as we have seen, it has regulatory, quasi-judicial, and sanctioning powers, as well as executive and decision-making powers, even if limited.</w:t>
      </w:r>
      <w:r w:rsidR="00D67517">
        <w:rPr>
          <w:rStyle w:val="FootnoteReference"/>
          <w:rFonts w:cs="Times New Roman"/>
          <w:lang w:val="en-GB"/>
        </w:rPr>
        <w:footnoteReference w:id="166"/>
      </w:r>
      <w:r w:rsidRPr="00C5696B">
        <w:rPr>
          <w:rFonts w:cs="Times New Roman"/>
          <w:lang w:val="en-GB"/>
        </w:rPr>
        <w:t xml:space="preserve"> Thus, in fact, contrary to what the designation of EAI implies, its intervention is not as technical and administrative as it seems</w:t>
      </w:r>
      <w:r w:rsidR="00341442" w:rsidRPr="00C5696B">
        <w:rPr>
          <w:rFonts w:cs="Times New Roman"/>
          <w:lang w:val="en-GB"/>
        </w:rPr>
        <w:t>.</w:t>
      </w:r>
      <w:r w:rsidR="00341442" w:rsidRPr="002D79FD">
        <w:rPr>
          <w:rStyle w:val="FootnoteReference"/>
          <w:rFonts w:cs="Times New Roman"/>
        </w:rPr>
        <w:footnoteReference w:id="167"/>
      </w:r>
      <w:r w:rsidR="00341442" w:rsidRPr="00C5696B">
        <w:rPr>
          <w:rFonts w:cs="Times New Roman"/>
          <w:lang w:val="en-GB"/>
        </w:rPr>
        <w:t xml:space="preserve"> </w:t>
      </w:r>
      <w:r w:rsidR="00442A97" w:rsidRPr="00442A97">
        <w:rPr>
          <w:rFonts w:cs="Times New Roman"/>
          <w:lang w:val="en-GB"/>
        </w:rPr>
        <w:t xml:space="preserve">This abnormal concentration of powers requires accountability, which in the case of the ERC is quite robust, as we have seen, and democratic legitimacy. Here, in most Portuguese EAI, this legitimacy is indirect and stems mainly from its legal provision. In the ERC, however, in addition to its express provision in the Constitution, the appointment and dismissal of most of its members by the Assembly, as well as all the accountability to parliamentary power </w:t>
      </w:r>
      <w:proofErr w:type="spellStart"/>
      <w:r w:rsidR="00442A97" w:rsidRPr="00442A97">
        <w:rPr>
          <w:rFonts w:cs="Times New Roman"/>
          <w:lang w:val="en-GB"/>
        </w:rPr>
        <w:t>analyzed</w:t>
      </w:r>
      <w:proofErr w:type="spellEnd"/>
      <w:r w:rsidR="00442A97" w:rsidRPr="00442A97">
        <w:rPr>
          <w:rFonts w:cs="Times New Roman"/>
          <w:lang w:val="en-GB"/>
        </w:rPr>
        <w:t xml:space="preserve"> above, ultimately give it greater democratic legitimacy. This does not mean, however, that it is immune to political and economic pressures.</w:t>
      </w:r>
    </w:p>
    <w:p w14:paraId="70FD5819" w14:textId="41679216" w:rsidR="00A8267B" w:rsidRPr="001B583D" w:rsidRDefault="00B2443D" w:rsidP="00172A3B">
      <w:pPr>
        <w:spacing w:line="480" w:lineRule="auto"/>
        <w:jc w:val="both"/>
        <w:rPr>
          <w:rFonts w:cs="Times New Roman"/>
          <w:lang w:val="en-GB"/>
        </w:rPr>
      </w:pPr>
      <w:r w:rsidRPr="00B2443D">
        <w:rPr>
          <w:rFonts w:cs="Times New Roman"/>
          <w:lang w:val="en-GB"/>
        </w:rPr>
        <w:t xml:space="preserve">In fact, existing loopholes in the ERC's </w:t>
      </w:r>
      <w:proofErr w:type="spellStart"/>
      <w:r w:rsidRPr="00B2443D">
        <w:rPr>
          <w:rFonts w:cs="Times New Roman"/>
          <w:lang w:val="en-GB"/>
        </w:rPr>
        <w:t>armor</w:t>
      </w:r>
      <w:proofErr w:type="spellEnd"/>
      <w:r w:rsidRPr="00B2443D">
        <w:rPr>
          <w:rFonts w:cs="Times New Roman"/>
          <w:lang w:val="en-GB"/>
        </w:rPr>
        <w:t xml:space="preserve"> can be exploited and widened. If nothing else, it suffices to consider that the ERC is nothing more than an agent of the State and that the </w:t>
      </w:r>
      <w:r w:rsidRPr="00B2443D">
        <w:rPr>
          <w:rFonts w:cs="Times New Roman"/>
          <w:lang w:val="en-GB"/>
        </w:rPr>
        <w:lastRenderedPageBreak/>
        <w:t xml:space="preserve">members of the Regulatory Council are themselves agents of the ERC, as are its employees. Thus, the lessons linked to the misalignment of interests between principal and agent that arise from Agency Theory can be applied here. This is </w:t>
      </w:r>
      <w:proofErr w:type="gramStart"/>
      <w:r w:rsidRPr="00B2443D">
        <w:rPr>
          <w:rFonts w:cs="Times New Roman"/>
          <w:lang w:val="en-GB"/>
        </w:rPr>
        <w:t>all the more</w:t>
      </w:r>
      <w:proofErr w:type="gramEnd"/>
      <w:r w:rsidRPr="00B2443D">
        <w:rPr>
          <w:rFonts w:cs="Times New Roman"/>
          <w:lang w:val="en-GB"/>
        </w:rPr>
        <w:t xml:space="preserve"> </w:t>
      </w:r>
      <w:r w:rsidR="00B14E92">
        <w:rPr>
          <w:rFonts w:cs="Times New Roman"/>
          <w:lang w:val="en-GB"/>
        </w:rPr>
        <w:t>so</w:t>
      </w:r>
      <w:r w:rsidRPr="00B2443D">
        <w:rPr>
          <w:rFonts w:cs="Times New Roman"/>
          <w:lang w:val="en-GB"/>
        </w:rPr>
        <w:t xml:space="preserve"> when the Regulatory Council has only five members. Would it not be easier to capture a sparse structure such as that of the ERC than a complex hierarchical structure of the central State administration, whether through political power or through the regulated entities?</w:t>
      </w:r>
      <w:r w:rsidR="00082F24" w:rsidRPr="002D79FD">
        <w:rPr>
          <w:rStyle w:val="FootnoteReference"/>
          <w:rFonts w:cs="Times New Roman"/>
        </w:rPr>
        <w:footnoteReference w:id="168"/>
      </w:r>
      <w:r w:rsidR="00082F24" w:rsidRPr="00B2443D">
        <w:rPr>
          <w:rFonts w:cs="Times New Roman"/>
          <w:lang w:val="en-GB"/>
        </w:rPr>
        <w:t xml:space="preserve"> </w:t>
      </w:r>
      <w:r w:rsidR="00356D29" w:rsidRPr="00356D29">
        <w:rPr>
          <w:rFonts w:cs="Times New Roman"/>
          <w:lang w:val="en-GB"/>
        </w:rPr>
        <w:t>Additionally, as mentioned above, appointment by members of parliament, who in Portugal are necessarily elected through a party system, may give rise to undue influence, particularly when power has historically been held by the socialist and social democratic parties</w:t>
      </w:r>
      <w:r w:rsidR="00356D29" w:rsidRPr="002D79FD">
        <w:rPr>
          <w:rStyle w:val="FootnoteReference"/>
          <w:rFonts w:cs="Times New Roman"/>
        </w:rPr>
        <w:footnoteReference w:id="169"/>
      </w:r>
      <w:r w:rsidR="00356D29" w:rsidRPr="00356D29">
        <w:rPr>
          <w:rFonts w:cs="Times New Roman"/>
          <w:lang w:val="en-GB"/>
        </w:rPr>
        <w:t>, and there has historically been cyclical pressure on the media and some resistance to the work of the ERC on the part of the media</w:t>
      </w:r>
      <w:r w:rsidR="00C06732" w:rsidRPr="002D79FD">
        <w:rPr>
          <w:rStyle w:val="FootnoteReference"/>
          <w:rFonts w:cs="Times New Roman"/>
        </w:rPr>
        <w:footnoteReference w:id="170"/>
      </w:r>
      <w:r w:rsidR="00F9300E" w:rsidRPr="00356D29">
        <w:rPr>
          <w:rFonts w:cs="Times New Roman"/>
          <w:lang w:val="en-GB"/>
        </w:rPr>
        <w:t>.</w:t>
      </w:r>
      <w:r w:rsidR="00FB0D81">
        <w:rPr>
          <w:rFonts w:cs="Times New Roman"/>
          <w:lang w:val="en-GB"/>
        </w:rPr>
        <w:t xml:space="preserve"> </w:t>
      </w:r>
      <w:r w:rsidR="00E02852" w:rsidRPr="00E02852">
        <w:rPr>
          <w:rFonts w:cs="Times New Roman"/>
          <w:lang w:val="en-GB"/>
        </w:rPr>
        <w:t xml:space="preserve">Even the prospect of dismissal by parliamentary vote will ultimately depend on this political judgment, and although there is a </w:t>
      </w:r>
      <w:proofErr w:type="spellStart"/>
      <w:r w:rsidR="00E02852" w:rsidRPr="00E02852">
        <w:rPr>
          <w:rFonts w:cs="Times New Roman"/>
          <w:lang w:val="en-GB"/>
        </w:rPr>
        <w:t>décalage</w:t>
      </w:r>
      <w:proofErr w:type="spellEnd"/>
      <w:r w:rsidR="00E02852" w:rsidRPr="00E02852">
        <w:rPr>
          <w:rFonts w:cs="Times New Roman"/>
          <w:lang w:val="en-GB"/>
        </w:rPr>
        <w:t xml:space="preserve"> between the terms of office of deputies and members of the Regulatory Council, in the case of an assessment of serious misconduct, this may still happen with the same parliamentary composition that elected them. It is unlikely that they will reverse their initial decision. In practice, however, it seems that the ERC's deliberations do not show any partisanship. Furthermore, other appointment solutions are not without their problems. For example, appointment by the government is problematic due to political pressure, especially as there are public companies in the sector; appointment by the president requires a change in the understanding of his powers in a semi-presidential political system; and appointment by public call for applications could raise questions as to who would define the criteria and </w:t>
      </w:r>
      <w:r w:rsidR="00E02852" w:rsidRPr="00E02852">
        <w:rPr>
          <w:rFonts w:cs="Times New Roman"/>
          <w:lang w:val="en-GB"/>
        </w:rPr>
        <w:lastRenderedPageBreak/>
        <w:t xml:space="preserve">political and economic pressures. </w:t>
      </w:r>
      <w:r w:rsidR="006101E6" w:rsidRPr="006101E6">
        <w:rPr>
          <w:rFonts w:cs="Times New Roman"/>
          <w:lang w:val="en-GB"/>
        </w:rPr>
        <w:t>The inclusion of members appointed by the regulated entities, which was, incidentally, desired by the SJ</w:t>
      </w:r>
      <w:r w:rsidR="006101E6" w:rsidRPr="002D79FD">
        <w:rPr>
          <w:rStyle w:val="FootnoteReference"/>
          <w:rFonts w:cs="Times New Roman"/>
        </w:rPr>
        <w:footnoteReference w:id="171"/>
      </w:r>
      <w:r w:rsidR="006101E6" w:rsidRPr="006101E6">
        <w:rPr>
          <w:rFonts w:cs="Times New Roman"/>
          <w:lang w:val="en-GB"/>
        </w:rPr>
        <w:t>, would raise complex issues of conflict of interest, particularly in terms of protecting citizens from the media, but above all would lead to confusion between self-regulation and hetero-regulation, and could even exacerbate the weaknesses of both</w:t>
      </w:r>
      <w:r w:rsidR="000511F3" w:rsidRPr="002D79FD">
        <w:rPr>
          <w:rStyle w:val="FootnoteReference"/>
          <w:rFonts w:cs="Times New Roman"/>
        </w:rPr>
        <w:footnoteReference w:id="172"/>
      </w:r>
      <w:r w:rsidR="00E87A7B" w:rsidRPr="006101E6">
        <w:rPr>
          <w:rFonts w:cs="Times New Roman"/>
          <w:lang w:val="en-GB"/>
        </w:rPr>
        <w:t>.</w:t>
      </w:r>
      <w:r w:rsidR="00762AA3" w:rsidRPr="006101E6">
        <w:rPr>
          <w:rFonts w:cs="Times New Roman"/>
          <w:lang w:val="en-GB"/>
        </w:rPr>
        <w:t xml:space="preserve"> </w:t>
      </w:r>
      <w:r w:rsidR="001B583D" w:rsidRPr="001B583D">
        <w:rPr>
          <w:rFonts w:cs="Times New Roman"/>
          <w:lang w:val="en-GB"/>
        </w:rPr>
        <w:t>Nevertheless, since there are no restrictions on which professions can be appointed to the Regulatory Council, there is nothing to prevent journalists or other professionals in the sector from sitting at the table of that body.</w:t>
      </w:r>
    </w:p>
    <w:p w14:paraId="5BADBF1C" w14:textId="77777777" w:rsidR="00BF3D18" w:rsidRPr="001B583D" w:rsidRDefault="00BF3D18" w:rsidP="00172A3B">
      <w:pPr>
        <w:spacing w:line="480" w:lineRule="auto"/>
        <w:jc w:val="both"/>
        <w:rPr>
          <w:rFonts w:cs="Times New Roman"/>
          <w:b/>
          <w:bCs/>
          <w:lang w:val="en-GB"/>
        </w:rPr>
      </w:pPr>
    </w:p>
    <w:p w14:paraId="1516F30B" w14:textId="77777777" w:rsidR="00DF3DE3" w:rsidRPr="002D79FD" w:rsidRDefault="00DF3DE3" w:rsidP="00172A3B">
      <w:pPr>
        <w:spacing w:line="480" w:lineRule="auto"/>
        <w:jc w:val="both"/>
        <w:rPr>
          <w:rFonts w:cs="Times New Roman"/>
          <w:b/>
          <w:bCs/>
          <w:lang w:val="en-GB"/>
        </w:rPr>
      </w:pPr>
      <w:r w:rsidRPr="002D79FD">
        <w:rPr>
          <w:rFonts w:cs="Times New Roman"/>
          <w:b/>
          <w:bCs/>
          <w:lang w:val="en-GB"/>
        </w:rPr>
        <w:t>4.2. Self-Regulatory Institutions and Their Limitations</w:t>
      </w:r>
    </w:p>
    <w:p w14:paraId="26F3F535" w14:textId="2290AC79" w:rsidR="00C307D4" w:rsidRPr="00AF53E2" w:rsidRDefault="00AF53E2" w:rsidP="00172A3B">
      <w:pPr>
        <w:spacing w:line="480" w:lineRule="auto"/>
        <w:jc w:val="both"/>
        <w:rPr>
          <w:rFonts w:cs="Times New Roman"/>
          <w:lang w:val="en-GB"/>
        </w:rPr>
      </w:pPr>
      <w:r w:rsidRPr="00AF53E2">
        <w:rPr>
          <w:rFonts w:cs="Times New Roman"/>
          <w:lang w:val="en-GB"/>
        </w:rPr>
        <w:t xml:space="preserve">Professional rules for journalists, service providers, and the media play a central role in a corporate-style regulatory framework, reflecting self-regulation and the eminently ethical but also technical nature of the subject matter. This is not a question of a lack of regulation, but rather of media actors making voluntary commitments to ensure a regulatory framework for the activity </w:t>
      </w:r>
      <w:proofErr w:type="gramStart"/>
      <w:r w:rsidRPr="00AF53E2">
        <w:rPr>
          <w:rFonts w:cs="Times New Roman"/>
          <w:lang w:val="en-GB"/>
        </w:rPr>
        <w:t>in order to</w:t>
      </w:r>
      <w:proofErr w:type="gramEnd"/>
      <w:r w:rsidRPr="00AF53E2">
        <w:rPr>
          <w:rFonts w:cs="Times New Roman"/>
          <w:lang w:val="en-GB"/>
        </w:rPr>
        <w:t xml:space="preserve"> promote and adequately safeguard the sector, which may go beyond mere ethical and deontological principles and rules.</w:t>
      </w:r>
    </w:p>
    <w:p w14:paraId="02494686" w14:textId="77777777" w:rsidR="00F40591" w:rsidRDefault="00C46972" w:rsidP="00172A3B">
      <w:pPr>
        <w:spacing w:line="480" w:lineRule="auto"/>
        <w:jc w:val="both"/>
        <w:rPr>
          <w:rFonts w:cs="Times New Roman"/>
          <w:lang w:val="en-GB"/>
        </w:rPr>
      </w:pPr>
      <w:r w:rsidRPr="00C46972">
        <w:rPr>
          <w:rFonts w:cs="Times New Roman"/>
          <w:lang w:val="en-GB"/>
        </w:rPr>
        <w:t xml:space="preserve">While this self-regulation has some advantages, such as greater knowledge of the sector, legitimacy, and adaptability, it also has some drawbacks, such as potentially increasing conflict and misalignment of interests or reducing effectiveness and transparency. Furthermore, self-regulation can even function as a kind of “contestable” regulation, in which those being regulated seek to avoid or condition hetero-regulation by ensuring a minimum standard, for example, by anchoring legal or regulatory provisions at a lower denominator </w:t>
      </w:r>
      <w:proofErr w:type="gramStart"/>
      <w:r w:rsidRPr="00C46972">
        <w:rPr>
          <w:rFonts w:cs="Times New Roman"/>
          <w:lang w:val="en-GB"/>
        </w:rPr>
        <w:t>in an effort to</w:t>
      </w:r>
      <w:proofErr w:type="gramEnd"/>
      <w:r w:rsidRPr="00C46972">
        <w:rPr>
          <w:rFonts w:cs="Times New Roman"/>
          <w:lang w:val="en-GB"/>
        </w:rPr>
        <w:t xml:space="preserve"> discourage the “intrusive” deepening of hetero-intervention. </w:t>
      </w:r>
      <w:r w:rsidRPr="00C46972">
        <w:rPr>
          <w:rFonts w:cs="Times New Roman"/>
          <w:lang w:val="en-GB"/>
        </w:rPr>
        <w:lastRenderedPageBreak/>
        <w:t xml:space="preserve">Self-regulation can also serve as a differentiating factor, especially in a sector where trust in the information provided is becoming increasingly valuable in the face of its current erosion due to the dilution of the journalistic profession, </w:t>
      </w:r>
      <w:proofErr w:type="spellStart"/>
      <w:r w:rsidRPr="00C46972">
        <w:rPr>
          <w:rFonts w:cs="Times New Roman"/>
          <w:lang w:val="en-GB"/>
        </w:rPr>
        <w:t>platformization</w:t>
      </w:r>
      <w:proofErr w:type="spellEnd"/>
      <w:r w:rsidRPr="00C46972">
        <w:rPr>
          <w:rFonts w:cs="Times New Roman"/>
          <w:lang w:val="en-GB"/>
        </w:rPr>
        <w:t>, and disinformation</w:t>
      </w:r>
      <w:r w:rsidR="00F40591">
        <w:rPr>
          <w:rFonts w:cs="Times New Roman"/>
          <w:lang w:val="en-GB"/>
        </w:rPr>
        <w:t>.</w:t>
      </w:r>
    </w:p>
    <w:p w14:paraId="10B8994A" w14:textId="77777777" w:rsidR="006C2B24" w:rsidRPr="00BD6C8B" w:rsidRDefault="005C104E" w:rsidP="00172A3B">
      <w:pPr>
        <w:spacing w:line="480" w:lineRule="auto"/>
        <w:jc w:val="both"/>
        <w:rPr>
          <w:rFonts w:cs="Times New Roman"/>
          <w:lang w:val="en-GB"/>
        </w:rPr>
      </w:pPr>
      <w:r w:rsidRPr="005C104E">
        <w:rPr>
          <w:rFonts w:cs="Times New Roman"/>
          <w:lang w:val="en-GB"/>
        </w:rPr>
        <w:t xml:space="preserve">Over the years, several complementary self-regulation mechanisms have been implemented in the Portuguese media, </w:t>
      </w:r>
      <w:proofErr w:type="gramStart"/>
      <w:r w:rsidRPr="005C104E">
        <w:rPr>
          <w:rFonts w:cs="Times New Roman"/>
          <w:lang w:val="en-GB"/>
        </w:rPr>
        <w:t>in particular to</w:t>
      </w:r>
      <w:proofErr w:type="gramEnd"/>
      <w:r w:rsidRPr="005C104E">
        <w:rPr>
          <w:rFonts w:cs="Times New Roman"/>
          <w:lang w:val="en-GB"/>
        </w:rPr>
        <w:t xml:space="preserve"> ensure the quality of information, pluralism, and the protection of citizens' fundamental rights. Some of them, although relatively well established and even innovative in their online activities, have little influence or impact on the issue under discussion here. Consider the direct channels for correction and comment between journalists and the public (existing in some newspapers in various forms, from online comment boxes to email addresses), style guides and editorial statutes, or internal codes</w:t>
      </w:r>
      <w:r w:rsidR="00F712DB" w:rsidRPr="002D79FD">
        <w:rPr>
          <w:rStyle w:val="FootnoteReference"/>
          <w:rFonts w:cs="Times New Roman"/>
        </w:rPr>
        <w:footnoteReference w:id="173"/>
      </w:r>
      <w:r w:rsidR="00816B6F" w:rsidRPr="005C104E">
        <w:rPr>
          <w:rFonts w:cs="Times New Roman"/>
          <w:lang w:val="en-GB"/>
        </w:rPr>
        <w:t xml:space="preserve">. </w:t>
      </w:r>
      <w:r w:rsidR="00BB05BF" w:rsidRPr="00BB05BF">
        <w:rPr>
          <w:rFonts w:cs="Times New Roman"/>
          <w:lang w:val="en-GB"/>
        </w:rPr>
        <w:t>See also the Reader's (or Viewer's) Ombudsman, which, despite the merits of the idea of ensuring trust in the media—not least because it acts as the closest independent intermediary between the public, the media, and journalists— despite having been launched in Portugal in 1990, does not require legal knowledge, but today faces problems of affirmation and generalization, with its action having mainly a mediating characteristic and a more recommendatory, explanatory, and pedagogical dimension of framing the media</w:t>
      </w:r>
      <w:r w:rsidR="00086E6C" w:rsidRPr="00BB05BF">
        <w:rPr>
          <w:rFonts w:cs="Times New Roman"/>
          <w:lang w:val="en-GB"/>
        </w:rPr>
        <w:t>.</w:t>
      </w:r>
      <w:r w:rsidR="00086E6C" w:rsidRPr="002D79FD">
        <w:rPr>
          <w:rStyle w:val="FootnoteReference"/>
          <w:rFonts w:cs="Times New Roman"/>
        </w:rPr>
        <w:footnoteReference w:id="174"/>
      </w:r>
      <w:r w:rsidR="003D2C26" w:rsidRPr="00BB05BF">
        <w:rPr>
          <w:rFonts w:cs="Times New Roman"/>
          <w:lang w:val="en-GB"/>
        </w:rPr>
        <w:t xml:space="preserve"> </w:t>
      </w:r>
      <w:r w:rsidR="009D6AB1" w:rsidRPr="006C2B24">
        <w:rPr>
          <w:rFonts w:cs="Times New Roman"/>
          <w:lang w:val="en-GB"/>
        </w:rPr>
        <w:t xml:space="preserve">Take also the case of </w:t>
      </w:r>
      <w:proofErr w:type="spellStart"/>
      <w:r w:rsidR="003D2C26" w:rsidRPr="006C2B24">
        <w:rPr>
          <w:rFonts w:cs="Times New Roman"/>
          <w:lang w:val="en-GB"/>
        </w:rPr>
        <w:t>O</w:t>
      </w:r>
      <w:r w:rsidR="004B427C" w:rsidRPr="006C2B24">
        <w:rPr>
          <w:rFonts w:cs="Times New Roman"/>
          <w:lang w:val="en-GB"/>
        </w:rPr>
        <w:t>bCom</w:t>
      </w:r>
      <w:proofErr w:type="spellEnd"/>
      <w:r w:rsidR="00D065B5" w:rsidRPr="002D79FD">
        <w:rPr>
          <w:rStyle w:val="FootnoteReference"/>
          <w:rFonts w:cs="Times New Roman"/>
        </w:rPr>
        <w:footnoteReference w:id="175"/>
      </w:r>
      <w:r w:rsidR="004B427C" w:rsidRPr="006C2B24">
        <w:rPr>
          <w:rFonts w:cs="Times New Roman"/>
          <w:lang w:val="en-GB"/>
        </w:rPr>
        <w:t xml:space="preserve">, </w:t>
      </w:r>
      <w:r w:rsidR="006C2B24" w:rsidRPr="006C2B24">
        <w:rPr>
          <w:rFonts w:cs="Times New Roman"/>
          <w:lang w:val="en-GB"/>
        </w:rPr>
        <w:t xml:space="preserve">the Communication Observatory, whose purpose is to produce and disseminate information, as well as to conduct studies and research that contribute to a better understanding of the field of communication. </w:t>
      </w:r>
      <w:r w:rsidR="006C2B24" w:rsidRPr="00BD6C8B">
        <w:rPr>
          <w:rFonts w:cs="Times New Roman"/>
          <w:lang w:val="en-GB"/>
        </w:rPr>
        <w:t xml:space="preserve">Also </w:t>
      </w:r>
      <w:r w:rsidR="006C2B24" w:rsidRPr="00BD6C8B">
        <w:rPr>
          <w:rFonts w:cs="Times New Roman"/>
          <w:lang w:val="en-GB"/>
        </w:rPr>
        <w:lastRenderedPageBreak/>
        <w:t>noteworthy are internal circulars that reiterate standards of conduct and editorial notes on journalistic values.</w:t>
      </w:r>
    </w:p>
    <w:p w14:paraId="3508F263" w14:textId="23D30866" w:rsidR="00E6620A" w:rsidRPr="00391FDC" w:rsidRDefault="00795B31" w:rsidP="00172A3B">
      <w:pPr>
        <w:spacing w:line="480" w:lineRule="auto"/>
        <w:jc w:val="both"/>
        <w:rPr>
          <w:rFonts w:cs="Times New Roman"/>
          <w:lang w:val="en-GB"/>
        </w:rPr>
      </w:pPr>
      <w:r w:rsidRPr="00795B31">
        <w:rPr>
          <w:rFonts w:cs="Times New Roman"/>
          <w:lang w:val="en-GB"/>
        </w:rPr>
        <w:t xml:space="preserve">Newsroom boards, which are specific to Portugal, were created by the 1975 Press Law, despite attempts to establish them at the end of the Estado Novo regime. Articles 21 and 22 provided for the existence of a newsroom board in periodicals with more than five professional journalists, to be elected by the journalists themselves, with a range of powers that included, among others, cooperation in defining editorial policy and giving opinions (i.e., with advisory powers) on the admission, disciplinary sanctions, and dismissal of professional journalists. The new Press Law of 1999, in its Article 23, similarly reiterates those provisions, although eroding binding powers (such as in the appointment of the director), with the 1992 constitutional revision adding a new paragraph 3 to Article 38, which establishes that freedom of the press implies the right of journalists to elect newsroom boards (now found in Article 38(2)(b) in fine). The Journalist Statute also provides for the election of these boards in Article 13(2). In other words, the hybrid nature of these boards can be observed, in that, while intending to be self-regulating bodies, they end up being imposed by the state and legalized, including in constitutional terms. </w:t>
      </w:r>
      <w:r w:rsidR="00ED0F06" w:rsidRPr="00ED0F06">
        <w:rPr>
          <w:rFonts w:cs="Times New Roman"/>
          <w:lang w:val="en-GB"/>
        </w:rPr>
        <w:t xml:space="preserve">Furthermore, it should be noted that if the first Press Law raised doubts, due to its wording (“editorial councils will be created”), about the obligation of their creation, the new wordings (“elect”) do not clarify them fully, appearing to indicate </w:t>
      </w:r>
      <w:r w:rsidR="00ED0F06" w:rsidRPr="00391FDC">
        <w:rPr>
          <w:rFonts w:cs="Times New Roman"/>
          <w:lang w:val="en-GB"/>
        </w:rPr>
        <w:t>that they are not mandatory. So much so that existing data attest to their small and dwindling existence</w:t>
      </w:r>
      <w:r w:rsidR="00F15145" w:rsidRPr="00391FDC">
        <w:rPr>
          <w:rStyle w:val="FootnoteReference"/>
          <w:rFonts w:cs="Times New Roman"/>
        </w:rPr>
        <w:footnoteReference w:id="176"/>
      </w:r>
      <w:r w:rsidR="00ED0F06" w:rsidRPr="00391FDC">
        <w:rPr>
          <w:rFonts w:cs="Times New Roman"/>
          <w:lang w:val="en-GB"/>
        </w:rPr>
        <w:t>, partly due to the lack of interest in belonging to them due to their ineffectiveness from a deontological perspective</w:t>
      </w:r>
      <w:r w:rsidR="00391FDC" w:rsidRPr="00391FDC">
        <w:rPr>
          <w:rStyle w:val="FootnoteReference"/>
          <w:rFonts w:cs="Times New Roman"/>
        </w:rPr>
        <w:footnoteReference w:id="177"/>
      </w:r>
      <w:r w:rsidR="00ED0F06" w:rsidRPr="00391FDC">
        <w:rPr>
          <w:rFonts w:cs="Times New Roman"/>
          <w:lang w:val="en-GB"/>
        </w:rPr>
        <w:t xml:space="preserve">, thus becoming </w:t>
      </w:r>
      <w:r w:rsidR="00ED0F06" w:rsidRPr="00391FDC">
        <w:rPr>
          <w:rFonts w:cs="Times New Roman"/>
          <w:lang w:val="en-GB"/>
        </w:rPr>
        <w:lastRenderedPageBreak/>
        <w:t xml:space="preserve">dependent on the "professional culture" of the media </w:t>
      </w:r>
      <w:r w:rsidR="00391FDC" w:rsidRPr="00391FDC">
        <w:rPr>
          <w:rFonts w:cs="Times New Roman"/>
          <w:lang w:val="en-GB"/>
        </w:rPr>
        <w:t>organizations</w:t>
      </w:r>
      <w:r w:rsidR="00391FDC" w:rsidRPr="00391FDC">
        <w:rPr>
          <w:rStyle w:val="FootnoteReference"/>
          <w:rFonts w:cs="Times New Roman"/>
        </w:rPr>
        <w:footnoteReference w:id="178"/>
      </w:r>
      <w:r w:rsidR="00ED0F06" w:rsidRPr="00391FDC">
        <w:rPr>
          <w:rFonts w:cs="Times New Roman"/>
          <w:lang w:val="en-GB"/>
        </w:rPr>
        <w:t>, which translates into their ineffectiveness, particularly in the violation of journalists' duties. This is paradoxical, because they are highly valued by journalists</w:t>
      </w:r>
      <w:r w:rsidR="00714BC4" w:rsidRPr="00391FDC">
        <w:rPr>
          <w:rStyle w:val="FootnoteReference"/>
          <w:rFonts w:cs="Times New Roman"/>
        </w:rPr>
        <w:footnoteReference w:id="179"/>
      </w:r>
      <w:r w:rsidR="005F04DD">
        <w:rPr>
          <w:rFonts w:cs="Times New Roman"/>
          <w:lang w:val="en-GB"/>
        </w:rPr>
        <w:t xml:space="preserve">, but the potential conflict between </w:t>
      </w:r>
      <w:r w:rsidR="00CE3485">
        <w:rPr>
          <w:rFonts w:cs="Times New Roman"/>
          <w:lang w:val="en-GB"/>
        </w:rPr>
        <w:t>personal</w:t>
      </w:r>
      <w:r w:rsidR="0063614D">
        <w:rPr>
          <w:rFonts w:cs="Times New Roman"/>
          <w:lang w:val="en-GB"/>
        </w:rPr>
        <w:t xml:space="preserve"> </w:t>
      </w:r>
      <w:r w:rsidR="005F04DD">
        <w:rPr>
          <w:rFonts w:cs="Times New Roman"/>
          <w:lang w:val="en-GB"/>
        </w:rPr>
        <w:t>interest and the</w:t>
      </w:r>
      <w:r w:rsidR="0063614D">
        <w:rPr>
          <w:rFonts w:cs="Times New Roman"/>
          <w:lang w:val="en-GB"/>
        </w:rPr>
        <w:t xml:space="preserve"> institutional</w:t>
      </w:r>
      <w:r w:rsidR="005F04DD">
        <w:rPr>
          <w:rFonts w:cs="Times New Roman"/>
          <w:lang w:val="en-GB"/>
        </w:rPr>
        <w:t xml:space="preserve"> interest</w:t>
      </w:r>
      <w:r w:rsidR="00F15AD7">
        <w:rPr>
          <w:rFonts w:cs="Times New Roman"/>
          <w:lang w:val="en-GB"/>
        </w:rPr>
        <w:t>, in an Agency Theory approach, may help explain this phenomenon</w:t>
      </w:r>
      <w:r w:rsidR="00F15AD7">
        <w:rPr>
          <w:rStyle w:val="FootnoteReference"/>
          <w:rFonts w:cs="Times New Roman"/>
          <w:lang w:val="en-GB"/>
        </w:rPr>
        <w:footnoteReference w:id="180"/>
      </w:r>
      <w:r w:rsidR="00F15AD7">
        <w:rPr>
          <w:rFonts w:cs="Times New Roman"/>
          <w:lang w:val="en-GB"/>
        </w:rPr>
        <w:t>.</w:t>
      </w:r>
    </w:p>
    <w:p w14:paraId="3C54306E" w14:textId="2811AED4" w:rsidR="00906995" w:rsidRDefault="00791BB9" w:rsidP="00172A3B">
      <w:pPr>
        <w:spacing w:line="480" w:lineRule="auto"/>
        <w:jc w:val="both"/>
        <w:rPr>
          <w:rFonts w:cs="Times New Roman"/>
          <w:lang w:val="en-GB"/>
        </w:rPr>
      </w:pPr>
      <w:r w:rsidRPr="00791BB9">
        <w:rPr>
          <w:rFonts w:cs="Times New Roman"/>
          <w:lang w:val="en-GB"/>
        </w:rPr>
        <w:t>In 2007, Chapter III-A was added to the (new) Journalist Statute, referring to the CCPJ, which is intended to be independent and responsible for ensuring the functioning of the professional accreditation system for media professionals, as well as compliance with their fundamental duties. The CCPJ is a self-regulatory body composed of eight members with a minimum of 10 years' experience as journalists and holders of professional licenses, appointed equally by professional journalists and operators in the sector, and a lawyer of recognized merit and experience in the field of media, co-opted by them by absolute majority, who chairs the body</w:t>
      </w:r>
      <w:r w:rsidR="00065210" w:rsidRPr="00791BB9">
        <w:rPr>
          <w:rFonts w:cs="Times New Roman"/>
          <w:lang w:val="en-GB"/>
        </w:rPr>
        <w:t>.</w:t>
      </w:r>
      <w:r w:rsidR="00F256DD">
        <w:rPr>
          <w:rFonts w:cs="Times New Roman"/>
          <w:lang w:val="en-GB"/>
        </w:rPr>
        <w:t xml:space="preserve"> Now, i</w:t>
      </w:r>
      <w:r w:rsidR="00F256DD" w:rsidRPr="00F256DD">
        <w:rPr>
          <w:rFonts w:cs="Times New Roman"/>
          <w:lang w:val="en-GB"/>
        </w:rPr>
        <w:t>n addition to its provision in Article 18-A of Law No. 1/99, it also stipulates that its organization and operation are defined by decree-law (which includes a disciplinary section), namely Decree-Law No. 70/2008, and the Disciplinary Statute for Journalists also stems from an executive decree, namely Notice No. 23504/2008 of the General Secretariat of the Presidency of the Council of Ministers. In other words, it is somewhat ironic that a self-regulatory structure should be created and organized on public initiative, in a form of “</w:t>
      </w:r>
      <w:r w:rsidR="00F256DD" w:rsidRPr="00F256DD">
        <w:rPr>
          <w:rFonts w:cs="Times New Roman"/>
          <w:i/>
          <w:iCs/>
          <w:lang w:val="en-GB"/>
        </w:rPr>
        <w:t>induced self-regulation</w:t>
      </w:r>
      <w:r w:rsidR="00F256DD" w:rsidRPr="00F256DD">
        <w:rPr>
          <w:rFonts w:cs="Times New Roman"/>
          <w:lang w:val="en-GB"/>
        </w:rPr>
        <w:t>”</w:t>
      </w:r>
      <w:r w:rsidR="00AD2582" w:rsidRPr="002D79FD">
        <w:rPr>
          <w:rStyle w:val="FootnoteReference"/>
          <w:rFonts w:cs="Times New Roman"/>
        </w:rPr>
        <w:footnoteReference w:id="181"/>
      </w:r>
      <w:r w:rsidR="00AD2582">
        <w:rPr>
          <w:rFonts w:cs="Times New Roman"/>
          <w:lang w:val="en-GB"/>
        </w:rPr>
        <w:t>,</w:t>
      </w:r>
      <w:r w:rsidR="00F256DD" w:rsidRPr="00F256DD">
        <w:rPr>
          <w:rFonts w:cs="Times New Roman"/>
          <w:lang w:val="en-GB"/>
        </w:rPr>
        <w:t xml:space="preserve"> with the legal definition of its field of action, namely disciplinary action, and the duties to be protected resulting from the law </w:t>
      </w:r>
      <w:r w:rsidR="00F256DD" w:rsidRPr="00F256DD">
        <w:rPr>
          <w:rFonts w:cs="Times New Roman"/>
          <w:lang w:val="en-GB"/>
        </w:rPr>
        <w:lastRenderedPageBreak/>
        <w:t xml:space="preserve">itself. In other words, in the continuum between self-regulation and </w:t>
      </w:r>
      <w:proofErr w:type="gramStart"/>
      <w:r w:rsidR="00F256DD" w:rsidRPr="00F256DD">
        <w:rPr>
          <w:rFonts w:cs="Times New Roman"/>
          <w:lang w:val="en-GB"/>
        </w:rPr>
        <w:t>hetero-regulation</w:t>
      </w:r>
      <w:proofErr w:type="gramEnd"/>
      <w:r w:rsidR="00F256DD" w:rsidRPr="00F256DD">
        <w:rPr>
          <w:rFonts w:cs="Times New Roman"/>
          <w:lang w:val="en-GB"/>
        </w:rPr>
        <w:t>, there is a growing occupation of the former by the latter, which may condition the former. Ultimately, this suggests that it is supplementary in nature, contrary to what is desirable, revealing the CCPJ to be, in the end, somewhat “hybrid”</w:t>
      </w:r>
      <w:r w:rsidR="00AD2582">
        <w:rPr>
          <w:rFonts w:cs="Times New Roman"/>
          <w:lang w:val="en-GB"/>
        </w:rPr>
        <w:t>.</w:t>
      </w:r>
      <w:r w:rsidR="00AD2582" w:rsidRPr="002D79FD">
        <w:rPr>
          <w:rStyle w:val="FootnoteReference"/>
          <w:rFonts w:cs="Times New Roman"/>
        </w:rPr>
        <w:footnoteReference w:id="182"/>
      </w:r>
      <w:r w:rsidR="00F256DD" w:rsidRPr="00F256DD">
        <w:rPr>
          <w:rFonts w:cs="Times New Roman"/>
          <w:lang w:val="en-GB"/>
        </w:rPr>
        <w:t xml:space="preserve"> This may help explain the fears of the journalistic class regarding its institution and the exercise of the powers and competences attributed to it</w:t>
      </w:r>
      <w:r w:rsidR="000746BA" w:rsidRPr="00AD2582">
        <w:rPr>
          <w:rFonts w:cs="Times New Roman"/>
          <w:lang w:val="en-GB"/>
        </w:rPr>
        <w:t>.</w:t>
      </w:r>
      <w:r w:rsidR="000746BA" w:rsidRPr="002D79FD">
        <w:rPr>
          <w:rStyle w:val="FootnoteReference"/>
          <w:rFonts w:cs="Times New Roman"/>
        </w:rPr>
        <w:footnoteReference w:id="183"/>
      </w:r>
    </w:p>
    <w:p w14:paraId="5387C6D6" w14:textId="5FA4BD05" w:rsidR="0046679F" w:rsidRDefault="004A058D" w:rsidP="00172A3B">
      <w:pPr>
        <w:spacing w:line="480" w:lineRule="auto"/>
        <w:jc w:val="both"/>
        <w:rPr>
          <w:rFonts w:cs="Times New Roman"/>
          <w:lang w:val="en-GB"/>
        </w:rPr>
      </w:pPr>
      <w:r w:rsidRPr="004A058D">
        <w:rPr>
          <w:rFonts w:cs="Times New Roman"/>
          <w:lang w:val="en-GB"/>
        </w:rPr>
        <w:t>On the other hand, Article 18-</w:t>
      </w:r>
      <w:proofErr w:type="gramStart"/>
      <w:r w:rsidRPr="004A058D">
        <w:rPr>
          <w:rFonts w:cs="Times New Roman"/>
          <w:lang w:val="en-GB"/>
        </w:rPr>
        <w:t>A(</w:t>
      </w:r>
      <w:proofErr w:type="gramEnd"/>
      <w:r w:rsidRPr="004A058D">
        <w:rPr>
          <w:rFonts w:cs="Times New Roman"/>
          <w:lang w:val="en-GB"/>
        </w:rPr>
        <w:t>3) of the Journalist Statute limits the intervention of the CCPJ's own section to assessing, judging, and sanctioning violations of the duties set out in Article 14(2) of the Journalist Statute, leaving out those in Article 14(1), i.e., those considered “fundamental”</w:t>
      </w:r>
      <w:r w:rsidRPr="002D79FD">
        <w:rPr>
          <w:rStyle w:val="FootnoteReference"/>
          <w:rFonts w:cs="Times New Roman"/>
        </w:rPr>
        <w:footnoteReference w:id="184"/>
      </w:r>
      <w:r w:rsidRPr="004A058D">
        <w:rPr>
          <w:rFonts w:cs="Times New Roman"/>
          <w:lang w:val="en-GB"/>
        </w:rPr>
        <w:t xml:space="preserve">, particularly journalistic accuracy and impartiality. Nevertheless, paragraph 2 lists duties that are important for the preservation and respect of personality rights, particularly the image, good name, and privacy of private life (see, for example, subparagraphs c, d, g, and h). </w:t>
      </w:r>
      <w:r w:rsidR="005D504F" w:rsidRPr="004A058D">
        <w:rPr>
          <w:rFonts w:cs="Times New Roman"/>
          <w:lang w:val="en-GB"/>
        </w:rPr>
        <w:t xml:space="preserve"> </w:t>
      </w:r>
    </w:p>
    <w:p w14:paraId="34863621" w14:textId="7B287968" w:rsidR="0046679F" w:rsidRPr="004339DE" w:rsidRDefault="004912D9" w:rsidP="00172A3B">
      <w:pPr>
        <w:spacing w:line="480" w:lineRule="auto"/>
        <w:jc w:val="both"/>
        <w:rPr>
          <w:rFonts w:cs="Times New Roman"/>
          <w:lang w:val="en-GB"/>
        </w:rPr>
      </w:pPr>
      <w:r w:rsidRPr="004912D9">
        <w:rPr>
          <w:rFonts w:cs="Times New Roman"/>
          <w:lang w:val="en-GB"/>
        </w:rPr>
        <w:t>It is important to emphasize that this provision of duties in Article 14 of the Journalist Statute gives them legal force and not merely ethical force, with implications in the context of the blurring between self-regulation and hetero-regulation or “regulated self-regulation” or even “frustrated self-regulation”</w:t>
      </w:r>
      <w:r w:rsidRPr="005D4BB1">
        <w:rPr>
          <w:rStyle w:val="FootnoteReference"/>
          <w:rFonts w:cs="Times New Roman"/>
          <w:lang w:val="en-GB"/>
        </w:rPr>
        <w:t xml:space="preserve"> </w:t>
      </w:r>
      <w:r w:rsidRPr="002D79FD">
        <w:rPr>
          <w:rStyle w:val="FootnoteReference"/>
          <w:rFonts w:cs="Times New Roman"/>
        </w:rPr>
        <w:footnoteReference w:id="185"/>
      </w:r>
      <w:r w:rsidRPr="004912D9">
        <w:rPr>
          <w:rFonts w:cs="Times New Roman"/>
          <w:lang w:val="en-GB"/>
        </w:rPr>
        <w:t xml:space="preserve"> on the one hand, and responsibility on the other. In other words, despite the Journalist Code of Ethics, approved on May 4, 1993, at the SJ General Assembly, and revised in 2017, this legal provision undermines its importance by legalizing ethical commands, manifesting a phenomenon of capture of areas traditionally subject to </w:t>
      </w:r>
      <w:r w:rsidRPr="004912D9">
        <w:rPr>
          <w:rFonts w:cs="Times New Roman"/>
          <w:lang w:val="en-GB"/>
        </w:rPr>
        <w:lastRenderedPageBreak/>
        <w:t>self-regulation by hetero-regulation.</w:t>
      </w:r>
      <w:r w:rsidR="005D4BB1" w:rsidRPr="002D79FD">
        <w:rPr>
          <w:rStyle w:val="FootnoteReference"/>
          <w:rFonts w:cs="Times New Roman"/>
        </w:rPr>
        <w:footnoteReference w:id="186"/>
      </w:r>
      <w:r w:rsidR="0056339A" w:rsidRPr="0056339A">
        <w:rPr>
          <w:rFonts w:cs="Times New Roman"/>
          <w:lang w:val="en-GB"/>
        </w:rPr>
        <w:t xml:space="preserve"> </w:t>
      </w:r>
      <w:r w:rsidRPr="004912D9">
        <w:rPr>
          <w:rFonts w:cs="Times New Roman"/>
          <w:lang w:val="en-GB"/>
        </w:rPr>
        <w:t>This phenomenon was probably due to a strong consensus and stability around these rules and the heavy legacy of European public regulation, as opposed to the greater preference for self-regulation in Anglo-Saxon countries</w:t>
      </w:r>
      <w:r w:rsidR="005D4BB1">
        <w:rPr>
          <w:rFonts w:cs="Times New Roman"/>
          <w:lang w:val="en-GB"/>
        </w:rPr>
        <w:t>,</w:t>
      </w:r>
      <w:r w:rsidRPr="004912D9">
        <w:rPr>
          <w:rFonts w:cs="Times New Roman"/>
          <w:lang w:val="en-GB"/>
        </w:rPr>
        <w:t xml:space="preserve"> in particular</w:t>
      </w:r>
      <w:r w:rsidR="005D4BB1">
        <w:rPr>
          <w:rFonts w:cs="Times New Roman"/>
          <w:lang w:val="en-GB"/>
        </w:rPr>
        <w:t xml:space="preserve"> in the US</w:t>
      </w:r>
      <w:r w:rsidR="00AE1689" w:rsidRPr="005D4BB1">
        <w:rPr>
          <w:rFonts w:cs="Times New Roman"/>
          <w:lang w:val="en-GB"/>
        </w:rPr>
        <w:t xml:space="preserve">. </w:t>
      </w:r>
      <w:r w:rsidR="00661AFA" w:rsidRPr="00661AFA">
        <w:rPr>
          <w:rFonts w:cs="Times New Roman"/>
          <w:lang w:val="en-GB"/>
        </w:rPr>
        <w:t>As Santos de Miranda</w:t>
      </w:r>
      <w:r w:rsidR="00661AFA" w:rsidRPr="002D79FD">
        <w:rPr>
          <w:rStyle w:val="FootnoteReference"/>
          <w:rFonts w:cs="Times New Roman"/>
        </w:rPr>
        <w:footnoteReference w:id="187"/>
      </w:r>
      <w:r w:rsidR="00661AFA" w:rsidRPr="00661AFA">
        <w:rPr>
          <w:rFonts w:cs="Times New Roman"/>
          <w:lang w:val="en-GB"/>
        </w:rPr>
        <w:t xml:space="preserve"> rightly points out, "</w:t>
      </w:r>
      <w:r w:rsidR="00661AFA" w:rsidRPr="00661AFA">
        <w:rPr>
          <w:rFonts w:cs="Times New Roman"/>
          <w:i/>
          <w:iCs/>
          <w:lang w:val="en-GB"/>
        </w:rPr>
        <w:t>from 1999 onwards, (...) a process began to reproduce the ethical framework in the ‘fundamental duties’ of the Journalist Statute, giving them the force of law. With regard to monitoring compliance with these standards, the incorporation of ethics into law filled a large gap between moral censorship—imposed by the CDSJ—and civil or criminal liability—examined in court.</w:t>
      </w:r>
      <w:r w:rsidR="00661AFA" w:rsidRPr="00661AFA">
        <w:rPr>
          <w:rFonts w:cs="Times New Roman"/>
          <w:lang w:val="en-GB"/>
        </w:rPr>
        <w:t>" This solution was, strangely, criticized by the ERC in 2011</w:t>
      </w:r>
      <w:r w:rsidR="00661AFA" w:rsidRPr="002D79FD">
        <w:rPr>
          <w:rStyle w:val="FootnoteReference"/>
          <w:rFonts w:cs="Times New Roman"/>
        </w:rPr>
        <w:footnoteReference w:id="188"/>
      </w:r>
      <w:r w:rsidR="00661AFA" w:rsidRPr="00661AFA">
        <w:rPr>
          <w:rFonts w:cs="Times New Roman"/>
          <w:lang w:val="en-GB"/>
        </w:rPr>
        <w:t>, even though this legalization (of ethical duties and the ERC's competence in this matter) makes its pronouncement on ethical matters legitimate and inevitable</w:t>
      </w:r>
      <w:r w:rsidR="00B5119C" w:rsidRPr="002D79FD">
        <w:rPr>
          <w:rStyle w:val="FootnoteReference"/>
          <w:rFonts w:cs="Times New Roman"/>
        </w:rPr>
        <w:footnoteReference w:id="189"/>
      </w:r>
      <w:r w:rsidR="00C02121" w:rsidRPr="004339DE">
        <w:rPr>
          <w:rFonts w:cs="Times New Roman"/>
          <w:lang w:val="en-GB"/>
        </w:rPr>
        <w:t>.</w:t>
      </w:r>
    </w:p>
    <w:p w14:paraId="0BFFA0E1" w14:textId="2B9FEF99" w:rsidR="00641BBE" w:rsidRPr="00B50E9E" w:rsidRDefault="004339DE" w:rsidP="00172A3B">
      <w:pPr>
        <w:spacing w:line="480" w:lineRule="auto"/>
        <w:jc w:val="both"/>
        <w:rPr>
          <w:rFonts w:cs="Times New Roman"/>
          <w:lang w:val="en-GB"/>
        </w:rPr>
      </w:pPr>
      <w:r w:rsidRPr="004339DE">
        <w:rPr>
          <w:rFonts w:cs="Times New Roman"/>
          <w:lang w:val="en-GB"/>
        </w:rPr>
        <w:t xml:space="preserve">As for disciplinary proceedings, in accordance with Article 24 of Decree-Law No. 70/2008 and the provisions of the Disciplinary Statute for Journalists, they are initiated by the CCPJ ex officio (which is not frequent given the shortage of staff and resources) or following a complaint by a person who has been directly affected by the disciplinary offense, or by the newsroom council of the media organization where it was committed (which is extremely rare, not least because newsroom councils themselves are few and far between), when its internal powers in this area have been exhausted. It is incumbent upon the disciplinary section, composed of three journalists, pursuant to Article 25 of this Decree-Law, to assess, judge, and sanction violations of the professional duties listed in Article 14(2) of the Journalist Statute, with the right of appeal, with suspensive effect, to the plenary session of </w:t>
      </w:r>
      <w:r w:rsidRPr="004339DE">
        <w:rPr>
          <w:rFonts w:cs="Times New Roman"/>
          <w:lang w:val="en-GB"/>
        </w:rPr>
        <w:lastRenderedPageBreak/>
        <w:t xml:space="preserve">the CCPJ. Furthermore, these decisions of the CCPJ, which refer only to the conduct of individual journalists, are subject to appeal, under general terms, to the administrative courts. The applicable disciplinary sanctions, in accordance with Article 23 of Decree-Law No. 70/2008 and Article 8 et seq. of the Journalists' Disciplinary Statute, are defined </w:t>
      </w:r>
      <w:proofErr w:type="gramStart"/>
      <w:r w:rsidRPr="004339DE">
        <w:rPr>
          <w:rFonts w:cs="Times New Roman"/>
          <w:lang w:val="en-GB"/>
        </w:rPr>
        <w:t>taking into account</w:t>
      </w:r>
      <w:proofErr w:type="gramEnd"/>
      <w:r w:rsidRPr="004339DE">
        <w:rPr>
          <w:rFonts w:cs="Times New Roman"/>
          <w:lang w:val="en-GB"/>
        </w:rPr>
        <w:t xml:space="preserve"> the seriousness of the offense, the guilt, and the disciplinary record of the agent and are mainly of a soft nature, namely: a registered warning and a written reprimand. </w:t>
      </w:r>
      <w:r w:rsidR="00B50E9E" w:rsidRPr="00B50E9E">
        <w:rPr>
          <w:rFonts w:cs="Times New Roman"/>
          <w:lang w:val="en-GB"/>
        </w:rPr>
        <w:t xml:space="preserve">The suspension of professional activity for up to 12 months is also provided for, which is more severe, but this can only be applied when the agent has been sanctioned at least twice in the previous three years with a written reprimand, or once with the same suspension penalty. In comparison with other disciplinary regulations, </w:t>
      </w:r>
      <w:proofErr w:type="gramStart"/>
      <w:r w:rsidR="00B50E9E" w:rsidRPr="00B50E9E">
        <w:rPr>
          <w:rFonts w:cs="Times New Roman"/>
          <w:lang w:val="en-GB"/>
        </w:rPr>
        <w:t>it can be seen that not</w:t>
      </w:r>
      <w:proofErr w:type="gramEnd"/>
      <w:r w:rsidR="00B50E9E" w:rsidRPr="00B50E9E">
        <w:rPr>
          <w:rFonts w:cs="Times New Roman"/>
          <w:lang w:val="en-GB"/>
        </w:rPr>
        <w:t xml:space="preserve"> only is the range of penalties smaller and less widely applicable, but there is also no provision for permanent suspension of professional accreditation or any financial penalty (except in the case of copyright infringement)</w:t>
      </w:r>
      <w:r w:rsidR="008F6C40" w:rsidRPr="00B50E9E">
        <w:rPr>
          <w:rFonts w:cs="Times New Roman"/>
          <w:lang w:val="en-GB"/>
        </w:rPr>
        <w:t>.</w:t>
      </w:r>
      <w:r w:rsidR="008F6C40" w:rsidRPr="002D79FD">
        <w:rPr>
          <w:rStyle w:val="FootnoteReference"/>
          <w:rFonts w:cs="Times New Roman"/>
        </w:rPr>
        <w:footnoteReference w:id="190"/>
      </w:r>
      <w:r w:rsidR="0013259C" w:rsidRPr="00B50E9E">
        <w:rPr>
          <w:rFonts w:cs="Times New Roman"/>
          <w:lang w:val="en-GB"/>
        </w:rPr>
        <w:t xml:space="preserve"> </w:t>
      </w:r>
      <w:r w:rsidR="00C33E69" w:rsidRPr="00B50E9E">
        <w:rPr>
          <w:rFonts w:cs="Times New Roman"/>
          <w:lang w:val="en-GB"/>
        </w:rPr>
        <w:tab/>
      </w:r>
    </w:p>
    <w:p w14:paraId="0A2F10CE" w14:textId="66B51AA2" w:rsidR="00DA6CDB" w:rsidRPr="0000105A" w:rsidRDefault="00542C57" w:rsidP="00172A3B">
      <w:pPr>
        <w:spacing w:line="480" w:lineRule="auto"/>
        <w:jc w:val="both"/>
        <w:rPr>
          <w:rFonts w:cs="Times New Roman"/>
          <w:lang w:val="en-GB"/>
        </w:rPr>
      </w:pPr>
      <w:r w:rsidRPr="00542C57">
        <w:rPr>
          <w:rFonts w:cs="Times New Roman"/>
          <w:lang w:val="en-GB"/>
        </w:rPr>
        <w:t>Furthermore, although Article 11 of the Disciplinary Statute for Journalists provides for the publication of the penalty on the CCPJ website, in reality its often untimely nature and its removal from the media that published the journalistic piece greatly weakens the moral decision taken and reduces its symbolic, preventive, and educational power.</w:t>
      </w:r>
      <w:r w:rsidR="00C56E4F" w:rsidRPr="002D79FD">
        <w:rPr>
          <w:rStyle w:val="FootnoteReference"/>
          <w:rFonts w:cs="Times New Roman"/>
        </w:rPr>
        <w:footnoteReference w:id="191"/>
      </w:r>
      <w:r>
        <w:rPr>
          <w:rFonts w:cs="Times New Roman"/>
          <w:lang w:val="en-GB"/>
        </w:rPr>
        <w:t xml:space="preserve"> </w:t>
      </w:r>
      <w:r w:rsidR="0000105A" w:rsidRPr="0000105A">
        <w:rPr>
          <w:rFonts w:cs="Times New Roman"/>
          <w:lang w:val="en-GB"/>
        </w:rPr>
        <w:t>Finally, it should be noted that only a negligible number of cases handled by the CCPJ relate to disciplinary proceedings, namely 2.7%, with the overwhelming majority focusing on more procedural issues such as practicing without accreditation or professional incompatibilities.</w:t>
      </w:r>
      <w:r w:rsidR="0010682E" w:rsidRPr="002D79FD">
        <w:rPr>
          <w:rStyle w:val="FootnoteReference"/>
          <w:rFonts w:cs="Times New Roman"/>
        </w:rPr>
        <w:footnoteReference w:id="192"/>
      </w:r>
      <w:r w:rsidR="00020BC9" w:rsidRPr="0000105A">
        <w:rPr>
          <w:rFonts w:cs="Times New Roman"/>
          <w:lang w:val="en-GB"/>
        </w:rPr>
        <w:t xml:space="preserve"> </w:t>
      </w:r>
      <w:r w:rsidR="00714EBF" w:rsidRPr="00714EBF">
        <w:rPr>
          <w:rFonts w:cs="Times New Roman"/>
          <w:lang w:val="en-GB"/>
        </w:rPr>
        <w:t>These figures reveal the structural fragility of the CCPJ.</w:t>
      </w:r>
      <w:r w:rsidR="00C33E69" w:rsidRPr="0000105A">
        <w:rPr>
          <w:rFonts w:cs="Times New Roman"/>
          <w:lang w:val="en-GB"/>
        </w:rPr>
        <w:tab/>
      </w:r>
      <w:r w:rsidR="00C33E69" w:rsidRPr="0000105A">
        <w:rPr>
          <w:rFonts w:cs="Times New Roman"/>
          <w:lang w:val="en-GB"/>
        </w:rPr>
        <w:tab/>
      </w:r>
      <w:r w:rsidR="00C33E69" w:rsidRPr="0000105A">
        <w:rPr>
          <w:rFonts w:cs="Times New Roman"/>
          <w:lang w:val="en-GB"/>
        </w:rPr>
        <w:tab/>
      </w:r>
    </w:p>
    <w:p w14:paraId="2CD915CB" w14:textId="40B765FC" w:rsidR="00BC4B2C" w:rsidRDefault="00E22BC4" w:rsidP="00172A3B">
      <w:pPr>
        <w:spacing w:line="480" w:lineRule="auto"/>
        <w:jc w:val="both"/>
        <w:rPr>
          <w:rFonts w:cs="Times New Roman"/>
          <w:lang w:val="en-GB"/>
        </w:rPr>
      </w:pPr>
      <w:r w:rsidRPr="00E22BC4">
        <w:rPr>
          <w:rFonts w:cs="Times New Roman"/>
          <w:lang w:val="en-GB"/>
        </w:rPr>
        <w:lastRenderedPageBreak/>
        <w:t>The CDSJ is, in turn, possibly the only true self-regulatory institution in Portugal, not least because its creation did not historically depend on public or legislative impetus and its funding is exclusively provided by the SJ, without relying on public support. It is an autonomous body of the SJ that ensures compliance with ethical standards and professional conduct and may, regardless of the existence of a prior complaint – i.e., ex officio if deemed necessary – issue opinions, recommendations, and statements regarding the professional conduct of journalists from a deontological perspective, regardless of the media organization (and respective platforms) in which their work is published.</w:t>
      </w:r>
    </w:p>
    <w:p w14:paraId="5A4A2D60" w14:textId="25C38EE6" w:rsidR="00435C4E" w:rsidRDefault="00171B5A" w:rsidP="00172A3B">
      <w:pPr>
        <w:spacing w:line="480" w:lineRule="auto"/>
        <w:jc w:val="both"/>
        <w:rPr>
          <w:rFonts w:cs="Times New Roman"/>
          <w:lang w:val="en-GB"/>
        </w:rPr>
      </w:pPr>
      <w:r w:rsidRPr="00171B5A">
        <w:rPr>
          <w:rFonts w:cs="Times New Roman"/>
          <w:lang w:val="en-GB"/>
        </w:rPr>
        <w:t>According to Article 39 of the Journalists' Union Statutes</w:t>
      </w:r>
      <w:r w:rsidRPr="002D79FD">
        <w:rPr>
          <w:rStyle w:val="FootnoteReference"/>
          <w:rFonts w:cs="Times New Roman"/>
        </w:rPr>
        <w:footnoteReference w:id="193"/>
      </w:r>
      <w:r w:rsidRPr="00171B5A">
        <w:rPr>
          <w:rFonts w:cs="Times New Roman"/>
          <w:lang w:val="en-GB"/>
        </w:rPr>
        <w:t>, it is composed of five full members elected at the same time as the other governing bodies, namely a president, a vice-president, a secretary, and two members. Elections for the CDSJ are held on a separate list from the other governing bodies, which is intended to demonstrate and guarantee its autonomy from the Union and its governing bodies. However, despite the early intention that the CDSJ should cover all journalists, whether unionized or not, the Portuguese Labor Code does not allow a private association of workers</w:t>
      </w:r>
      <w:r w:rsidRPr="002D79FD">
        <w:rPr>
          <w:rStyle w:val="FootnoteReference"/>
          <w:rFonts w:cs="Times New Roman"/>
        </w:rPr>
        <w:footnoteReference w:id="194"/>
      </w:r>
      <w:r w:rsidRPr="00171B5A">
        <w:rPr>
          <w:rFonts w:cs="Times New Roman"/>
          <w:lang w:val="en-GB"/>
        </w:rPr>
        <w:t xml:space="preserve">, even if it has functions of collective interest, to </w:t>
      </w:r>
      <w:proofErr w:type="gramStart"/>
      <w:r w:rsidRPr="00171B5A">
        <w:rPr>
          <w:rFonts w:cs="Times New Roman"/>
          <w:lang w:val="en-GB"/>
        </w:rPr>
        <w:t>have an effect on</w:t>
      </w:r>
      <w:proofErr w:type="gramEnd"/>
      <w:r w:rsidRPr="00171B5A">
        <w:rPr>
          <w:rFonts w:cs="Times New Roman"/>
          <w:lang w:val="en-GB"/>
        </w:rPr>
        <w:t xml:space="preserve"> non-members, thus frustrating the desire for greater autonomy. The low number of union members further weakens its role</w:t>
      </w:r>
      <w:r w:rsidR="001116B1" w:rsidRPr="009C0748">
        <w:rPr>
          <w:rFonts w:cs="Times New Roman"/>
          <w:lang w:val="en-GB"/>
        </w:rPr>
        <w:t>.</w:t>
      </w:r>
    </w:p>
    <w:p w14:paraId="0E8D6729" w14:textId="08053446" w:rsidR="00E37F5D" w:rsidRDefault="00691C79" w:rsidP="00172A3B">
      <w:pPr>
        <w:spacing w:line="480" w:lineRule="auto"/>
        <w:jc w:val="both"/>
        <w:rPr>
          <w:rFonts w:cs="Times New Roman"/>
          <w:lang w:val="en-GB"/>
        </w:rPr>
      </w:pPr>
      <w:r w:rsidRPr="00691C79">
        <w:rPr>
          <w:rFonts w:cs="Times New Roman"/>
          <w:lang w:val="en-GB"/>
        </w:rPr>
        <w:t>An analysis of its regulations</w:t>
      </w:r>
      <w:r w:rsidRPr="002D79FD">
        <w:rPr>
          <w:rStyle w:val="FootnoteReference"/>
          <w:rFonts w:cs="Times New Roman"/>
        </w:rPr>
        <w:footnoteReference w:id="195"/>
      </w:r>
      <w:r w:rsidRPr="00691C79">
        <w:rPr>
          <w:rFonts w:cs="Times New Roman"/>
          <w:lang w:val="en-GB"/>
        </w:rPr>
        <w:t xml:space="preserve"> shows that it has powers, for the purposes of this matter, in accordance with subparagraphs a) and b) of Article 2 (already provided for in paragraphs b) and c) of Article 40 of the Union's Statutes), with regard to the analysis of cases of possible breaches of the Code of Ethics, the Statutes of the Journalists' Union, and the Journalist's </w:t>
      </w:r>
      <w:r w:rsidRPr="00691C79">
        <w:rPr>
          <w:rFonts w:cs="Times New Roman"/>
          <w:lang w:val="en-GB"/>
        </w:rPr>
        <w:lastRenderedPageBreak/>
        <w:t>Statute, and with regard to the issuance of opinions on complaints or statements. It may also issue statements, make recommendations, and prepare studies and reports on professional and ethical issues on which it is consulted by the various bodies of the SJ, by any journalist, and by any individual or legal entity, or public or private institution. In the event of a complaint about the work of journalists, under the terms of Article 4(1), whether they are considered individually or whether a media outlet or the media in general is involved, a reasoned opinion shall be issued if the complaint is considered to be valid, or it shall be dismissed if it is found to be invalid. The complainants and the parties concerned are given time to respond and, in the case of the latter, they have the right to see the full complaint or complaints filed against them.</w:t>
      </w:r>
      <w:r w:rsidR="00E37F5D">
        <w:rPr>
          <w:rFonts w:cs="Times New Roman"/>
          <w:lang w:val="en-GB"/>
        </w:rPr>
        <w:t xml:space="preserve"> </w:t>
      </w:r>
      <w:r w:rsidR="00E37F5D" w:rsidRPr="00E37F5D">
        <w:rPr>
          <w:rFonts w:cs="Times New Roman"/>
          <w:lang w:val="en-GB"/>
        </w:rPr>
        <w:t>It is worth noting that although paragraph 1 only refers to the issuance of a reasoned opinion, paragraph 4 of the same article provides that the parties concerned may request the CDSJ to review the recommendation or opinion on the complaints. In other words, it appears that, in addition to an opinion, the outcome of the assessment of a complaint for breach of a journalist's duties may be a recommendation, i.e., under the terms of Article 3(b) of the Regulations, rules of conduct, suggestions for future procedures aimed at contributing to the better exercise of the profession of journalism.</w:t>
      </w:r>
    </w:p>
    <w:p w14:paraId="1402AC0C" w14:textId="494DFFD3" w:rsidR="009C393A" w:rsidRPr="003C332A" w:rsidRDefault="00743D2B" w:rsidP="00172A3B">
      <w:pPr>
        <w:spacing w:line="480" w:lineRule="auto"/>
        <w:jc w:val="both"/>
        <w:rPr>
          <w:rFonts w:cs="Times New Roman"/>
          <w:lang w:val="en-GB"/>
        </w:rPr>
      </w:pPr>
      <w:r w:rsidRPr="00743D2B">
        <w:rPr>
          <w:rFonts w:cs="Times New Roman"/>
          <w:lang w:val="en-GB"/>
        </w:rPr>
        <w:t xml:space="preserve">The sanctions to be applied are therefore eminently moral and soft in nature, even though they are expected to be published in full on the Union's website (and not just summaries, as is currently the case with the CCPJ), with their potential punitive (shaming) role, but also persuasive and educational, possibly more suited to the ethical nature of the duties, even if they are legalized. In fact, their role is limited by the fact that the CDSJ, due to its intrinsic connection to the Union (which is not a professional order with regulatory and punitive powers), can only consider journalists who are members and associates of the Union, in accordance with Article 443 of the Labor Code. However, due to the type of sanction chosen, which is recommendatory and explanatory in nature, and its publicity, it ends up </w:t>
      </w:r>
      <w:r w:rsidRPr="00743D2B">
        <w:rPr>
          <w:rFonts w:cs="Times New Roman"/>
          <w:lang w:val="en-GB"/>
        </w:rPr>
        <w:lastRenderedPageBreak/>
        <w:t>having an impact on the profession, regardless of union membership</w:t>
      </w:r>
      <w:r w:rsidR="00CE26BA" w:rsidRPr="002D79FD">
        <w:rPr>
          <w:rStyle w:val="FootnoteReference"/>
          <w:rFonts w:cs="Times New Roman"/>
        </w:rPr>
        <w:footnoteReference w:id="196"/>
      </w:r>
      <w:r w:rsidRPr="00743D2B">
        <w:rPr>
          <w:rFonts w:cs="Times New Roman"/>
          <w:lang w:val="en-GB"/>
        </w:rPr>
        <w:t>, even if the role of the CDSJ has been undervalued in practice by journalists themselves</w:t>
      </w:r>
      <w:r w:rsidR="00CE26BA" w:rsidRPr="002D79FD">
        <w:rPr>
          <w:rStyle w:val="FootnoteReference"/>
          <w:rFonts w:cs="Times New Roman"/>
        </w:rPr>
        <w:footnoteReference w:id="197"/>
      </w:r>
      <w:r w:rsidRPr="00743D2B">
        <w:rPr>
          <w:rFonts w:cs="Times New Roman"/>
          <w:lang w:val="en-GB"/>
        </w:rPr>
        <w:t>, leading to its ineffectiveness, poor operability, and even impunity for ethical non-compliance</w:t>
      </w:r>
      <w:r w:rsidR="00150EDE" w:rsidRPr="002D79FD">
        <w:rPr>
          <w:rStyle w:val="FootnoteReference"/>
          <w:rFonts w:cs="Times New Roman"/>
        </w:rPr>
        <w:footnoteReference w:id="198"/>
      </w:r>
      <w:r w:rsidRPr="00743D2B">
        <w:rPr>
          <w:rFonts w:cs="Times New Roman"/>
          <w:lang w:val="en-GB"/>
        </w:rPr>
        <w:t>, in an apparent “corporate drift” towards protecting the profession</w:t>
      </w:r>
      <w:r w:rsidR="00B101B3" w:rsidRPr="002D79FD">
        <w:rPr>
          <w:rStyle w:val="FootnoteReference"/>
          <w:rFonts w:cs="Times New Roman"/>
        </w:rPr>
        <w:footnoteReference w:id="199"/>
      </w:r>
      <w:r w:rsidR="00780FB0" w:rsidRPr="00CE26BA">
        <w:rPr>
          <w:rFonts w:cs="Times New Roman"/>
          <w:lang w:val="en-GB"/>
        </w:rPr>
        <w:t>.</w:t>
      </w:r>
      <w:r w:rsidR="00E86661" w:rsidRPr="00CE26BA">
        <w:rPr>
          <w:rFonts w:cs="Times New Roman"/>
          <w:lang w:val="en-GB"/>
        </w:rPr>
        <w:t xml:space="preserve"> </w:t>
      </w:r>
      <w:proofErr w:type="spellStart"/>
      <w:r w:rsidR="003C332A" w:rsidRPr="003C332A">
        <w:rPr>
          <w:rFonts w:cs="Times New Roman"/>
          <w:lang w:val="en-GB"/>
        </w:rPr>
        <w:t>Camponez</w:t>
      </w:r>
      <w:proofErr w:type="spellEnd"/>
      <w:r w:rsidR="003C332A" w:rsidRPr="002D79FD">
        <w:rPr>
          <w:rStyle w:val="FootnoteReference"/>
          <w:rFonts w:cs="Times New Roman"/>
        </w:rPr>
        <w:footnoteReference w:id="200"/>
      </w:r>
      <w:r w:rsidR="003C332A" w:rsidRPr="003C332A">
        <w:rPr>
          <w:rFonts w:cs="Times New Roman"/>
          <w:lang w:val="en-GB"/>
        </w:rPr>
        <w:t xml:space="preserve">, incidentally, identifies in his survey a marginal number of cases relating to breaches of ethical standards in the CDSJ. </w:t>
      </w:r>
      <w:r w:rsidR="00280DAD" w:rsidRPr="003C332A">
        <w:rPr>
          <w:rFonts w:cs="Times New Roman"/>
          <w:lang w:val="en-GB"/>
        </w:rPr>
        <w:t xml:space="preserve"> </w:t>
      </w:r>
    </w:p>
    <w:p w14:paraId="5B283FCE" w14:textId="376F2CB1" w:rsidR="003E1CE4" w:rsidRDefault="005B3AB7" w:rsidP="00172A3B">
      <w:pPr>
        <w:spacing w:line="480" w:lineRule="auto"/>
        <w:jc w:val="both"/>
        <w:rPr>
          <w:rFonts w:cs="Times New Roman"/>
          <w:lang w:val="en-GB"/>
        </w:rPr>
      </w:pPr>
      <w:r w:rsidRPr="005B3AB7">
        <w:rPr>
          <w:rFonts w:cs="Times New Roman"/>
          <w:lang w:val="en-GB"/>
        </w:rPr>
        <w:t xml:space="preserve">Those targeted may appeal in any case, and if the appeal is accepted (although the Regulation does not determine the criteria and conditions for this), a new rapporteur will be appointed and the process will return to the beginning, being </w:t>
      </w:r>
      <w:proofErr w:type="spellStart"/>
      <w:r w:rsidRPr="005B3AB7">
        <w:rPr>
          <w:rFonts w:cs="Times New Roman"/>
          <w:lang w:val="en-GB"/>
        </w:rPr>
        <w:t>analyzed</w:t>
      </w:r>
      <w:proofErr w:type="spellEnd"/>
      <w:r w:rsidRPr="005B3AB7">
        <w:rPr>
          <w:rFonts w:cs="Times New Roman"/>
          <w:lang w:val="en-GB"/>
        </w:rPr>
        <w:t xml:space="preserve"> by a member of the CDSJ who did not participate in the preparation of the opinion or recommendation and by an expert of recognized merit whom the CDSJ decides to consult to evaluate the appeal of the complaint. To improve this review and make it more independent, in 2024, a new Article 5 was added to the Regulations, providing for the creation of a Consultation Group consisting of a minimum of four and a maximum of six members, made up of journalists of recognized merit and professional experience, researchers, and university professors in Journalism and Communication.</w:t>
      </w:r>
    </w:p>
    <w:p w14:paraId="51A84781" w14:textId="77777777" w:rsidR="000B4A05" w:rsidRPr="005B3AB7" w:rsidRDefault="000B4A05" w:rsidP="00172A3B">
      <w:pPr>
        <w:spacing w:line="480" w:lineRule="auto"/>
        <w:jc w:val="both"/>
        <w:rPr>
          <w:rFonts w:cs="Times New Roman"/>
          <w:lang w:val="en-GB"/>
        </w:rPr>
      </w:pPr>
    </w:p>
    <w:p w14:paraId="346CFF57" w14:textId="1764EB25" w:rsidR="00BA3F94" w:rsidRPr="002D79FD" w:rsidRDefault="00BA3F94" w:rsidP="00172A3B">
      <w:pPr>
        <w:spacing w:line="480" w:lineRule="auto"/>
        <w:jc w:val="both"/>
        <w:rPr>
          <w:rFonts w:cs="Times New Roman"/>
          <w:b/>
          <w:bCs/>
          <w:lang w:val="en-GB"/>
        </w:rPr>
      </w:pPr>
      <w:r w:rsidRPr="002D79FD">
        <w:rPr>
          <w:rFonts w:cs="Times New Roman"/>
          <w:b/>
          <w:bCs/>
          <w:lang w:val="en-GB"/>
        </w:rPr>
        <w:lastRenderedPageBreak/>
        <w:t xml:space="preserve">4.3. </w:t>
      </w:r>
      <w:r w:rsidR="00F5435C" w:rsidRPr="002D79FD">
        <w:rPr>
          <w:rFonts w:cs="Times New Roman"/>
          <w:b/>
          <w:bCs/>
          <w:lang w:val="en-GB"/>
        </w:rPr>
        <w:t xml:space="preserve">Between self and hetero-regulation and supervision: </w:t>
      </w:r>
      <w:r w:rsidRPr="002D79FD">
        <w:rPr>
          <w:rFonts w:cs="Times New Roman"/>
          <w:b/>
          <w:bCs/>
          <w:lang w:val="en-GB"/>
        </w:rPr>
        <w:t xml:space="preserve">Symbolic Ethics, </w:t>
      </w:r>
      <w:r w:rsidR="00987D34" w:rsidRPr="002D79FD">
        <w:rPr>
          <w:rFonts w:cs="Times New Roman"/>
          <w:b/>
          <w:bCs/>
          <w:lang w:val="en-GB"/>
        </w:rPr>
        <w:t>n</w:t>
      </w:r>
      <w:r w:rsidRPr="002D79FD">
        <w:rPr>
          <w:rFonts w:cs="Times New Roman"/>
          <w:b/>
          <w:bCs/>
          <w:lang w:val="en-GB"/>
        </w:rPr>
        <w:t xml:space="preserve">ormative </w:t>
      </w:r>
      <w:r w:rsidR="00987D34" w:rsidRPr="002D79FD">
        <w:rPr>
          <w:rFonts w:cs="Times New Roman"/>
          <w:b/>
          <w:bCs/>
          <w:lang w:val="en-GB"/>
        </w:rPr>
        <w:t>and institutional tensions</w:t>
      </w:r>
      <w:r w:rsidRPr="002D79FD">
        <w:rPr>
          <w:rFonts w:cs="Times New Roman"/>
          <w:b/>
          <w:bCs/>
          <w:lang w:val="en-GB"/>
        </w:rPr>
        <w:t xml:space="preserve"> and </w:t>
      </w:r>
      <w:r w:rsidR="00906B21" w:rsidRPr="002D79FD">
        <w:rPr>
          <w:rFonts w:cs="Times New Roman"/>
          <w:b/>
          <w:bCs/>
          <w:lang w:val="en-GB"/>
        </w:rPr>
        <w:t>i</w:t>
      </w:r>
      <w:r w:rsidRPr="002D79FD">
        <w:rPr>
          <w:rFonts w:cs="Times New Roman"/>
          <w:b/>
          <w:bCs/>
          <w:lang w:val="en-GB"/>
        </w:rPr>
        <w:t>nconsistent Enforcement</w:t>
      </w:r>
    </w:p>
    <w:p w14:paraId="7B6CDECC" w14:textId="27E3BE10" w:rsidR="00EA7332" w:rsidRPr="00677288" w:rsidRDefault="00EA7332" w:rsidP="00172A3B">
      <w:pPr>
        <w:spacing w:line="480" w:lineRule="auto"/>
        <w:jc w:val="both"/>
        <w:rPr>
          <w:rFonts w:cs="Times New Roman"/>
          <w:lang w:val="en-GB"/>
        </w:rPr>
      </w:pPr>
      <w:r w:rsidRPr="00EA7332">
        <w:rPr>
          <w:rFonts w:cs="Times New Roman"/>
          <w:lang w:val="en-GB"/>
        </w:rPr>
        <w:t xml:space="preserve">As a result of the above </w:t>
      </w:r>
      <w:r w:rsidR="0004735F">
        <w:rPr>
          <w:rFonts w:cs="Times New Roman"/>
          <w:lang w:val="en-GB"/>
        </w:rPr>
        <w:t>sections</w:t>
      </w:r>
      <w:r w:rsidRPr="00EA7332">
        <w:rPr>
          <w:rFonts w:cs="Times New Roman"/>
          <w:lang w:val="en-GB"/>
        </w:rPr>
        <w:t>, cases involving violations of journalists' duties may be pursued simultaneously and independently in various instances, through hetero- and self-regulation, albeit with slightly different scopes, and even judicially and disciplinarily by the employer</w:t>
      </w:r>
      <w:r w:rsidR="00677288" w:rsidRPr="002D79FD">
        <w:rPr>
          <w:rStyle w:val="FootnoteReference"/>
          <w:rFonts w:cs="Times New Roman"/>
        </w:rPr>
        <w:footnoteReference w:id="201"/>
      </w:r>
      <w:r w:rsidRPr="00EA7332">
        <w:rPr>
          <w:rFonts w:cs="Times New Roman"/>
          <w:lang w:val="en-GB"/>
        </w:rPr>
        <w:t xml:space="preserve">. </w:t>
      </w:r>
      <w:r w:rsidRPr="00677288">
        <w:rPr>
          <w:rFonts w:cs="Times New Roman"/>
          <w:lang w:val="en-GB"/>
        </w:rPr>
        <w:t>Ultimately, their assessments may not necessarily coincide. Take, as Martins</w:t>
      </w:r>
      <w:r w:rsidR="00677288" w:rsidRPr="002D79FD">
        <w:rPr>
          <w:rStyle w:val="FootnoteReference"/>
          <w:rFonts w:cs="Times New Roman"/>
        </w:rPr>
        <w:footnoteReference w:id="202"/>
      </w:r>
      <w:r w:rsidRPr="00677288">
        <w:rPr>
          <w:rFonts w:cs="Times New Roman"/>
          <w:lang w:val="en-GB"/>
        </w:rPr>
        <w:t xml:space="preserve"> recalls, the case of the ERC and CDSJ ruling on the reproduction of wiretapped telephone conversations between two socialist politicians by two daily newspapers in 2010. While the ERC concluded that the disclosure of the wiretapped telephone conversation was not in the public interest, violating the principle of proportionality in the </w:t>
      </w:r>
      <w:proofErr w:type="spellStart"/>
      <w:r w:rsidRPr="00677288">
        <w:rPr>
          <w:rFonts w:cs="Times New Roman"/>
          <w:lang w:val="en-GB"/>
        </w:rPr>
        <w:t>fulfillment</w:t>
      </w:r>
      <w:proofErr w:type="spellEnd"/>
      <w:r w:rsidRPr="00677288">
        <w:rPr>
          <w:rFonts w:cs="Times New Roman"/>
          <w:lang w:val="en-GB"/>
        </w:rPr>
        <w:t xml:space="preserve"> of journalistic duties and, consequently, the fundamental rights of those involved, the CDSJ recognized, on the contrary, the political interest of the matter.</w:t>
      </w:r>
    </w:p>
    <w:p w14:paraId="0B09CF21" w14:textId="5994B4A0" w:rsidR="00CC6013" w:rsidRPr="007D399D" w:rsidRDefault="00EC144F" w:rsidP="00172A3B">
      <w:pPr>
        <w:spacing w:line="480" w:lineRule="auto"/>
        <w:jc w:val="both"/>
        <w:rPr>
          <w:rFonts w:cs="Times New Roman"/>
          <w:lang w:val="en-GB"/>
        </w:rPr>
      </w:pPr>
      <w:r w:rsidRPr="00EC144F">
        <w:rPr>
          <w:rFonts w:cs="Times New Roman"/>
          <w:lang w:val="en-GB"/>
        </w:rPr>
        <w:t xml:space="preserve">This case therefore suggests a reflection on the interaction between the different forms of media regulation and their diverse scope and purpose, particularly </w:t>
      </w:r>
      <w:proofErr w:type="gramStart"/>
      <w:r w:rsidRPr="00EC144F">
        <w:rPr>
          <w:rFonts w:cs="Times New Roman"/>
          <w:lang w:val="en-GB"/>
        </w:rPr>
        <w:t>with regard to</w:t>
      </w:r>
      <w:proofErr w:type="gramEnd"/>
      <w:r w:rsidRPr="00EC144F">
        <w:rPr>
          <w:rFonts w:cs="Times New Roman"/>
          <w:lang w:val="en-GB"/>
        </w:rPr>
        <w:t xml:space="preserve"> the duties of journalists and the protection of the right to be informed and the personality rights of citizens. The diversity of conclusions may not</w:t>
      </w:r>
      <w:proofErr w:type="gramStart"/>
      <w:r w:rsidRPr="00EC144F">
        <w:rPr>
          <w:rFonts w:cs="Times New Roman"/>
          <w:lang w:val="en-GB"/>
        </w:rPr>
        <w:t>, in itself, indicate</w:t>
      </w:r>
      <w:proofErr w:type="gramEnd"/>
      <w:r w:rsidRPr="00EC144F">
        <w:rPr>
          <w:rFonts w:cs="Times New Roman"/>
          <w:lang w:val="en-GB"/>
        </w:rPr>
        <w:t xml:space="preserve"> a weakness in the system, but rather an expression of freedom of thought and judgment, based on different assessment criteria depending on the mission of each institution. However, the media coverage of these differences can publicly erode confidence in regulation/supervision and </w:t>
      </w:r>
      <w:r w:rsidRPr="00EC144F">
        <w:rPr>
          <w:rFonts w:cs="Times New Roman"/>
          <w:lang w:val="en-GB"/>
        </w:rPr>
        <w:lastRenderedPageBreak/>
        <w:t>the entities that carry it out, as well as focus the discussion on the individual journalist, disregarding the role of the organizational structure that, in traditional media, surrounds and supports them</w:t>
      </w:r>
      <w:r w:rsidR="00B840B8" w:rsidRPr="00EC144F">
        <w:rPr>
          <w:rFonts w:cs="Times New Roman"/>
          <w:lang w:val="en-GB"/>
        </w:rPr>
        <w:t>.</w:t>
      </w:r>
      <w:r w:rsidR="00B840B8" w:rsidRPr="002D79FD">
        <w:rPr>
          <w:rStyle w:val="FootnoteReference"/>
          <w:rFonts w:cs="Times New Roman"/>
        </w:rPr>
        <w:footnoteReference w:id="203"/>
      </w:r>
      <w:r w:rsidR="006E0510" w:rsidRPr="00EC144F">
        <w:rPr>
          <w:rFonts w:cs="Times New Roman"/>
          <w:lang w:val="en-GB"/>
        </w:rPr>
        <w:t xml:space="preserve"> </w:t>
      </w:r>
      <w:r w:rsidR="009A68A2" w:rsidRPr="009A68A2">
        <w:rPr>
          <w:rFonts w:cs="Times New Roman"/>
          <w:lang w:val="en-GB"/>
        </w:rPr>
        <w:t>In fact, the clear distinction between where the journalist's responsibility begins and ends and where that of those who share responsibility for publication decisions (and have defined the broad editorial guidelines) begins and ends, in a collective (and hierarchical) activity, at least in traditional media, is quite complex</w:t>
      </w:r>
      <w:r w:rsidR="00B0416F" w:rsidRPr="009A68A2">
        <w:rPr>
          <w:rFonts w:cs="Times New Roman"/>
          <w:lang w:val="en-GB"/>
        </w:rPr>
        <w:t>.</w:t>
      </w:r>
      <w:r w:rsidR="00B0416F" w:rsidRPr="002D79FD">
        <w:rPr>
          <w:rStyle w:val="FootnoteReference"/>
          <w:rFonts w:cs="Times New Roman"/>
        </w:rPr>
        <w:footnoteReference w:id="204"/>
      </w:r>
      <w:r w:rsidR="002B5858" w:rsidRPr="009A68A2">
        <w:rPr>
          <w:rFonts w:cs="Times New Roman"/>
          <w:lang w:val="en-GB"/>
        </w:rPr>
        <w:t xml:space="preserve"> </w:t>
      </w:r>
      <w:r w:rsidR="007D399D" w:rsidRPr="007D399D">
        <w:rPr>
          <w:rFonts w:cs="Times New Roman"/>
          <w:lang w:val="en-GB"/>
        </w:rPr>
        <w:t>However, this difficulty can lead to contradictory movements, either by excusing everyone and thus diluting blame, or by blaming the weakest link, the journalist, but ultimately eroding accountability in matters of press freedom.</w:t>
      </w:r>
    </w:p>
    <w:p w14:paraId="134D10C6" w14:textId="4F6877C9" w:rsidR="00876E98" w:rsidRPr="00344F7F" w:rsidRDefault="00876E98" w:rsidP="00172A3B">
      <w:pPr>
        <w:spacing w:line="480" w:lineRule="auto"/>
        <w:jc w:val="both"/>
        <w:rPr>
          <w:rFonts w:cs="Times New Roman"/>
          <w:lang w:val="en-GB"/>
        </w:rPr>
      </w:pPr>
      <w:r w:rsidRPr="00876E98">
        <w:rPr>
          <w:rFonts w:cs="Times New Roman"/>
          <w:lang w:val="en-GB"/>
        </w:rPr>
        <w:t>If dialogue between the different entities involved appears to be lacking and not formally coordinated</w:t>
      </w:r>
      <w:r w:rsidR="00344F7F" w:rsidRPr="002D79FD">
        <w:rPr>
          <w:rStyle w:val="FootnoteReference"/>
          <w:rFonts w:cs="Times New Roman"/>
        </w:rPr>
        <w:footnoteReference w:id="205"/>
      </w:r>
      <w:r w:rsidRPr="00876E98">
        <w:rPr>
          <w:rFonts w:cs="Times New Roman"/>
          <w:lang w:val="en-GB"/>
        </w:rPr>
        <w:t>, and if there is sometimes a confrontation with the SJ criticizing, but also promoting, the ERC's ethical and professional assessment powers</w:t>
      </w:r>
      <w:r w:rsidR="00344F7F" w:rsidRPr="002D79FD">
        <w:rPr>
          <w:rStyle w:val="FootnoteReference"/>
          <w:rFonts w:cs="Times New Roman"/>
        </w:rPr>
        <w:footnoteReference w:id="206"/>
      </w:r>
      <w:r w:rsidRPr="00876E98">
        <w:rPr>
          <w:rFonts w:cs="Times New Roman"/>
          <w:lang w:val="en-GB"/>
        </w:rPr>
        <w:t xml:space="preserve">, in fact, it would be important to have empirical data on the types of cases handled by each, their number, and the nature of the decisions, so that an analysis can be effectively carried out using empirical information. </w:t>
      </w:r>
      <w:r w:rsidRPr="00344F7F">
        <w:rPr>
          <w:rFonts w:cs="Times New Roman"/>
          <w:lang w:val="en-GB"/>
        </w:rPr>
        <w:t xml:space="preserve">In other words, there is a lack not only of systematization of data, but also of its processing, particularly in terms of qualitative content analysis. There is therefore scope for future studies on these matters and consequent reflections and proposals for better coordination regarding the responsibility of journalists. It is worth noting that this processing allows us to identify areas of positive and negative conflict between the different regulatory and supervisory bodies and, consequently, to gain a better overview of the advantages and limitations of the current pluralistic and dispersed model of media </w:t>
      </w:r>
      <w:r w:rsidRPr="00344F7F">
        <w:rPr>
          <w:rFonts w:cs="Times New Roman"/>
          <w:lang w:val="en-GB"/>
        </w:rPr>
        <w:lastRenderedPageBreak/>
        <w:t>regulation and supervision.</w:t>
      </w:r>
      <w:r w:rsidR="00344F7F" w:rsidRPr="002D79FD">
        <w:rPr>
          <w:rStyle w:val="FootnoteReference"/>
          <w:rFonts w:cs="Times New Roman"/>
        </w:rPr>
        <w:footnoteReference w:id="207"/>
      </w:r>
      <w:r w:rsidRPr="00344F7F">
        <w:rPr>
          <w:rFonts w:cs="Times New Roman"/>
          <w:lang w:val="en-GB"/>
        </w:rPr>
        <w:t xml:space="preserve"> In this regard, the survey and analysis carried out by </w:t>
      </w:r>
      <w:proofErr w:type="spellStart"/>
      <w:r w:rsidRPr="00344F7F">
        <w:rPr>
          <w:rFonts w:cs="Times New Roman"/>
          <w:lang w:val="en-GB"/>
        </w:rPr>
        <w:t>Camponez</w:t>
      </w:r>
      <w:proofErr w:type="spellEnd"/>
      <w:r w:rsidRPr="00344F7F">
        <w:rPr>
          <w:rFonts w:cs="Times New Roman"/>
          <w:lang w:val="en-GB"/>
        </w:rPr>
        <w:t xml:space="preserve"> and Santos de Miranda</w:t>
      </w:r>
      <w:r w:rsidR="00344F7F" w:rsidRPr="002D79FD">
        <w:rPr>
          <w:rStyle w:val="FootnoteReference"/>
          <w:rFonts w:cs="Times New Roman"/>
        </w:rPr>
        <w:footnoteReference w:id="208"/>
      </w:r>
      <w:r w:rsidRPr="00344F7F">
        <w:rPr>
          <w:rFonts w:cs="Times New Roman"/>
          <w:lang w:val="en-GB"/>
        </w:rPr>
        <w:t xml:space="preserve"> are to be commended, as they allow us to gather some preliminary data for discussion.</w:t>
      </w:r>
    </w:p>
    <w:p w14:paraId="49064FFE" w14:textId="56F1B3A9" w:rsidR="00353E17" w:rsidRDefault="00EF0444" w:rsidP="00172A3B">
      <w:pPr>
        <w:spacing w:line="480" w:lineRule="auto"/>
        <w:jc w:val="both"/>
        <w:rPr>
          <w:rFonts w:cs="Times New Roman"/>
        </w:rPr>
      </w:pPr>
      <w:r w:rsidRPr="002D79FD">
        <w:rPr>
          <w:rFonts w:cs="Times New Roman"/>
        </w:rPr>
        <w:t>de comunicação</w:t>
      </w:r>
      <w:r w:rsidR="00920A0E" w:rsidRPr="002D79FD">
        <w:rPr>
          <w:rFonts w:cs="Times New Roman"/>
        </w:rPr>
        <w:t xml:space="preserve"> e a CCPJ ape</w:t>
      </w:r>
      <w:r w:rsidR="00E82C23" w:rsidRPr="002D79FD">
        <w:rPr>
          <w:rFonts w:cs="Times New Roman"/>
        </w:rPr>
        <w:t>nas para os jornalistas individualmente considerados</w:t>
      </w:r>
      <w:r w:rsidRPr="002D79FD">
        <w:rPr>
          <w:rFonts w:cs="Times New Roman"/>
        </w:rPr>
        <w:t>.</w:t>
      </w:r>
    </w:p>
    <w:p w14:paraId="0852DDE6" w14:textId="6F349F05" w:rsidR="00F821D7" w:rsidRDefault="00353E17" w:rsidP="00172A3B">
      <w:pPr>
        <w:spacing w:line="480" w:lineRule="auto"/>
        <w:jc w:val="both"/>
        <w:rPr>
          <w:rFonts w:cs="Times New Roman"/>
          <w:lang w:val="en-GB"/>
        </w:rPr>
      </w:pPr>
      <w:r w:rsidRPr="00353E17">
        <w:rPr>
          <w:rFonts w:cs="Times New Roman"/>
          <w:lang w:val="en-GB"/>
        </w:rPr>
        <w:t>On the one hand, there is “</w:t>
      </w:r>
      <w:r w:rsidRPr="00353E17">
        <w:rPr>
          <w:rFonts w:cs="Times New Roman"/>
          <w:i/>
          <w:iCs/>
          <w:lang w:val="en-GB"/>
        </w:rPr>
        <w:t>a sharp divide between the number of pronouncements issued by legal/constitutional bodies and those of a strictly self-regulatory nature, but above all, a marked difference between contemporary bodies and regulatory mechanisms prior to the emergence of the AACS</w:t>
      </w:r>
      <w:r w:rsidRPr="00353E17">
        <w:rPr>
          <w:rFonts w:cs="Times New Roman"/>
          <w:lang w:val="en-GB"/>
        </w:rPr>
        <w:t>”</w:t>
      </w:r>
      <w:r w:rsidRPr="00353E17">
        <w:rPr>
          <w:rStyle w:val="FootnoteReference"/>
          <w:rFonts w:cs="Times New Roman"/>
          <w:lang w:val="en-GB"/>
        </w:rPr>
        <w:t xml:space="preserve"> </w:t>
      </w:r>
      <w:r w:rsidRPr="002D79FD">
        <w:rPr>
          <w:rStyle w:val="FootnoteReference"/>
          <w:rFonts w:cs="Times New Roman"/>
        </w:rPr>
        <w:footnoteReference w:id="209"/>
      </w:r>
      <w:r w:rsidRPr="00353E17">
        <w:rPr>
          <w:rFonts w:cs="Times New Roman"/>
          <w:lang w:val="en-GB"/>
        </w:rPr>
        <w:t>, which essentially reveals the occupation of the regulatory space by the State. Nevertheless, it can also be observed that there has been no reduction in the number of opinions issued by the CDSJ. However, they are significantly fewer in number than those issued by the ERC. In fact, the number of cases handled by the CDSJ has never really grown throughout its existence, not even after the abolition of the Press Council, revealing the inability of self-regulation to assume its role par excellence.</w:t>
      </w:r>
      <w:r w:rsidRPr="002D79FD">
        <w:rPr>
          <w:rStyle w:val="FootnoteReference"/>
          <w:rFonts w:cs="Times New Roman"/>
        </w:rPr>
        <w:footnoteReference w:id="210"/>
      </w:r>
      <w:r w:rsidRPr="00353E17">
        <w:rPr>
          <w:rFonts w:cs="Times New Roman"/>
          <w:lang w:val="en-GB"/>
        </w:rPr>
        <w:t xml:space="preserve"> Even so, the continued maintenance of the number of cases, despite historical developments in their content, may be due not only to the breadth of the complainants and the work of its members</w:t>
      </w:r>
      <w:r w:rsidRPr="002D79FD">
        <w:rPr>
          <w:rStyle w:val="FootnoteReference"/>
          <w:rFonts w:cs="Times New Roman"/>
        </w:rPr>
        <w:footnoteReference w:id="211"/>
      </w:r>
      <w:r w:rsidRPr="00353E17">
        <w:rPr>
          <w:rFonts w:cs="Times New Roman"/>
          <w:lang w:val="en-GB"/>
        </w:rPr>
        <w:t>, but also to the fact that its scope of action is subjectively broader. After all, it looks at journalists and the media, while the ERC only acts in the general sphere of the media and the CCPJ only for journalists considered individually.</w:t>
      </w:r>
      <w:r w:rsidR="009911FA" w:rsidRPr="00353E17">
        <w:rPr>
          <w:rFonts w:cs="Times New Roman"/>
          <w:lang w:val="en-GB"/>
        </w:rPr>
        <w:t xml:space="preserve"> </w:t>
      </w:r>
    </w:p>
    <w:p w14:paraId="5EF6366F" w14:textId="6FA01709" w:rsidR="00C32BBA" w:rsidRPr="00EA062F" w:rsidRDefault="00E92D21" w:rsidP="00172A3B">
      <w:pPr>
        <w:spacing w:line="480" w:lineRule="auto"/>
        <w:jc w:val="both"/>
        <w:rPr>
          <w:rFonts w:cs="Times New Roman"/>
          <w:lang w:val="en-GB"/>
        </w:rPr>
      </w:pPr>
      <w:r w:rsidRPr="00E92D21">
        <w:rPr>
          <w:rFonts w:cs="Times New Roman"/>
          <w:lang w:val="en-GB"/>
        </w:rPr>
        <w:lastRenderedPageBreak/>
        <w:t>This subjective difference, together with the expansion of the ERC's powers, helps to explain the variation in the number of cases handled in this area, revealing Santos de Miranda's</w:t>
      </w:r>
      <w:r w:rsidR="00EA062F" w:rsidRPr="002D79FD">
        <w:rPr>
          <w:rStyle w:val="FootnoteReference"/>
          <w:rFonts w:cs="Times New Roman"/>
        </w:rPr>
        <w:footnoteReference w:id="212"/>
      </w:r>
      <w:r w:rsidRPr="00E92D21">
        <w:rPr>
          <w:rFonts w:cs="Times New Roman"/>
          <w:lang w:val="en-GB"/>
        </w:rPr>
        <w:t xml:space="preserve"> survey that the ERC handled, in total, in the period he studied (1974-2014)</w:t>
      </w:r>
      <w:r w:rsidR="00C32BBA" w:rsidRPr="00EA062F">
        <w:rPr>
          <w:rFonts w:cs="Times New Roman"/>
          <w:lang w:val="en-GB"/>
        </w:rPr>
        <w:t>:</w:t>
      </w:r>
    </w:p>
    <w:p w14:paraId="3868DD73" w14:textId="77777777" w:rsidR="001D13FD" w:rsidRDefault="001D13FD" w:rsidP="00172A3B">
      <w:pPr>
        <w:pStyle w:val="ListParagraph"/>
        <w:numPr>
          <w:ilvl w:val="0"/>
          <w:numId w:val="42"/>
        </w:numPr>
        <w:spacing w:line="480" w:lineRule="auto"/>
        <w:jc w:val="both"/>
        <w:rPr>
          <w:rFonts w:cs="Times New Roman"/>
          <w:lang w:val="en-GB"/>
        </w:rPr>
      </w:pPr>
      <w:r w:rsidRPr="001D13FD">
        <w:rPr>
          <w:rFonts w:cs="Times New Roman"/>
          <w:lang w:val="en-GB"/>
        </w:rPr>
        <w:t>492 cases against 2 from the CCPJ and 8 from the CDSJ regarding liability and rectification (which includes the right of reply</w:t>
      </w:r>
      <w:proofErr w:type="gramStart"/>
      <w:r w:rsidRPr="001D13FD">
        <w:rPr>
          <w:rFonts w:cs="Times New Roman"/>
          <w:lang w:val="en-GB"/>
        </w:rPr>
        <w:t>);</w:t>
      </w:r>
      <w:proofErr w:type="gramEnd"/>
    </w:p>
    <w:p w14:paraId="11E56332" w14:textId="77777777" w:rsidR="00246C88" w:rsidRDefault="001D13FD" w:rsidP="00172A3B">
      <w:pPr>
        <w:pStyle w:val="ListParagraph"/>
        <w:numPr>
          <w:ilvl w:val="0"/>
          <w:numId w:val="42"/>
        </w:numPr>
        <w:spacing w:line="480" w:lineRule="auto"/>
        <w:jc w:val="both"/>
        <w:rPr>
          <w:rFonts w:cs="Times New Roman"/>
          <w:lang w:val="en-GB"/>
        </w:rPr>
      </w:pPr>
      <w:r w:rsidRPr="001D13FD">
        <w:rPr>
          <w:rFonts w:cs="Times New Roman"/>
          <w:lang w:val="en-GB"/>
        </w:rPr>
        <w:t>93 cases against 0 from the CCPJ and 27 from the CDSJ in matters of personality rights; and</w:t>
      </w:r>
    </w:p>
    <w:p w14:paraId="58768E5D" w14:textId="751CD696" w:rsidR="004D50C7" w:rsidRPr="00246C88" w:rsidRDefault="00246C88" w:rsidP="00172A3B">
      <w:pPr>
        <w:pStyle w:val="ListParagraph"/>
        <w:numPr>
          <w:ilvl w:val="0"/>
          <w:numId w:val="42"/>
        </w:numPr>
        <w:spacing w:line="480" w:lineRule="auto"/>
        <w:jc w:val="both"/>
        <w:rPr>
          <w:rFonts w:cs="Times New Roman"/>
          <w:lang w:val="en-GB"/>
        </w:rPr>
      </w:pPr>
      <w:r w:rsidRPr="00246C88">
        <w:rPr>
          <w:rFonts w:cs="Times New Roman"/>
          <w:lang w:val="en-GB"/>
        </w:rPr>
        <w:t>32 cases against 5 from the CCPJ and 10 from the CDSJ regarding the presumption of innocence and identification of victims.</w:t>
      </w:r>
    </w:p>
    <w:p w14:paraId="4F1FA2F9" w14:textId="01002CC1" w:rsidR="007C0AB2" w:rsidRPr="00E21583" w:rsidRDefault="0080181B" w:rsidP="00172A3B">
      <w:pPr>
        <w:spacing w:line="480" w:lineRule="auto"/>
        <w:jc w:val="both"/>
        <w:rPr>
          <w:rFonts w:cs="Times New Roman"/>
          <w:lang w:val="en-GB"/>
        </w:rPr>
      </w:pPr>
      <w:r w:rsidRPr="0080181B">
        <w:rPr>
          <w:rFonts w:cs="Times New Roman"/>
          <w:lang w:val="en-GB"/>
        </w:rPr>
        <w:t>Another interesting fact brought up by Santos de Miranda</w:t>
      </w:r>
      <w:r w:rsidRPr="002D79FD">
        <w:rPr>
          <w:rStyle w:val="FootnoteReference"/>
          <w:rFonts w:cs="Times New Roman"/>
        </w:rPr>
        <w:footnoteReference w:id="213"/>
      </w:r>
      <w:r w:rsidRPr="0080181B">
        <w:rPr>
          <w:rFonts w:cs="Times New Roman"/>
          <w:lang w:val="en-GB"/>
        </w:rPr>
        <w:t xml:space="preserve"> points out that “</w:t>
      </w:r>
      <w:r w:rsidRPr="0080181B">
        <w:rPr>
          <w:rFonts w:cs="Times New Roman"/>
          <w:i/>
          <w:iCs/>
          <w:lang w:val="en-GB"/>
        </w:rPr>
        <w:t>within the scope of the ERC, references to ethical and professional standards are found in 27.1% of cases: 12.1% in relation to the Journalist Statute, 1% to the Code of Ethics, and 15% to both documents. Mention of compliance or non-compliance with professional standards is recognized in 6% of cases: 3.5% in the sense of identifying violations of specific points of the code, 1.2% admitting transgression of ethical standards, 0.8% pointing out that there is no violation of specific points, and 0.5% finding no transgression of more abstract standards</w:t>
      </w:r>
      <w:r w:rsidRPr="0080181B">
        <w:rPr>
          <w:rFonts w:cs="Times New Roman"/>
          <w:lang w:val="en-GB"/>
        </w:rPr>
        <w:t>.</w:t>
      </w:r>
      <w:r w:rsidR="006C65B7" w:rsidRPr="0080181B">
        <w:rPr>
          <w:rFonts w:cs="Times New Roman"/>
          <w:lang w:val="en-GB"/>
        </w:rPr>
        <w:t>”</w:t>
      </w:r>
      <w:r w:rsidR="00752B89" w:rsidRPr="002D79FD">
        <w:rPr>
          <w:rStyle w:val="FootnoteReference"/>
          <w:rFonts w:cs="Times New Roman"/>
        </w:rPr>
        <w:footnoteReference w:id="214"/>
      </w:r>
      <w:r w:rsidR="0081295A" w:rsidRPr="0080181B">
        <w:rPr>
          <w:rFonts w:cs="Times New Roman"/>
          <w:lang w:val="en-GB"/>
        </w:rPr>
        <w:t xml:space="preserve"> </w:t>
      </w:r>
      <w:r w:rsidR="0079151E" w:rsidRPr="0079151E">
        <w:rPr>
          <w:rFonts w:cs="Times New Roman"/>
          <w:lang w:val="en-GB"/>
        </w:rPr>
        <w:t xml:space="preserve">There is therefore an over-representation of ERC intervention in these matters </w:t>
      </w:r>
      <w:r w:rsidR="0079151E" w:rsidRPr="0079151E">
        <w:rPr>
          <w:rFonts w:cs="Times New Roman"/>
          <w:lang w:val="en-GB"/>
        </w:rPr>
        <w:lastRenderedPageBreak/>
        <w:t>compared to the CCPJ and CDSJ and, therefore, of hetero</w:t>
      </w:r>
      <w:r w:rsidR="0079151E">
        <w:rPr>
          <w:rFonts w:cs="Times New Roman"/>
          <w:lang w:val="en-GB"/>
        </w:rPr>
        <w:t>-</w:t>
      </w:r>
      <w:r w:rsidR="0079151E" w:rsidRPr="0079151E">
        <w:rPr>
          <w:rFonts w:cs="Times New Roman"/>
          <w:lang w:val="en-GB"/>
        </w:rPr>
        <w:t>regulation in relation to self-regulation, in an apparent specificity of the Portuguese legal system compared to other European countries, which helps to explain some resistance to decisions.</w:t>
      </w:r>
      <w:r w:rsidR="00C94C72" w:rsidRPr="002D79FD">
        <w:rPr>
          <w:rStyle w:val="FootnoteReference"/>
          <w:rFonts w:cs="Times New Roman"/>
        </w:rPr>
        <w:footnoteReference w:id="215"/>
      </w:r>
      <w:r w:rsidR="00E20BDB" w:rsidRPr="0079151E">
        <w:rPr>
          <w:rFonts w:cs="Times New Roman"/>
          <w:lang w:val="en-GB"/>
        </w:rPr>
        <w:t xml:space="preserve"> </w:t>
      </w:r>
      <w:r w:rsidR="00E21583" w:rsidRPr="00E21583">
        <w:rPr>
          <w:rFonts w:cs="Times New Roman"/>
          <w:lang w:val="en-GB"/>
        </w:rPr>
        <w:t xml:space="preserve">At issue is the legal inevitability of the public regulator ruling on these matters, either by defining its powers or by enshrining the Code of Ethics in the Journalist Statute, as mentioned above, even if this is not the main focus of its activity, contrary to the fears of professional organizations in the sector. There will therefore be room for self-regulation in this field, if desired. However, it is not certain whether its nature, which is more symbolic than punitive, can be seen as a gesture of corporate protection and, consequently, erode confidence in its institutions, opening the door to greater public intervention. On the other hand, precisely because of this soft and even opinionated, interpretative, and political nature, it could </w:t>
      </w:r>
      <w:proofErr w:type="gramStart"/>
      <w:r w:rsidR="00E21583" w:rsidRPr="00E21583">
        <w:rPr>
          <w:rFonts w:cs="Times New Roman"/>
          <w:lang w:val="en-GB"/>
        </w:rPr>
        <w:t>open up</w:t>
      </w:r>
      <w:proofErr w:type="gramEnd"/>
      <w:r w:rsidR="00E21583" w:rsidRPr="00E21583">
        <w:rPr>
          <w:rFonts w:cs="Times New Roman"/>
          <w:lang w:val="en-GB"/>
        </w:rPr>
        <w:t xml:space="preserve"> space for a journalistic literacy function not only for the profession but also for civil society.</w:t>
      </w:r>
    </w:p>
    <w:p w14:paraId="7DCF1970" w14:textId="1D84D066" w:rsidR="00CA62AF" w:rsidRPr="001A2691" w:rsidRDefault="00A30ADF" w:rsidP="00172A3B">
      <w:pPr>
        <w:spacing w:line="480" w:lineRule="auto"/>
        <w:jc w:val="both"/>
        <w:rPr>
          <w:rFonts w:cs="Times New Roman"/>
          <w:lang w:val="en-GB"/>
        </w:rPr>
      </w:pPr>
      <w:r>
        <w:rPr>
          <w:rFonts w:cs="Times New Roman"/>
          <w:lang w:val="en-GB"/>
        </w:rPr>
        <w:t>In short</w:t>
      </w:r>
      <w:r w:rsidR="008C0321" w:rsidRPr="002D79FD">
        <w:rPr>
          <w:rFonts w:cs="Times New Roman"/>
          <w:lang w:val="en-GB"/>
        </w:rPr>
        <w:t xml:space="preserve">, despite robust normative frameworks, enforcement of ethical journalism remains </w:t>
      </w:r>
      <w:r w:rsidR="009E0E26" w:rsidRPr="002D79FD">
        <w:rPr>
          <w:rFonts w:cs="Times New Roman"/>
          <w:lang w:val="en-GB"/>
        </w:rPr>
        <w:t>mainly symbolic</w:t>
      </w:r>
      <w:r w:rsidR="008C0321" w:rsidRPr="002D79FD">
        <w:rPr>
          <w:rFonts w:cs="Times New Roman"/>
          <w:lang w:val="en-GB"/>
        </w:rPr>
        <w:t xml:space="preserve"> </w:t>
      </w:r>
      <w:r w:rsidR="009E0E26" w:rsidRPr="002D79FD">
        <w:rPr>
          <w:rFonts w:cs="Times New Roman"/>
          <w:lang w:val="en-GB"/>
        </w:rPr>
        <w:t xml:space="preserve">with </w:t>
      </w:r>
      <w:r w:rsidR="008C0321" w:rsidRPr="002D79FD">
        <w:rPr>
          <w:rFonts w:cs="Times New Roman"/>
          <w:lang w:val="en-GB"/>
        </w:rPr>
        <w:t>limited public accountability.</w:t>
      </w:r>
      <w:r w:rsidR="001857D1" w:rsidRPr="002D79FD">
        <w:rPr>
          <w:rFonts w:cs="Times New Roman"/>
          <w:lang w:val="en-GB"/>
        </w:rPr>
        <w:t xml:space="preserve"> </w:t>
      </w:r>
      <w:r w:rsidR="000F5EFE" w:rsidRPr="000F5EFE">
        <w:rPr>
          <w:rFonts w:cs="Times New Roman"/>
          <w:lang w:val="en-GB"/>
        </w:rPr>
        <w:t xml:space="preserve">It is curious, in fact, to observe the ambiguity shown by journalists and the media towards the regulatory and supervisory model regarding their activity and violation of journalists' duties. On the one hand, they want more self-regulation, calling for it at their conferences, especially in a context of increasing digitization and </w:t>
      </w:r>
      <w:proofErr w:type="spellStart"/>
      <w:r w:rsidR="000F5EFE" w:rsidRPr="000F5EFE">
        <w:rPr>
          <w:rFonts w:cs="Times New Roman"/>
          <w:lang w:val="en-GB"/>
        </w:rPr>
        <w:t>platformization</w:t>
      </w:r>
      <w:proofErr w:type="spellEnd"/>
      <w:r w:rsidR="000F5EFE" w:rsidRPr="002D79FD">
        <w:rPr>
          <w:rStyle w:val="FootnoteReference"/>
          <w:rFonts w:cs="Times New Roman"/>
        </w:rPr>
        <w:footnoteReference w:id="216"/>
      </w:r>
      <w:r w:rsidR="000F5EFE" w:rsidRPr="000F5EFE">
        <w:rPr>
          <w:rFonts w:cs="Times New Roman"/>
          <w:lang w:val="en-GB"/>
        </w:rPr>
        <w:t>, and they argue against expanding the powers of entities such as the ERC or the legalization of ethical issues. On the other hand, they seem to neglect self-regulatory mechanisms such as those arising from Newsrooms Councils and the CDSJ.</w:t>
      </w:r>
      <w:r w:rsidR="00E61DE5" w:rsidRPr="00E61DE5">
        <w:rPr>
          <w:rStyle w:val="FootnoteReference"/>
          <w:rFonts w:cs="Times New Roman"/>
          <w:lang w:val="en-GB"/>
        </w:rPr>
        <w:t xml:space="preserve"> </w:t>
      </w:r>
      <w:r w:rsidR="00E61DE5" w:rsidRPr="002D79FD">
        <w:rPr>
          <w:rStyle w:val="FootnoteReference"/>
          <w:rFonts w:cs="Times New Roman"/>
        </w:rPr>
        <w:footnoteReference w:id="217"/>
      </w:r>
      <w:r w:rsidR="000F5EFE" w:rsidRPr="000F5EFE">
        <w:rPr>
          <w:rFonts w:cs="Times New Roman"/>
          <w:lang w:val="en-GB"/>
        </w:rPr>
        <w:t xml:space="preserve"> </w:t>
      </w:r>
      <w:r w:rsidR="001A2691" w:rsidRPr="001A2691">
        <w:rPr>
          <w:rFonts w:cs="Times New Roman"/>
          <w:lang w:val="en-GB"/>
        </w:rPr>
        <w:t xml:space="preserve">Indeed, the ambiguity shown by journalists and the media regarding the </w:t>
      </w:r>
      <w:r w:rsidR="001A2691" w:rsidRPr="001A2691">
        <w:rPr>
          <w:rFonts w:cs="Times New Roman"/>
          <w:lang w:val="en-GB"/>
        </w:rPr>
        <w:lastRenderedPageBreak/>
        <w:t>regulatory and supervisory model governing their activities and violations of journalists' duties is curious.</w:t>
      </w:r>
    </w:p>
    <w:p w14:paraId="3089B872" w14:textId="77777777" w:rsidR="00D75B45" w:rsidRPr="00D75B45" w:rsidRDefault="00D75B45" w:rsidP="00172A3B">
      <w:pPr>
        <w:spacing w:line="480" w:lineRule="auto"/>
        <w:jc w:val="both"/>
        <w:rPr>
          <w:rFonts w:cs="Times New Roman"/>
          <w:lang w:val="en-GB"/>
        </w:rPr>
      </w:pPr>
      <w:r w:rsidRPr="00D75B45">
        <w:rPr>
          <w:rFonts w:cs="Times New Roman"/>
          <w:lang w:val="en-GB"/>
        </w:rPr>
        <w:t>In reality, what emerges from our analysis is that, on the one hand, there is a certain corporate spirit that detracts from true accountability in the violation of journalists' duties, especially when they call into question the fundamental rights of citizens, and, on the other hand, there is tension in defining the subjective scope of that same responsibility, i.e. the relationship between the journalist and their newsroom, media organization, and its management and partners. Now, the phenomenon of digitization may accentuate these tensions and ambiguities, given the underlying dispersion, but it may also allow for a greater separation between individual and collective responsibility for publication.</w:t>
      </w:r>
    </w:p>
    <w:p w14:paraId="6E8E4C08" w14:textId="2EF44793" w:rsidR="000467B0" w:rsidRPr="009B4E58" w:rsidRDefault="00D75B45" w:rsidP="00172A3B">
      <w:pPr>
        <w:spacing w:line="480" w:lineRule="auto"/>
        <w:jc w:val="both"/>
        <w:rPr>
          <w:rFonts w:cs="Times New Roman"/>
          <w:lang w:val="en-GB"/>
        </w:rPr>
      </w:pPr>
      <w:r w:rsidRPr="00D75B45">
        <w:rPr>
          <w:rFonts w:cs="Times New Roman"/>
          <w:lang w:val="en-GB"/>
        </w:rPr>
        <w:t xml:space="preserve">In fact, </w:t>
      </w:r>
      <w:proofErr w:type="spellStart"/>
      <w:r w:rsidRPr="00D75B45">
        <w:rPr>
          <w:rFonts w:cs="Times New Roman"/>
          <w:lang w:val="en-GB"/>
        </w:rPr>
        <w:t>platformization</w:t>
      </w:r>
      <w:proofErr w:type="spellEnd"/>
      <w:r w:rsidRPr="00D75B45">
        <w:rPr>
          <w:rFonts w:cs="Times New Roman"/>
          <w:lang w:val="en-GB"/>
        </w:rPr>
        <w:t xml:space="preserve"> brings new challenges to this already somewhat complex and relatively ineffective framework. </w:t>
      </w:r>
      <w:r w:rsidR="000661FC" w:rsidRPr="002D79FD">
        <w:rPr>
          <w:rFonts w:cs="Times New Roman"/>
          <w:lang w:val="en-GB"/>
        </w:rPr>
        <w:t>The</w:t>
      </w:r>
      <w:r w:rsidR="000467B0" w:rsidRPr="002D79FD">
        <w:rPr>
          <w:rFonts w:cs="Times New Roman"/>
          <w:lang w:val="en-GB"/>
        </w:rPr>
        <w:t xml:space="preserve"> </w:t>
      </w:r>
      <w:r w:rsidR="0067351A" w:rsidRPr="002D79FD">
        <w:rPr>
          <w:rFonts w:cs="Times New Roman"/>
          <w:lang w:val="en-GB"/>
        </w:rPr>
        <w:t>d</w:t>
      </w:r>
      <w:r w:rsidR="000467B0" w:rsidRPr="002D79FD">
        <w:rPr>
          <w:rFonts w:cs="Times New Roman"/>
          <w:lang w:val="en-GB"/>
        </w:rPr>
        <w:t xml:space="preserve">igital </w:t>
      </w:r>
      <w:r w:rsidR="0067351A" w:rsidRPr="002D79FD">
        <w:rPr>
          <w:rFonts w:cs="Times New Roman"/>
          <w:lang w:val="en-GB"/>
        </w:rPr>
        <w:t>t</w:t>
      </w:r>
      <w:r w:rsidR="000467B0" w:rsidRPr="002D79FD">
        <w:rPr>
          <w:rFonts w:cs="Times New Roman"/>
          <w:lang w:val="en-GB"/>
        </w:rPr>
        <w:t xml:space="preserve">ransformation </w:t>
      </w:r>
      <w:r w:rsidR="00D8547B" w:rsidRPr="002D79FD">
        <w:rPr>
          <w:rFonts w:cs="Times New Roman"/>
          <w:lang w:val="en-GB"/>
        </w:rPr>
        <w:t>brings and enhances r</w:t>
      </w:r>
      <w:r w:rsidR="000467B0" w:rsidRPr="002D79FD">
        <w:rPr>
          <w:rFonts w:cs="Times New Roman"/>
          <w:lang w:val="en-GB"/>
        </w:rPr>
        <w:t xml:space="preserve">egulatory </w:t>
      </w:r>
      <w:r w:rsidR="00DD5F1A" w:rsidRPr="002D79FD">
        <w:rPr>
          <w:rFonts w:cs="Times New Roman"/>
          <w:lang w:val="en-GB"/>
        </w:rPr>
        <w:t>loopholes</w:t>
      </w:r>
      <w:r w:rsidR="008D753D" w:rsidRPr="002D79FD">
        <w:rPr>
          <w:rFonts w:cs="Times New Roman"/>
          <w:lang w:val="en-GB"/>
        </w:rPr>
        <w:t>, by eroding the t</w:t>
      </w:r>
      <w:r w:rsidR="000467B0" w:rsidRPr="002D79FD">
        <w:rPr>
          <w:rFonts w:cs="Times New Roman"/>
          <w:lang w:val="en-GB"/>
        </w:rPr>
        <w:t xml:space="preserve">raditional </w:t>
      </w:r>
      <w:r w:rsidR="008D753D" w:rsidRPr="002D79FD">
        <w:rPr>
          <w:rFonts w:cs="Times New Roman"/>
          <w:lang w:val="en-GB"/>
        </w:rPr>
        <w:t>b</w:t>
      </w:r>
      <w:r w:rsidR="000467B0" w:rsidRPr="002D79FD">
        <w:rPr>
          <w:rFonts w:cs="Times New Roman"/>
          <w:lang w:val="en-GB"/>
        </w:rPr>
        <w:t>oundaries</w:t>
      </w:r>
      <w:r w:rsidR="008D753D" w:rsidRPr="002D79FD">
        <w:rPr>
          <w:rFonts w:cs="Times New Roman"/>
          <w:lang w:val="en-GB"/>
        </w:rPr>
        <w:t>. After all, d</w:t>
      </w:r>
      <w:r w:rsidR="000467B0" w:rsidRPr="002D79FD">
        <w:rPr>
          <w:rFonts w:cs="Times New Roman"/>
          <w:lang w:val="en-GB"/>
        </w:rPr>
        <w:t xml:space="preserve">igital convergence has outpaced existing legal definitions of journalism, authorship, and </w:t>
      </w:r>
      <w:r w:rsidR="00CC6289" w:rsidRPr="002D79FD">
        <w:rPr>
          <w:rFonts w:cs="Times New Roman"/>
          <w:lang w:val="en-GB"/>
        </w:rPr>
        <w:t xml:space="preserve">journalist and </w:t>
      </w:r>
      <w:r w:rsidR="000467B0" w:rsidRPr="002D79FD">
        <w:rPr>
          <w:rFonts w:cs="Times New Roman"/>
          <w:lang w:val="en-GB"/>
        </w:rPr>
        <w:t xml:space="preserve">editorial liability. </w:t>
      </w:r>
      <w:proofErr w:type="spellStart"/>
      <w:r w:rsidR="000467B0" w:rsidRPr="002D79FD">
        <w:rPr>
          <w:rFonts w:cs="Times New Roman"/>
          <w:lang w:val="en-GB"/>
        </w:rPr>
        <w:t>Platformization</w:t>
      </w:r>
      <w:proofErr w:type="spellEnd"/>
      <w:r w:rsidR="008D753D" w:rsidRPr="002D79FD">
        <w:rPr>
          <w:rFonts w:cs="Times New Roman"/>
          <w:lang w:val="en-GB"/>
        </w:rPr>
        <w:t xml:space="preserve">, as </w:t>
      </w:r>
      <w:r w:rsidR="00D338C3" w:rsidRPr="002D79FD">
        <w:rPr>
          <w:rFonts w:cs="Times New Roman"/>
          <w:lang w:val="en-GB"/>
        </w:rPr>
        <w:t xml:space="preserve">a </w:t>
      </w:r>
      <w:r w:rsidR="003E3F2E" w:rsidRPr="002D79FD">
        <w:rPr>
          <w:rFonts w:cs="Times New Roman"/>
          <w:lang w:val="en-GB"/>
        </w:rPr>
        <w:t>reorganization of the production, distribution and consumption of content around digital platforms dominated by global technology companies, with algorithms designed to maximize interaction, with an essential role in mediating information, which reconfigures the editorial strategies, content and business models of the media</w:t>
      </w:r>
      <w:r w:rsidR="00E17DCB" w:rsidRPr="002D79FD">
        <w:rPr>
          <w:rStyle w:val="FootnoteReference"/>
          <w:rFonts w:cs="Times New Roman"/>
        </w:rPr>
        <w:footnoteReference w:id="218"/>
      </w:r>
      <w:r w:rsidR="001A1957" w:rsidRPr="002D79FD">
        <w:rPr>
          <w:rFonts w:cs="Times New Roman"/>
          <w:lang w:val="en-GB"/>
        </w:rPr>
        <w:t>,</w:t>
      </w:r>
      <w:r w:rsidR="000467B0" w:rsidRPr="002D79FD">
        <w:rPr>
          <w:rFonts w:cs="Times New Roman"/>
          <w:lang w:val="en-GB"/>
        </w:rPr>
        <w:t xml:space="preserve"> disrupts traditional gatekeeping functions, raising concerns about algorithmic amplification and the unchecked spread of misinformation.</w:t>
      </w:r>
      <w:r w:rsidR="00FC732A" w:rsidRPr="002D79FD">
        <w:rPr>
          <w:rFonts w:cs="Times New Roman"/>
          <w:lang w:val="en-GB"/>
        </w:rPr>
        <w:t xml:space="preserve"> </w:t>
      </w:r>
      <w:r w:rsidR="000467B0" w:rsidRPr="002D79FD">
        <w:rPr>
          <w:rFonts w:cs="Times New Roman"/>
          <w:lang w:val="en-GB"/>
        </w:rPr>
        <w:t xml:space="preserve">Private platforms wield quasi-regulatory power through content moderation and algorithmic curation. However, national regulators like ERC lack </w:t>
      </w:r>
      <w:r w:rsidR="00484F74" w:rsidRPr="002D79FD">
        <w:rPr>
          <w:rFonts w:cs="Times New Roman"/>
          <w:lang w:val="en-GB"/>
        </w:rPr>
        <w:t>power</w:t>
      </w:r>
      <w:r w:rsidR="000467B0" w:rsidRPr="002D79FD">
        <w:rPr>
          <w:rFonts w:cs="Times New Roman"/>
          <w:lang w:val="en-GB"/>
        </w:rPr>
        <w:t xml:space="preserve"> over transnational tech platforms, creating enforcement asymmetries.</w:t>
      </w:r>
      <w:r w:rsidR="00FC732A" w:rsidRPr="002D79FD">
        <w:rPr>
          <w:rFonts w:cs="Times New Roman"/>
          <w:lang w:val="en-GB"/>
        </w:rPr>
        <w:t xml:space="preserve"> </w:t>
      </w:r>
      <w:r w:rsidR="008D4845" w:rsidRPr="002D79FD">
        <w:rPr>
          <w:rFonts w:cs="Times New Roman"/>
          <w:lang w:val="en-GB"/>
        </w:rPr>
        <w:t xml:space="preserve"> </w:t>
      </w:r>
      <w:r w:rsidR="00580B2F" w:rsidRPr="002D79FD">
        <w:rPr>
          <w:rFonts w:cs="Times New Roman"/>
          <w:lang w:val="en-GB"/>
        </w:rPr>
        <w:t xml:space="preserve">This implies, not only, as already being discussed in Portugal, an adaptation of </w:t>
      </w:r>
      <w:r w:rsidR="004E6C45" w:rsidRPr="002D79FD">
        <w:rPr>
          <w:rFonts w:cs="Times New Roman"/>
          <w:lang w:val="en-GB"/>
        </w:rPr>
        <w:t>hetero-regulation and of the powers of ERC,</w:t>
      </w:r>
      <w:r w:rsidR="007C0EEA" w:rsidRPr="002D79FD">
        <w:rPr>
          <w:rFonts w:cs="Times New Roman"/>
          <w:lang w:val="en-GB"/>
        </w:rPr>
        <w:t xml:space="preserve"> that are outdated,</w:t>
      </w:r>
      <w:r w:rsidR="004E6C45" w:rsidRPr="002D79FD">
        <w:rPr>
          <w:rFonts w:cs="Times New Roman"/>
          <w:lang w:val="en-GB"/>
        </w:rPr>
        <w:t xml:space="preserve"> </w:t>
      </w:r>
      <w:r w:rsidR="004E6C45" w:rsidRPr="002D79FD">
        <w:rPr>
          <w:rFonts w:cs="Times New Roman"/>
          <w:lang w:val="en-GB"/>
        </w:rPr>
        <w:lastRenderedPageBreak/>
        <w:t>but al</w:t>
      </w:r>
      <w:r w:rsidR="007C0EEA" w:rsidRPr="002D79FD">
        <w:rPr>
          <w:rFonts w:cs="Times New Roman"/>
          <w:lang w:val="en-GB"/>
        </w:rPr>
        <w:t>so a transnational cooperation and regulation</w:t>
      </w:r>
      <w:r w:rsidR="00DE50F2" w:rsidRPr="002D79FD">
        <w:rPr>
          <w:rFonts w:cs="Times New Roman"/>
          <w:lang w:val="en-GB"/>
        </w:rPr>
        <w:t>, at least at the EU level</w:t>
      </w:r>
      <w:r w:rsidR="00625A02" w:rsidRPr="002D79FD">
        <w:rPr>
          <w:rFonts w:cs="Times New Roman"/>
          <w:lang w:val="en-GB"/>
        </w:rPr>
        <w:t xml:space="preserve">, which </w:t>
      </w:r>
      <w:r w:rsidR="008315C8">
        <w:rPr>
          <w:rFonts w:cs="Times New Roman"/>
          <w:lang w:val="en-GB"/>
        </w:rPr>
        <w:t>is</w:t>
      </w:r>
      <w:r w:rsidR="00625A02" w:rsidRPr="002D79FD">
        <w:rPr>
          <w:rFonts w:cs="Times New Roman"/>
          <w:lang w:val="en-GB"/>
        </w:rPr>
        <w:t xml:space="preserve"> achieved through the DSA and its </w:t>
      </w:r>
      <w:r w:rsidR="00764188" w:rsidRPr="002D79FD">
        <w:rPr>
          <w:rFonts w:cs="Times New Roman"/>
          <w:lang w:val="en-GB"/>
        </w:rPr>
        <w:t>instruments of execution and interpretation</w:t>
      </w:r>
      <w:r w:rsidR="00764188" w:rsidRPr="002D79FD">
        <w:rPr>
          <w:rStyle w:val="FootnoteReference"/>
          <w:rFonts w:cs="Times New Roman"/>
          <w:lang w:val="en-GB"/>
        </w:rPr>
        <w:footnoteReference w:id="219"/>
      </w:r>
      <w:r w:rsidR="00764188" w:rsidRPr="002D79FD">
        <w:rPr>
          <w:rFonts w:cs="Times New Roman"/>
          <w:lang w:val="en-GB"/>
        </w:rPr>
        <w:t>.</w:t>
      </w:r>
      <w:r w:rsidR="005A4939" w:rsidRPr="002D79FD">
        <w:rPr>
          <w:rFonts w:cs="Times New Roman"/>
          <w:lang w:val="en-GB"/>
        </w:rPr>
        <w:t xml:space="preserve"> </w:t>
      </w:r>
      <w:r w:rsidR="008315C8" w:rsidRPr="009B4E58">
        <w:rPr>
          <w:rFonts w:cs="Times New Roman"/>
          <w:lang w:val="en-GB"/>
        </w:rPr>
        <w:t>R</w:t>
      </w:r>
      <w:r w:rsidR="00BF1678" w:rsidRPr="009B4E58">
        <w:rPr>
          <w:rFonts w:cs="Times New Roman"/>
          <w:lang w:val="en-GB"/>
        </w:rPr>
        <w:t xml:space="preserve">ecently, in Portugal, </w:t>
      </w:r>
      <w:r w:rsidR="009B4E58" w:rsidRPr="009B4E58">
        <w:rPr>
          <w:rFonts w:cs="Times New Roman"/>
          <w:lang w:val="en-GB"/>
        </w:rPr>
        <w:t>Decree-Law No. 20-B/2024, of February 16, appointed ANACOM, ERC, and IGAC as competent authorities, with ANACOM acting as coordinator of digital services and ERC as the competent authority for media and other media content. However, their statutes need to be adjusted to these new powers, with the establishment of new regulatory and supervisory powers, including sanctions, and the approval of the law that will ensure the implementation of the DSA in Portugal.</w:t>
      </w:r>
    </w:p>
    <w:p w14:paraId="6086735E" w14:textId="77777777" w:rsidR="006402BE" w:rsidRPr="009B4E58" w:rsidRDefault="006402BE" w:rsidP="00172A3B">
      <w:pPr>
        <w:spacing w:line="480" w:lineRule="auto"/>
        <w:jc w:val="both"/>
        <w:rPr>
          <w:rFonts w:cs="Times New Roman"/>
          <w:b/>
          <w:bCs/>
          <w:lang w:val="en-GB"/>
        </w:rPr>
      </w:pPr>
    </w:p>
    <w:p w14:paraId="203153D6" w14:textId="3E91CC62" w:rsidR="00D5203C" w:rsidRPr="002D79FD" w:rsidRDefault="00D5203C" w:rsidP="00172A3B">
      <w:pPr>
        <w:spacing w:line="480" w:lineRule="auto"/>
        <w:jc w:val="both"/>
        <w:rPr>
          <w:rFonts w:cs="Times New Roman"/>
          <w:b/>
          <w:bCs/>
          <w:lang w:val="en-GB"/>
        </w:rPr>
      </w:pPr>
      <w:r w:rsidRPr="002D79FD">
        <w:rPr>
          <w:rFonts w:cs="Times New Roman"/>
          <w:b/>
          <w:bCs/>
          <w:lang w:val="en-GB"/>
        </w:rPr>
        <w:t>5.  Jurisprudential Challenges</w:t>
      </w:r>
    </w:p>
    <w:p w14:paraId="631CBF91" w14:textId="77777777" w:rsidR="002A7EC5" w:rsidRPr="002D79FD" w:rsidRDefault="00D5203C" w:rsidP="00172A3B">
      <w:pPr>
        <w:spacing w:line="480" w:lineRule="auto"/>
        <w:jc w:val="both"/>
        <w:rPr>
          <w:rFonts w:cs="Times New Roman"/>
          <w:b/>
          <w:bCs/>
          <w:lang w:val="en-GB"/>
        </w:rPr>
      </w:pPr>
      <w:r w:rsidRPr="002D79FD">
        <w:rPr>
          <w:rFonts w:cs="Times New Roman"/>
          <w:b/>
          <w:bCs/>
          <w:lang w:val="en-GB"/>
        </w:rPr>
        <w:t>5.1. Judicial Approaches to Defamation and Press Freedom</w:t>
      </w:r>
    </w:p>
    <w:p w14:paraId="05E10D19" w14:textId="625FA284" w:rsidR="00BE7008" w:rsidRDefault="00BE7008" w:rsidP="00172A3B">
      <w:pPr>
        <w:spacing w:line="480" w:lineRule="auto"/>
        <w:jc w:val="both"/>
        <w:rPr>
          <w:rFonts w:cs="Times New Roman"/>
          <w:lang w:val="en-GB"/>
        </w:rPr>
      </w:pPr>
      <w:r w:rsidRPr="00BE7008">
        <w:rPr>
          <w:rFonts w:cs="Times New Roman"/>
          <w:lang w:val="en-GB"/>
        </w:rPr>
        <w:t xml:space="preserve">As already argued above, considering the current Portuguese legal system, both the right to </w:t>
      </w:r>
      <w:proofErr w:type="spellStart"/>
      <w:r w:rsidRPr="00BE7008">
        <w:rPr>
          <w:rFonts w:cs="Times New Roman"/>
          <w:lang w:val="en-GB"/>
        </w:rPr>
        <w:t>honor</w:t>
      </w:r>
      <w:proofErr w:type="spellEnd"/>
      <w:r w:rsidRPr="00BE7008">
        <w:rPr>
          <w:rFonts w:cs="Times New Roman"/>
          <w:lang w:val="en-GB"/>
        </w:rPr>
        <w:t xml:space="preserve"> (which includes good name and reputation)</w:t>
      </w:r>
      <w:r w:rsidRPr="00BE7008">
        <w:rPr>
          <w:rStyle w:val="FootnoteReference"/>
          <w:rFonts w:cs="Times New Roman"/>
          <w:lang w:val="en-GB"/>
        </w:rPr>
        <w:t xml:space="preserve"> </w:t>
      </w:r>
      <w:r w:rsidRPr="002D79FD">
        <w:rPr>
          <w:rStyle w:val="FootnoteReference"/>
          <w:rFonts w:cs="Times New Roman"/>
        </w:rPr>
        <w:footnoteReference w:id="220"/>
      </w:r>
      <w:r w:rsidRPr="00BE7008">
        <w:rPr>
          <w:rFonts w:cs="Times New Roman"/>
          <w:lang w:val="en-GB"/>
        </w:rPr>
        <w:t xml:space="preserve"> and freedom of expression (and within </w:t>
      </w:r>
      <w:r w:rsidRPr="00BE7008">
        <w:rPr>
          <w:rFonts w:cs="Times New Roman"/>
          <w:lang w:val="en-GB"/>
        </w:rPr>
        <w:lastRenderedPageBreak/>
        <w:t xml:space="preserve">this, freedom of the press) are not only not absolute, but also do not present any abstract hierarchy of values between them. Their legalization, whether constitutional or statutory, particularly in the Civil and Criminal Codes and in media sector legislation, opens the door to conflicts between these rights being resolved in court and not just by regulators/supervisors in the area, which may give rise to civil and criminal liability. It is worth remembering that Article 484 of the Civil Code provides for civil liability for defamation and Chapter VI of the Penal Code provides not only for various types of crimes against </w:t>
      </w:r>
      <w:proofErr w:type="spellStart"/>
      <w:r w:rsidRPr="00BE7008">
        <w:rPr>
          <w:rFonts w:cs="Times New Roman"/>
          <w:lang w:val="en-GB"/>
        </w:rPr>
        <w:t>honor</w:t>
      </w:r>
      <w:proofErr w:type="spellEnd"/>
      <w:r w:rsidRPr="00BE7008">
        <w:rPr>
          <w:rFonts w:cs="Times New Roman"/>
          <w:lang w:val="en-GB"/>
        </w:rPr>
        <w:t>, including defamation, insult, and slander, but also for their punishment.</w:t>
      </w:r>
    </w:p>
    <w:p w14:paraId="71DBEB88" w14:textId="51639519" w:rsidR="00A672AB" w:rsidRDefault="00550FDB" w:rsidP="00172A3B">
      <w:pPr>
        <w:spacing w:line="480" w:lineRule="auto"/>
        <w:jc w:val="both"/>
        <w:rPr>
          <w:rFonts w:cs="Times New Roman"/>
          <w:lang w:val="en-GB"/>
        </w:rPr>
      </w:pPr>
      <w:r w:rsidRPr="00550FDB">
        <w:rPr>
          <w:rFonts w:cs="Times New Roman"/>
          <w:lang w:val="en-GB"/>
        </w:rPr>
        <w:t>For many years in democratic Portugal, as Teixeira da Mota</w:t>
      </w:r>
      <w:r w:rsidRPr="002D79FD">
        <w:rPr>
          <w:rStyle w:val="FootnoteReference"/>
          <w:rFonts w:cs="Times New Roman"/>
        </w:rPr>
        <w:footnoteReference w:id="221"/>
      </w:r>
      <w:r w:rsidRPr="00550FDB">
        <w:rPr>
          <w:rFonts w:cs="Times New Roman"/>
          <w:lang w:val="en-GB"/>
        </w:rPr>
        <w:t xml:space="preserve"> rightly recalls, national case law based its decisions on the theory of Figueiredo Dias</w:t>
      </w:r>
      <w:r w:rsidR="0038543D" w:rsidRPr="002D79FD">
        <w:rPr>
          <w:rStyle w:val="FootnoteReference"/>
          <w:rFonts w:cs="Times New Roman"/>
        </w:rPr>
        <w:footnoteReference w:id="222"/>
      </w:r>
      <w:r w:rsidRPr="00550FDB">
        <w:rPr>
          <w:rFonts w:cs="Times New Roman"/>
          <w:lang w:val="en-GB"/>
        </w:rPr>
        <w:t xml:space="preserve">, which, published before the constitutional revision of 1982 and an expansion of the positive and negative dimensions of freedom of the press and the right to be informed and to inform, generally defended, on the one hand, “moderation” in the exercise of freedom of expression and demanded that news or opinion be the “appropriate means” of realizing legitimate interests. This led to a situation </w:t>
      </w:r>
      <w:r w:rsidRPr="00550FDB">
        <w:rPr>
          <w:rFonts w:cs="Times New Roman"/>
          <w:lang w:val="en-GB"/>
        </w:rPr>
        <w:lastRenderedPageBreak/>
        <w:t xml:space="preserve">where, for a long time, many courts ended up, in a conflict between </w:t>
      </w:r>
      <w:proofErr w:type="spellStart"/>
      <w:r w:rsidRPr="00550FDB">
        <w:rPr>
          <w:rFonts w:cs="Times New Roman"/>
          <w:lang w:val="en-GB"/>
        </w:rPr>
        <w:t>honor</w:t>
      </w:r>
      <w:proofErr w:type="spellEnd"/>
      <w:r w:rsidRPr="00550FDB">
        <w:rPr>
          <w:rFonts w:cs="Times New Roman"/>
          <w:lang w:val="en-GB"/>
        </w:rPr>
        <w:t xml:space="preserve"> and freedom of the press, giving precedence, as a rule, to the former. After all, the latter has no express constitutional restrictions and is an expression of human dignity, unlike the former, which has constitutional and legal limitations</w:t>
      </w:r>
      <w:r w:rsidR="0038543D" w:rsidRPr="002D79FD">
        <w:rPr>
          <w:rStyle w:val="FootnoteReference"/>
          <w:rFonts w:cs="Times New Roman"/>
        </w:rPr>
        <w:footnoteReference w:id="223"/>
      </w:r>
      <w:r w:rsidRPr="00550FDB">
        <w:rPr>
          <w:rFonts w:cs="Times New Roman"/>
          <w:lang w:val="en-GB"/>
        </w:rPr>
        <w:t xml:space="preserve"> and is not, strangely, interpreted as a dimension of that same human dignity. Thus, several decisions, in weighing values that include the public interest, end up condemning the journalist, even when doctrinal understandings have begun to draw attention to the necessary contextualization of rights and their dynamics, particularly in a democratic scenario and one where pluralism is valued</w:t>
      </w:r>
      <w:r w:rsidR="006056EE" w:rsidRPr="002D79FD">
        <w:rPr>
          <w:rStyle w:val="FootnoteReference"/>
          <w:rFonts w:cs="Times New Roman"/>
        </w:rPr>
        <w:footnoteReference w:id="224"/>
      </w:r>
      <w:r w:rsidR="0097075A" w:rsidRPr="006657B4">
        <w:rPr>
          <w:rFonts w:cs="Times New Roman"/>
          <w:lang w:val="en-GB"/>
        </w:rPr>
        <w:t>.</w:t>
      </w:r>
      <w:r w:rsidR="003D615B" w:rsidRPr="006657B4">
        <w:rPr>
          <w:rFonts w:cs="Times New Roman"/>
          <w:lang w:val="en-GB"/>
        </w:rPr>
        <w:t xml:space="preserve"> </w:t>
      </w:r>
    </w:p>
    <w:p w14:paraId="08F9ADA8" w14:textId="77777777" w:rsidR="008E61CE" w:rsidRDefault="008E61CE" w:rsidP="00172A3B">
      <w:pPr>
        <w:spacing w:line="480" w:lineRule="auto"/>
        <w:jc w:val="both"/>
        <w:rPr>
          <w:rFonts w:cs="Times New Roman"/>
          <w:lang w:val="en-GB"/>
        </w:rPr>
      </w:pPr>
      <w:r w:rsidRPr="008E61CE">
        <w:rPr>
          <w:rFonts w:cs="Times New Roman"/>
          <w:lang w:val="en-GB"/>
        </w:rPr>
        <w:t xml:space="preserve">See, in particular, the STJ </w:t>
      </w:r>
      <w:r>
        <w:rPr>
          <w:rFonts w:cs="Times New Roman"/>
          <w:lang w:val="en-GB"/>
        </w:rPr>
        <w:t>R</w:t>
      </w:r>
      <w:r w:rsidRPr="008E61CE">
        <w:rPr>
          <w:rFonts w:cs="Times New Roman"/>
          <w:lang w:val="en-GB"/>
        </w:rPr>
        <w:t>uling of 26.04.94</w:t>
      </w:r>
      <w:r w:rsidRPr="002D79FD">
        <w:rPr>
          <w:rStyle w:val="FootnoteReference"/>
          <w:rFonts w:cs="Times New Roman"/>
        </w:rPr>
        <w:footnoteReference w:id="225"/>
      </w:r>
      <w:r w:rsidRPr="008E61CE">
        <w:rPr>
          <w:rFonts w:cs="Times New Roman"/>
          <w:lang w:val="en-GB"/>
        </w:rPr>
        <w:t>, which decided that “</w:t>
      </w:r>
      <w:r w:rsidRPr="008E61CE">
        <w:rPr>
          <w:rFonts w:cs="Times New Roman"/>
          <w:i/>
          <w:iCs/>
          <w:lang w:val="en-GB"/>
        </w:rPr>
        <w:t>The right to a good name and reputation takes precedence over the right to information and criticism in the press</w:t>
      </w:r>
      <w:r w:rsidRPr="008E61CE">
        <w:rPr>
          <w:rFonts w:cs="Times New Roman"/>
          <w:lang w:val="en-GB"/>
        </w:rPr>
        <w:t xml:space="preserve">,” or the STJ </w:t>
      </w:r>
      <w:r>
        <w:rPr>
          <w:rFonts w:cs="Times New Roman"/>
          <w:lang w:val="en-GB"/>
        </w:rPr>
        <w:t>R</w:t>
      </w:r>
      <w:r w:rsidRPr="008E61CE">
        <w:rPr>
          <w:rFonts w:cs="Times New Roman"/>
          <w:lang w:val="en-GB"/>
        </w:rPr>
        <w:t>uling of 08.03.2007</w:t>
      </w:r>
      <w:r w:rsidRPr="002D79FD">
        <w:rPr>
          <w:rStyle w:val="FootnoteReference"/>
          <w:rFonts w:cs="Times New Roman"/>
        </w:rPr>
        <w:footnoteReference w:id="226"/>
      </w:r>
      <w:r w:rsidRPr="008E61CE">
        <w:rPr>
          <w:rFonts w:cs="Times New Roman"/>
          <w:lang w:val="en-GB"/>
        </w:rPr>
        <w:t>, which argued that "</w:t>
      </w:r>
      <w:r w:rsidRPr="008E61CE">
        <w:rPr>
          <w:rFonts w:cs="Times New Roman"/>
          <w:i/>
          <w:iCs/>
          <w:lang w:val="en-GB"/>
        </w:rPr>
        <w:t xml:space="preserve">The conflict between the right to freedom of the press and information and the right to personality - of equal constitutional hierarchy - is resolved, as a rule, by the prevalence of the latter over the former. The journalistic disclosure of facts likely to diminish confidence in a legal entity's </w:t>
      </w:r>
      <w:proofErr w:type="spellStart"/>
      <w:r w:rsidRPr="008E61CE">
        <w:rPr>
          <w:rFonts w:cs="Times New Roman"/>
          <w:i/>
          <w:iCs/>
          <w:lang w:val="en-GB"/>
        </w:rPr>
        <w:t>fulfillment</w:t>
      </w:r>
      <w:proofErr w:type="spellEnd"/>
      <w:r w:rsidRPr="008E61CE">
        <w:rPr>
          <w:rFonts w:cs="Times New Roman"/>
          <w:i/>
          <w:iCs/>
          <w:lang w:val="en-GB"/>
        </w:rPr>
        <w:t xml:space="preserve"> of its obligations and its good name, if likely to undermine its prestige or merit in the respective social environment, damages the legal entity's credibility</w:t>
      </w:r>
      <w:r w:rsidRPr="008E61CE">
        <w:rPr>
          <w:rFonts w:cs="Times New Roman"/>
          <w:lang w:val="en-GB"/>
        </w:rPr>
        <w:t>."</w:t>
      </w:r>
    </w:p>
    <w:p w14:paraId="76127F79" w14:textId="5528E056" w:rsidR="007E33D3" w:rsidRDefault="007E33D3" w:rsidP="00172A3B">
      <w:pPr>
        <w:spacing w:line="480" w:lineRule="auto"/>
        <w:jc w:val="both"/>
        <w:rPr>
          <w:rFonts w:cs="Times New Roman"/>
          <w:lang w:val="en-GB"/>
        </w:rPr>
      </w:pPr>
      <w:r w:rsidRPr="007E33D3">
        <w:rPr>
          <w:rFonts w:cs="Times New Roman"/>
          <w:lang w:val="en-GB"/>
        </w:rPr>
        <w:t xml:space="preserve">Equally interesting is the extensive understanding of attacks on </w:t>
      </w:r>
      <w:proofErr w:type="spellStart"/>
      <w:r w:rsidRPr="007E33D3">
        <w:rPr>
          <w:rFonts w:cs="Times New Roman"/>
          <w:lang w:val="en-GB"/>
        </w:rPr>
        <w:t>honor</w:t>
      </w:r>
      <w:proofErr w:type="spellEnd"/>
      <w:r w:rsidRPr="007E33D3">
        <w:rPr>
          <w:rFonts w:cs="Times New Roman"/>
          <w:lang w:val="en-GB"/>
        </w:rPr>
        <w:t xml:space="preserve"> in some Portuguese courts. For example, in the STJ ruling of February 26, 2004</w:t>
      </w:r>
      <w:r w:rsidR="00C7114B" w:rsidRPr="002D79FD">
        <w:rPr>
          <w:rStyle w:val="FootnoteReference"/>
          <w:rFonts w:cs="Times New Roman"/>
        </w:rPr>
        <w:footnoteReference w:id="227"/>
      </w:r>
      <w:r w:rsidRPr="007E33D3">
        <w:rPr>
          <w:rFonts w:cs="Times New Roman"/>
          <w:lang w:val="en-GB"/>
        </w:rPr>
        <w:t>, it seems to have “contagious” characteristics. After all, the Court rules that “</w:t>
      </w:r>
      <w:r w:rsidRPr="00C7114B">
        <w:rPr>
          <w:rFonts w:cs="Times New Roman"/>
          <w:i/>
          <w:iCs/>
          <w:lang w:val="en-GB"/>
        </w:rPr>
        <w:t xml:space="preserve">the publication, in a newspaper sold throughout the national territory, of accusations or insinuations made against a married </w:t>
      </w:r>
      <w:r w:rsidRPr="00C7114B">
        <w:rPr>
          <w:rFonts w:cs="Times New Roman"/>
          <w:i/>
          <w:iCs/>
          <w:lang w:val="en-GB"/>
        </w:rPr>
        <w:lastRenderedPageBreak/>
        <w:t xml:space="preserve">woman, at the very least treating her as frivolous and accusing her of adultery, directly affects her husband, violating his right to a good name, </w:t>
      </w:r>
      <w:proofErr w:type="spellStart"/>
      <w:r w:rsidRPr="00C7114B">
        <w:rPr>
          <w:rFonts w:cs="Times New Roman"/>
          <w:i/>
          <w:iCs/>
          <w:lang w:val="en-GB"/>
        </w:rPr>
        <w:t>honor</w:t>
      </w:r>
      <w:proofErr w:type="spellEnd"/>
      <w:r w:rsidRPr="00C7114B">
        <w:rPr>
          <w:rFonts w:cs="Times New Roman"/>
          <w:i/>
          <w:iCs/>
          <w:lang w:val="en-GB"/>
        </w:rPr>
        <w:t>, and social consideration, and to the privacy of his married life.</w:t>
      </w:r>
      <w:r w:rsidRPr="007E33D3">
        <w:rPr>
          <w:rFonts w:cs="Times New Roman"/>
          <w:lang w:val="en-GB"/>
        </w:rPr>
        <w:t xml:space="preserve">” On the other hand, facts and opinions are often equated, with defamation extending to value judgments, namely in the </w:t>
      </w:r>
      <w:r w:rsidR="00C7114B">
        <w:rPr>
          <w:rFonts w:cs="Times New Roman"/>
          <w:lang w:val="en-GB"/>
        </w:rPr>
        <w:t>Ruling</w:t>
      </w:r>
      <w:r w:rsidRPr="007E33D3">
        <w:rPr>
          <w:rFonts w:cs="Times New Roman"/>
          <w:lang w:val="en-GB"/>
        </w:rPr>
        <w:t xml:space="preserve"> of April 17, 2012</w:t>
      </w:r>
      <w:r w:rsidR="00C7114B" w:rsidRPr="002D79FD">
        <w:rPr>
          <w:rStyle w:val="FootnoteReference"/>
          <w:rFonts w:cs="Times New Roman"/>
        </w:rPr>
        <w:footnoteReference w:id="228"/>
      </w:r>
      <w:r w:rsidRPr="007E33D3">
        <w:rPr>
          <w:rFonts w:cs="Times New Roman"/>
          <w:lang w:val="en-GB"/>
        </w:rPr>
        <w:t xml:space="preserve">, contrary to Constitutional Court </w:t>
      </w:r>
      <w:r w:rsidR="00C7114B">
        <w:rPr>
          <w:rFonts w:cs="Times New Roman"/>
          <w:lang w:val="en-GB"/>
        </w:rPr>
        <w:t>Ruling</w:t>
      </w:r>
      <w:r w:rsidRPr="007E33D3">
        <w:rPr>
          <w:rFonts w:cs="Times New Roman"/>
          <w:lang w:val="en-GB"/>
        </w:rPr>
        <w:t xml:space="preserve"> No. 201/2004, cited above in 3.1.</w:t>
      </w:r>
    </w:p>
    <w:p w14:paraId="2B7436E7" w14:textId="70A28E15" w:rsidR="007868D4" w:rsidRDefault="007C7ECF" w:rsidP="00172A3B">
      <w:pPr>
        <w:spacing w:line="480" w:lineRule="auto"/>
        <w:jc w:val="both"/>
        <w:rPr>
          <w:rFonts w:cs="Times New Roman"/>
          <w:lang w:val="en-GB"/>
        </w:rPr>
      </w:pPr>
      <w:r w:rsidRPr="007C7ECF">
        <w:rPr>
          <w:rFonts w:cs="Times New Roman"/>
          <w:lang w:val="en-GB"/>
        </w:rPr>
        <w:t>This is, therefore, a different approach from the American one. Indeed</w:t>
      </w:r>
      <w:r w:rsidR="007868D4" w:rsidRPr="002D79FD">
        <w:rPr>
          <w:rFonts w:cs="Times New Roman"/>
          <w:lang w:val="en-GB"/>
        </w:rPr>
        <w:t xml:space="preserve">, </w:t>
      </w:r>
      <w:r w:rsidR="00B600CD" w:rsidRPr="002D79FD">
        <w:rPr>
          <w:rFonts w:cs="Times New Roman"/>
          <w:lang w:val="en-GB"/>
        </w:rPr>
        <w:t>w</w:t>
      </w:r>
      <w:r w:rsidR="007868D4" w:rsidRPr="002D79FD">
        <w:rPr>
          <w:rFonts w:cs="Times New Roman"/>
          <w:lang w:val="en-GB"/>
        </w:rPr>
        <w:t>hile Portugal maintains a more restrictive framework on defamation, the U.S. prioritizes First Amendment protections and sets a high bar for public-figure defamation claims (New York Times v. Sullivan</w:t>
      </w:r>
      <w:r w:rsidR="00E80EBF" w:rsidRPr="002D79FD">
        <w:rPr>
          <w:rFonts w:cs="Times New Roman"/>
          <w:lang w:val="en-GB"/>
        </w:rPr>
        <w:t>, 376 U.S. 254</w:t>
      </w:r>
      <w:r w:rsidR="007868D4" w:rsidRPr="002D79FD">
        <w:rPr>
          <w:rFonts w:cs="Times New Roman"/>
          <w:lang w:val="en-GB"/>
        </w:rPr>
        <w:t xml:space="preserve">). </w:t>
      </w:r>
      <w:r w:rsidR="007868D4" w:rsidRPr="00581769">
        <w:rPr>
          <w:rFonts w:cs="Times New Roman"/>
          <w:lang w:val="en-GB"/>
        </w:rPr>
        <w:t>Portuguese law offers stronger individual rights protections, but at the cost of greater liability risks for journalists</w:t>
      </w:r>
      <w:r w:rsidR="00216717" w:rsidRPr="00581769">
        <w:rPr>
          <w:rFonts w:cs="Times New Roman"/>
          <w:lang w:val="en-GB"/>
        </w:rPr>
        <w:t xml:space="preserve">, </w:t>
      </w:r>
      <w:r w:rsidR="00581769" w:rsidRPr="00581769">
        <w:rPr>
          <w:rFonts w:cs="Times New Roman"/>
          <w:lang w:val="en-GB"/>
        </w:rPr>
        <w:t>in a position that appears contrary to the Constitution itself, which, under Article 8(2), incorporates the ECHR and which has drawn criticism for diverging from the case law of the ECtHR.</w:t>
      </w:r>
      <w:r w:rsidR="00F27876" w:rsidRPr="002D79FD">
        <w:rPr>
          <w:rStyle w:val="FootnoteReference"/>
          <w:rFonts w:cs="Times New Roman"/>
        </w:rPr>
        <w:footnoteReference w:id="229"/>
      </w:r>
      <w:r w:rsidR="00C26590" w:rsidRPr="00581769">
        <w:rPr>
          <w:rFonts w:cs="Times New Roman"/>
          <w:lang w:val="en-GB"/>
        </w:rPr>
        <w:t xml:space="preserve"> </w:t>
      </w:r>
    </w:p>
    <w:p w14:paraId="45939340" w14:textId="187A2B4E" w:rsidR="00774207" w:rsidRPr="00581769" w:rsidRDefault="00774207" w:rsidP="00172A3B">
      <w:pPr>
        <w:spacing w:line="480" w:lineRule="auto"/>
        <w:jc w:val="both"/>
        <w:rPr>
          <w:rFonts w:cs="Times New Roman"/>
          <w:lang w:val="en-GB"/>
        </w:rPr>
      </w:pPr>
      <w:r w:rsidRPr="00774207">
        <w:rPr>
          <w:rFonts w:cs="Times New Roman"/>
          <w:lang w:val="en-GB"/>
        </w:rPr>
        <w:t>Considering the collections</w:t>
      </w:r>
      <w:r w:rsidRPr="002D79FD">
        <w:rPr>
          <w:rStyle w:val="FootnoteReference"/>
          <w:rFonts w:cs="Times New Roman"/>
        </w:rPr>
        <w:footnoteReference w:id="230"/>
      </w:r>
      <w:r w:rsidRPr="00774207">
        <w:rPr>
          <w:rFonts w:cs="Times New Roman"/>
          <w:lang w:val="en-GB"/>
        </w:rPr>
        <w:t xml:space="preserve"> of Portuguese case law on conflicts between freedom of expression/press and the right to </w:t>
      </w:r>
      <w:proofErr w:type="spellStart"/>
      <w:r w:rsidRPr="00774207">
        <w:rPr>
          <w:rFonts w:cs="Times New Roman"/>
          <w:lang w:val="en-GB"/>
        </w:rPr>
        <w:t>honor</w:t>
      </w:r>
      <w:proofErr w:type="spellEnd"/>
      <w:r w:rsidRPr="00774207">
        <w:rPr>
          <w:rFonts w:cs="Times New Roman"/>
          <w:lang w:val="en-GB"/>
        </w:rPr>
        <w:t xml:space="preserve"> in democratic Portugal, some basic constructs can be identified.</w:t>
      </w:r>
    </w:p>
    <w:p w14:paraId="4D7ECDCB" w14:textId="6F54A1FC" w:rsidR="00224786" w:rsidRPr="001914E9" w:rsidRDefault="00AD137B" w:rsidP="00172A3B">
      <w:pPr>
        <w:spacing w:line="480" w:lineRule="auto"/>
        <w:jc w:val="both"/>
        <w:rPr>
          <w:rFonts w:cs="Times New Roman"/>
          <w:lang w:val="en-GB"/>
        </w:rPr>
      </w:pPr>
      <w:r w:rsidRPr="002D79FD">
        <w:rPr>
          <w:rFonts w:cs="Times New Roman"/>
          <w:lang w:val="en-GB"/>
        </w:rPr>
        <w:lastRenderedPageBreak/>
        <w:t xml:space="preserve">The abuse of freedom of expression can lead to civil liability if it meets the criteria outlined in the </w:t>
      </w:r>
      <w:r w:rsidR="0014128F">
        <w:rPr>
          <w:rFonts w:cs="Times New Roman"/>
          <w:lang w:val="en-GB"/>
        </w:rPr>
        <w:t>CC</w:t>
      </w:r>
      <w:r w:rsidRPr="002D79FD">
        <w:rPr>
          <w:rFonts w:cs="Times New Roman"/>
          <w:lang w:val="en-GB"/>
        </w:rPr>
        <w:t>. The severity of non-pecuniary damages must be assessed based on societal ethical standards. Courts have ruled that damages caused by defamatory statements can be significant, impacting the victim's personal and professional life.</w:t>
      </w:r>
      <w:r w:rsidR="007733DA" w:rsidRPr="002D79FD">
        <w:rPr>
          <w:rFonts w:cs="Times New Roman"/>
          <w:lang w:val="en-GB"/>
        </w:rPr>
        <w:t xml:space="preserve"> </w:t>
      </w:r>
      <w:r w:rsidR="001914E9" w:rsidRPr="001914E9">
        <w:rPr>
          <w:rFonts w:cs="Times New Roman"/>
          <w:lang w:val="en-GB"/>
        </w:rPr>
        <w:t xml:space="preserve">Additionally, Portuguese case law recognizes the protection of the </w:t>
      </w:r>
      <w:proofErr w:type="spellStart"/>
      <w:r w:rsidR="001914E9" w:rsidRPr="001914E9">
        <w:rPr>
          <w:rFonts w:cs="Times New Roman"/>
          <w:lang w:val="en-GB"/>
        </w:rPr>
        <w:t>honor</w:t>
      </w:r>
      <w:proofErr w:type="spellEnd"/>
      <w:r w:rsidR="001914E9" w:rsidRPr="001914E9">
        <w:rPr>
          <w:rFonts w:cs="Times New Roman"/>
          <w:lang w:val="en-GB"/>
        </w:rPr>
        <w:t xml:space="preserve"> of legal entities, such as political parties or companies. In the latter case, however, the emotional state of the managing partner is not sufficient to justify compensation if the company's image is not affected.</w:t>
      </w:r>
    </w:p>
    <w:p w14:paraId="780C0F48" w14:textId="729A1515" w:rsidR="00D12F66" w:rsidRPr="002D79FD" w:rsidRDefault="00B760E9" w:rsidP="00172A3B">
      <w:pPr>
        <w:spacing w:line="480" w:lineRule="auto"/>
        <w:jc w:val="both"/>
        <w:rPr>
          <w:rFonts w:cs="Times New Roman"/>
          <w:lang w:val="en-GB"/>
        </w:rPr>
      </w:pPr>
      <w:r w:rsidRPr="00B760E9">
        <w:rPr>
          <w:rFonts w:cs="Times New Roman"/>
          <w:lang w:val="en-GB"/>
        </w:rPr>
        <w:t xml:space="preserve">The analysis of the criteria for compensation for non-pecuniary damages in defamation cases is complex and involves multiple factors, namely: </w:t>
      </w:r>
      <w:proofErr w:type="spellStart"/>
      <w:r w:rsidRPr="00B760E9">
        <w:rPr>
          <w:rFonts w:cs="Times New Roman"/>
          <w:lang w:val="en-GB"/>
        </w:rPr>
        <w:t>i</w:t>
      </w:r>
      <w:proofErr w:type="spellEnd"/>
      <w:r w:rsidRPr="00B760E9">
        <w:rPr>
          <w:rFonts w:cs="Times New Roman"/>
          <w:lang w:val="en-GB"/>
        </w:rPr>
        <w:t>) the truthfulness or falsity of the news, whereby the dissemination of false information may be considered an abuse of the right to information</w:t>
      </w:r>
      <w:r w:rsidRPr="002D79FD">
        <w:rPr>
          <w:rStyle w:val="FootnoteReference"/>
          <w:rFonts w:cs="Times New Roman"/>
        </w:rPr>
        <w:footnoteReference w:id="231"/>
      </w:r>
      <w:r w:rsidRPr="00B760E9">
        <w:rPr>
          <w:rFonts w:cs="Times New Roman"/>
          <w:lang w:val="en-GB"/>
        </w:rPr>
        <w:t>; ii) the dissemination of the news and its social impact; iii) the graphic prominence and journalistic treatment of the news influence the assessment; iv) the social status of the person targeted and the projection of the news in the social environment are relevant.</w:t>
      </w:r>
      <w:r>
        <w:rPr>
          <w:rFonts w:cs="Times New Roman"/>
          <w:lang w:val="en-GB"/>
        </w:rPr>
        <w:t xml:space="preserve"> </w:t>
      </w:r>
      <w:r w:rsidR="005F41BF" w:rsidRPr="002D79FD">
        <w:rPr>
          <w:rFonts w:cs="Times New Roman"/>
          <w:lang w:val="en-GB"/>
        </w:rPr>
        <w:t>Put differently</w:t>
      </w:r>
      <w:r w:rsidR="00D12F66" w:rsidRPr="002D79FD">
        <w:rPr>
          <w:rFonts w:cs="Times New Roman"/>
          <w:lang w:val="en-GB"/>
        </w:rPr>
        <w:t>, considering the criteria under which defamation claims can be justified or dismissed, the Portuguese Courts</w:t>
      </w:r>
      <w:r w:rsidR="00C3010F" w:rsidRPr="002D79FD">
        <w:rPr>
          <w:rFonts w:cs="Times New Roman"/>
          <w:lang w:val="en-GB"/>
        </w:rPr>
        <w:t xml:space="preserve"> establish frequently that c</w:t>
      </w:r>
      <w:r w:rsidR="00D12F66" w:rsidRPr="002D79FD">
        <w:rPr>
          <w:rFonts w:cs="Times New Roman"/>
          <w:lang w:val="en-GB"/>
        </w:rPr>
        <w:t>laims must demonstrate that the statements were made with knowledge of their falsehood or reckless disregard for the truth</w:t>
      </w:r>
      <w:r w:rsidR="00D51D1A" w:rsidRPr="002D79FD">
        <w:rPr>
          <w:rFonts w:cs="Times New Roman"/>
          <w:lang w:val="en-GB"/>
        </w:rPr>
        <w:t xml:space="preserve"> and t</w:t>
      </w:r>
      <w:r w:rsidR="00D12F66" w:rsidRPr="002D79FD">
        <w:rPr>
          <w:rFonts w:cs="Times New Roman"/>
          <w:lang w:val="en-GB"/>
        </w:rPr>
        <w:t>he burden of proof lies with the claimant to show that the statements were not made in good faith.</w:t>
      </w:r>
      <w:r w:rsidR="00D51D1A" w:rsidRPr="002D79FD">
        <w:rPr>
          <w:rFonts w:cs="Times New Roman"/>
          <w:lang w:val="en-GB"/>
        </w:rPr>
        <w:t xml:space="preserve"> </w:t>
      </w:r>
      <w:r w:rsidR="00D12F66" w:rsidRPr="002D79FD">
        <w:rPr>
          <w:rFonts w:cs="Times New Roman"/>
          <w:lang w:val="en-GB"/>
        </w:rPr>
        <w:t xml:space="preserve">Legitimate public interest can serve as a </w:t>
      </w:r>
      <w:proofErr w:type="spellStart"/>
      <w:r w:rsidR="00D12F66" w:rsidRPr="002D79FD">
        <w:rPr>
          <w:rFonts w:cs="Times New Roman"/>
          <w:lang w:val="en-GB"/>
        </w:rPr>
        <w:t>defense</w:t>
      </w:r>
      <w:proofErr w:type="spellEnd"/>
      <w:r w:rsidR="00D12F66" w:rsidRPr="002D79FD">
        <w:rPr>
          <w:rFonts w:cs="Times New Roman"/>
          <w:lang w:val="en-GB"/>
        </w:rPr>
        <w:t xml:space="preserve"> against defamation claims. Specific cases illustrate the principle that not all offensive remarks are legally actionable if they serve a public interest.</w:t>
      </w:r>
      <w:r w:rsidR="00D51D1A" w:rsidRPr="002D79FD">
        <w:rPr>
          <w:rFonts w:cs="Times New Roman"/>
          <w:lang w:val="en-GB"/>
        </w:rPr>
        <w:t xml:space="preserve"> Also, the courts </w:t>
      </w:r>
      <w:r w:rsidR="00D12F66" w:rsidRPr="002D79FD">
        <w:rPr>
          <w:rFonts w:cs="Times New Roman"/>
          <w:lang w:val="en-GB"/>
        </w:rPr>
        <w:t xml:space="preserve">emphasize the </w:t>
      </w:r>
      <w:r w:rsidR="00D12F66" w:rsidRPr="002D79FD">
        <w:rPr>
          <w:rFonts w:cs="Times New Roman"/>
          <w:lang w:val="en-GB"/>
        </w:rPr>
        <w:lastRenderedPageBreak/>
        <w:t>significance of context in evaluating defamation cases.</w:t>
      </w:r>
      <w:r w:rsidR="00D6132A" w:rsidRPr="002D79FD">
        <w:rPr>
          <w:rFonts w:cs="Times New Roman"/>
          <w:lang w:val="en-GB"/>
        </w:rPr>
        <w:t xml:space="preserve"> </w:t>
      </w:r>
      <w:r w:rsidR="00D12F66" w:rsidRPr="002D79FD">
        <w:rPr>
          <w:rFonts w:cs="Times New Roman"/>
          <w:lang w:val="en-GB"/>
        </w:rPr>
        <w:t>The surrounding circumstances of statements can determine their offensiveness.</w:t>
      </w:r>
      <w:r w:rsidR="00D6132A" w:rsidRPr="002D79FD">
        <w:rPr>
          <w:rFonts w:cs="Times New Roman"/>
          <w:lang w:val="en-GB"/>
        </w:rPr>
        <w:t xml:space="preserve"> For example, c</w:t>
      </w:r>
      <w:r w:rsidR="00D12F66" w:rsidRPr="002D79FD">
        <w:rPr>
          <w:rFonts w:cs="Times New Roman"/>
          <w:lang w:val="en-GB"/>
        </w:rPr>
        <w:t>ritiques made in a political context are often viewed more leniently than those made in private settings.</w:t>
      </w:r>
      <w:r w:rsidR="00E06B04" w:rsidRPr="002D79FD">
        <w:rPr>
          <w:rFonts w:cs="Times New Roman"/>
          <w:lang w:val="en-GB"/>
        </w:rPr>
        <w:t xml:space="preserve"> Additionally, c</w:t>
      </w:r>
      <w:r w:rsidR="00D12F66" w:rsidRPr="002D79FD">
        <w:rPr>
          <w:rFonts w:cs="Times New Roman"/>
          <w:lang w:val="en-GB"/>
        </w:rPr>
        <w:t>ourts consider the societal role of the speaker and the nature of the discourse when assessing defamation claims.</w:t>
      </w:r>
    </w:p>
    <w:p w14:paraId="3FF9BEDA" w14:textId="7A3E40BF" w:rsidR="00912E97" w:rsidRPr="00912E97" w:rsidRDefault="00912E97" w:rsidP="00172A3B">
      <w:pPr>
        <w:spacing w:line="480" w:lineRule="auto"/>
        <w:jc w:val="both"/>
        <w:rPr>
          <w:rFonts w:cs="Times New Roman"/>
          <w:lang w:val="en-GB"/>
        </w:rPr>
      </w:pPr>
      <w:r w:rsidRPr="00912E97">
        <w:rPr>
          <w:rFonts w:cs="Times New Roman"/>
          <w:lang w:val="en-GB"/>
        </w:rPr>
        <w:t xml:space="preserve">Causality is a fundamental element in determining civil liability in defamation cases and can be established even without the existence of criminal penalties. In this regard, naturalistic causality is not subject to review on appeal, while legal causality is subject to review. On the other hand, the theory of adequate causality is applied to determine the connection between the fact and the damage. </w:t>
      </w:r>
    </w:p>
    <w:p w14:paraId="20FA1CAA" w14:textId="6203D5A5" w:rsidR="00AF5BEF" w:rsidRPr="00E175F1" w:rsidRDefault="00912E97" w:rsidP="00172A3B">
      <w:pPr>
        <w:spacing w:line="480" w:lineRule="auto"/>
        <w:jc w:val="both"/>
        <w:rPr>
          <w:rFonts w:cs="Times New Roman"/>
          <w:lang w:val="en-GB"/>
        </w:rPr>
      </w:pPr>
      <w:r w:rsidRPr="00912E97">
        <w:rPr>
          <w:rFonts w:cs="Times New Roman"/>
          <w:lang w:val="en-GB"/>
        </w:rPr>
        <w:t>One of the major divergences in Portuguese case law arises in cases involving public figures, from celebrities to judges and politicians, with a duality of positions</w:t>
      </w:r>
      <w:r w:rsidR="00436115" w:rsidRPr="00912E97">
        <w:rPr>
          <w:rFonts w:cs="Times New Roman"/>
          <w:lang w:val="en-GB"/>
        </w:rPr>
        <w:t>.</w:t>
      </w:r>
      <w:r w:rsidR="00344201" w:rsidRPr="002D79FD">
        <w:rPr>
          <w:rStyle w:val="FootnoteReference"/>
          <w:rFonts w:cs="Times New Roman"/>
        </w:rPr>
        <w:footnoteReference w:id="232"/>
      </w:r>
      <w:r w:rsidR="00436115" w:rsidRPr="00912E97">
        <w:rPr>
          <w:rFonts w:cs="Times New Roman"/>
          <w:lang w:val="en-GB"/>
        </w:rPr>
        <w:t xml:space="preserve"> </w:t>
      </w:r>
      <w:r w:rsidR="00436115" w:rsidRPr="002D79FD">
        <w:rPr>
          <w:rFonts w:cs="Times New Roman"/>
          <w:lang w:val="en-GB"/>
        </w:rPr>
        <w:t>On one hand, public figures must tolerate more criticism due to their roles in society</w:t>
      </w:r>
      <w:r w:rsidR="002A6315" w:rsidRPr="002D79FD">
        <w:rPr>
          <w:rFonts w:cs="Times New Roman"/>
          <w:lang w:val="en-GB"/>
        </w:rPr>
        <w:t xml:space="preserve"> and criticism</w:t>
      </w:r>
      <w:r w:rsidR="00436115" w:rsidRPr="002D79FD">
        <w:rPr>
          <w:rFonts w:cs="Times New Roman"/>
          <w:lang w:val="en-GB"/>
        </w:rPr>
        <w:t xml:space="preserve"> is often seen as legitimate, even if harsh. Courts have ruled that exaggerated or provocative language may not constitute defamation if it pertains to public figures.</w:t>
      </w:r>
      <w:r w:rsidR="00054E96" w:rsidRPr="002D79FD">
        <w:rPr>
          <w:rStyle w:val="FootnoteReference"/>
          <w:rFonts w:cs="Times New Roman"/>
          <w:lang w:val="en-GB"/>
        </w:rPr>
        <w:footnoteReference w:id="233"/>
      </w:r>
      <w:r w:rsidR="00BC67B6" w:rsidRPr="002D79FD">
        <w:rPr>
          <w:rFonts w:cs="Times New Roman"/>
          <w:lang w:val="en-GB"/>
        </w:rPr>
        <w:t xml:space="preserve"> </w:t>
      </w:r>
      <w:r w:rsidR="00BC67B6" w:rsidRPr="00C9523C">
        <w:rPr>
          <w:rFonts w:cs="Times New Roman"/>
          <w:lang w:val="en-GB"/>
        </w:rPr>
        <w:t xml:space="preserve">On the other hand, </w:t>
      </w:r>
      <w:r w:rsidR="00C9523C" w:rsidRPr="00C9523C">
        <w:rPr>
          <w:rFonts w:cs="Times New Roman"/>
          <w:lang w:val="en-GB"/>
        </w:rPr>
        <w:t xml:space="preserve">public criticism should be allowed, but it cannot result in gratuitous insults. The protection of </w:t>
      </w:r>
      <w:proofErr w:type="spellStart"/>
      <w:r w:rsidR="00C9523C" w:rsidRPr="00C9523C">
        <w:rPr>
          <w:rFonts w:cs="Times New Roman"/>
          <w:lang w:val="en-GB"/>
        </w:rPr>
        <w:t>honor</w:t>
      </w:r>
      <w:proofErr w:type="spellEnd"/>
      <w:r w:rsidR="00C9523C" w:rsidRPr="00C9523C">
        <w:rPr>
          <w:rFonts w:cs="Times New Roman"/>
          <w:lang w:val="en-GB"/>
        </w:rPr>
        <w:t xml:space="preserve"> and image is especially relevant for public figures</w:t>
      </w:r>
      <w:r w:rsidR="00C21C84" w:rsidRPr="00C9523C">
        <w:rPr>
          <w:rFonts w:cs="Times New Roman"/>
          <w:lang w:val="en-GB"/>
        </w:rPr>
        <w:t>.</w:t>
      </w:r>
      <w:r w:rsidR="002A6315" w:rsidRPr="002D79FD">
        <w:rPr>
          <w:rStyle w:val="FootnoteReference"/>
          <w:rFonts w:cs="Times New Roman"/>
        </w:rPr>
        <w:footnoteReference w:id="234"/>
      </w:r>
      <w:r w:rsidR="0067291C" w:rsidRPr="00C9523C">
        <w:rPr>
          <w:rFonts w:cs="Times New Roman"/>
          <w:lang w:val="en-GB"/>
        </w:rPr>
        <w:t xml:space="preserve"> </w:t>
      </w:r>
      <w:r w:rsidR="00E175F1" w:rsidRPr="00E175F1">
        <w:rPr>
          <w:rFonts w:cs="Times New Roman"/>
          <w:lang w:val="en-GB"/>
        </w:rPr>
        <w:t>Criticism of the actions of magistrates</w:t>
      </w:r>
      <w:proofErr w:type="gramStart"/>
      <w:r w:rsidR="00E175F1" w:rsidRPr="00E175F1">
        <w:rPr>
          <w:rFonts w:cs="Times New Roman"/>
          <w:lang w:val="en-GB"/>
        </w:rPr>
        <w:t>, in particular, must</w:t>
      </w:r>
      <w:proofErr w:type="gramEnd"/>
      <w:r w:rsidR="00E175F1" w:rsidRPr="00E175F1">
        <w:rPr>
          <w:rFonts w:cs="Times New Roman"/>
          <w:lang w:val="en-GB"/>
        </w:rPr>
        <w:t xml:space="preserve"> be well-founded and cannot be meaningless</w:t>
      </w:r>
      <w:r w:rsidR="0067291C" w:rsidRPr="00E175F1">
        <w:rPr>
          <w:rFonts w:cs="Times New Roman"/>
          <w:lang w:val="en-GB"/>
        </w:rPr>
        <w:t>.</w:t>
      </w:r>
    </w:p>
    <w:p w14:paraId="4CC3D980" w14:textId="77777777" w:rsidR="002531C0" w:rsidRDefault="002531C0" w:rsidP="00172A3B">
      <w:pPr>
        <w:spacing w:line="480" w:lineRule="auto"/>
        <w:jc w:val="both"/>
        <w:rPr>
          <w:rFonts w:cs="Times New Roman"/>
          <w:lang w:val="en-GB"/>
        </w:rPr>
      </w:pPr>
      <w:r w:rsidRPr="002531C0">
        <w:rPr>
          <w:rFonts w:cs="Times New Roman"/>
          <w:lang w:val="en-GB"/>
        </w:rPr>
        <w:lastRenderedPageBreak/>
        <w:t>All in all, underlying this jurisprudential division, which has been fading in recent years, is the value given to each of the conflicting rights and to the concept of legitimate public interest.</w:t>
      </w:r>
    </w:p>
    <w:p w14:paraId="1F69EDA5" w14:textId="4FE34CCB" w:rsidR="00D5203C" w:rsidRPr="002D79FD" w:rsidRDefault="00D5203C" w:rsidP="00172A3B">
      <w:pPr>
        <w:spacing w:line="480" w:lineRule="auto"/>
        <w:jc w:val="both"/>
        <w:rPr>
          <w:rFonts w:cs="Times New Roman"/>
          <w:b/>
          <w:bCs/>
          <w:lang w:val="en-GB"/>
        </w:rPr>
      </w:pPr>
      <w:r w:rsidRPr="007A2A78">
        <w:rPr>
          <w:rFonts w:cs="Times New Roman"/>
          <w:b/>
          <w:bCs/>
          <w:lang w:val="en-GB"/>
        </w:rPr>
        <w:br/>
      </w:r>
      <w:r w:rsidRPr="002D79FD">
        <w:rPr>
          <w:rFonts w:cs="Times New Roman"/>
          <w:b/>
          <w:bCs/>
          <w:lang w:val="en-GB"/>
        </w:rPr>
        <w:t xml:space="preserve">5.2. Inconsistencies with </w:t>
      </w:r>
      <w:r w:rsidR="00F25CD9" w:rsidRPr="00B116E0">
        <w:rPr>
          <w:rFonts w:cs="Times New Roman"/>
          <w:b/>
          <w:bCs/>
          <w:lang w:val="en-GB"/>
        </w:rPr>
        <w:t>ECtHR</w:t>
      </w:r>
      <w:r w:rsidR="00F25CD9" w:rsidRPr="003839A7">
        <w:rPr>
          <w:rFonts w:cs="Times New Roman"/>
          <w:lang w:val="en-GB"/>
        </w:rPr>
        <w:t xml:space="preserve"> </w:t>
      </w:r>
      <w:r w:rsidRPr="002D79FD">
        <w:rPr>
          <w:rFonts w:cs="Times New Roman"/>
          <w:b/>
          <w:bCs/>
          <w:lang w:val="en-GB"/>
        </w:rPr>
        <w:t>Jurisprudence</w:t>
      </w:r>
    </w:p>
    <w:p w14:paraId="2B88D05F" w14:textId="021F3683" w:rsidR="00881D81" w:rsidRPr="002D79FD" w:rsidRDefault="00881D81" w:rsidP="00172A3B">
      <w:pPr>
        <w:spacing w:line="480" w:lineRule="auto"/>
        <w:jc w:val="both"/>
        <w:rPr>
          <w:rFonts w:cs="Times New Roman"/>
          <w:lang w:val="en-GB"/>
        </w:rPr>
      </w:pPr>
      <w:r w:rsidRPr="002D79FD">
        <w:rPr>
          <w:rFonts w:cs="Times New Roman"/>
          <w:lang w:val="en-GB"/>
        </w:rPr>
        <w:t>Portuguese courts have occasionally imposed disproportionate sanctions on journalists, particularly in defamation and privacy cases involving public figures.</w:t>
      </w:r>
      <w:r w:rsidR="00413846" w:rsidRPr="002D79FD">
        <w:rPr>
          <w:rFonts w:cs="Times New Roman"/>
          <w:lang w:val="en-GB"/>
        </w:rPr>
        <w:t xml:space="preserve"> </w:t>
      </w:r>
      <w:r w:rsidR="00D97C5C" w:rsidRPr="00D97C5C">
        <w:rPr>
          <w:rFonts w:cs="Times New Roman"/>
          <w:lang w:val="en-GB"/>
        </w:rPr>
        <w:t xml:space="preserve">Until a few years ago, there was a tendency to overvalue personality rights over freedom of expression/press, except in cases where the facts established justified significant public interest. </w:t>
      </w:r>
      <w:r w:rsidRPr="002D79FD">
        <w:rPr>
          <w:rFonts w:cs="Times New Roman"/>
          <w:lang w:val="en-GB"/>
        </w:rPr>
        <w:t xml:space="preserve">This practice diverges from </w:t>
      </w:r>
      <w:r w:rsidR="007D16C9" w:rsidRPr="003839A7">
        <w:rPr>
          <w:rFonts w:cs="Times New Roman"/>
          <w:lang w:val="en-GB"/>
        </w:rPr>
        <w:t xml:space="preserve">ECtHR </w:t>
      </w:r>
      <w:r w:rsidRPr="002D79FD">
        <w:rPr>
          <w:rFonts w:cs="Times New Roman"/>
          <w:lang w:val="en-GB"/>
        </w:rPr>
        <w:t>jurisprudence, which emphasizes the need for heightened protection of public-interest speech. Such inconsistencies</w:t>
      </w:r>
      <w:r w:rsidR="00BC7B35" w:rsidRPr="002D79FD">
        <w:rPr>
          <w:rFonts w:cs="Times New Roman"/>
          <w:lang w:val="en-GB"/>
        </w:rPr>
        <w:t xml:space="preserve"> </w:t>
      </w:r>
      <w:r w:rsidR="000114CF" w:rsidRPr="002D79FD">
        <w:rPr>
          <w:rFonts w:cs="Times New Roman"/>
          <w:lang w:val="en-GB"/>
        </w:rPr>
        <w:t>might</w:t>
      </w:r>
      <w:r w:rsidRPr="002D79FD">
        <w:rPr>
          <w:rFonts w:cs="Times New Roman"/>
          <w:lang w:val="en-GB"/>
        </w:rPr>
        <w:t xml:space="preserve"> generate legal uncertainty and potentially chill investigative journalism.</w:t>
      </w:r>
    </w:p>
    <w:p w14:paraId="43C12C0A" w14:textId="2B17ECB7" w:rsidR="003839A7" w:rsidRDefault="003839A7" w:rsidP="00172A3B">
      <w:pPr>
        <w:spacing w:line="480" w:lineRule="auto"/>
        <w:jc w:val="both"/>
        <w:rPr>
          <w:rFonts w:cs="Times New Roman"/>
          <w:lang w:val="en-GB"/>
        </w:rPr>
      </w:pPr>
      <w:r w:rsidRPr="003839A7">
        <w:rPr>
          <w:rFonts w:cs="Times New Roman"/>
          <w:lang w:val="en-GB"/>
        </w:rPr>
        <w:t>The case law of the ECtHR is of particular importance in this matter, namely in establishing and reviewing decision-making criteria, as the TC has no jurisdiction in matters of</w:t>
      </w:r>
      <w:r w:rsidR="00DA61A6">
        <w:rPr>
          <w:rFonts w:cs="Times New Roman"/>
          <w:lang w:val="en-GB"/>
        </w:rPr>
        <w:t xml:space="preserve"> </w:t>
      </w:r>
      <w:r w:rsidRPr="003839A7">
        <w:rPr>
          <w:rFonts w:cs="Times New Roman"/>
          <w:lang w:val="en-GB"/>
        </w:rPr>
        <w:t xml:space="preserve">appeals </w:t>
      </w:r>
      <w:r w:rsidR="00DA61A6">
        <w:rPr>
          <w:rFonts w:cs="Times New Roman"/>
          <w:lang w:val="en-GB"/>
        </w:rPr>
        <w:t xml:space="preserve">for legal protection </w:t>
      </w:r>
      <w:r w:rsidRPr="003839A7">
        <w:rPr>
          <w:rFonts w:cs="Times New Roman"/>
          <w:lang w:val="en-GB"/>
        </w:rPr>
        <w:t>and can only rule, as explained above, on matters of normative unconstitutionality. Its decisions are therefore made at a different level from those of the ECtHR, and there can be no real question of divergence.</w:t>
      </w:r>
    </w:p>
    <w:p w14:paraId="6A2284D4" w14:textId="6663D71A" w:rsidR="002C5869" w:rsidRPr="002D79FD" w:rsidRDefault="003B5F0E" w:rsidP="00172A3B">
      <w:pPr>
        <w:spacing w:line="480" w:lineRule="auto"/>
        <w:jc w:val="both"/>
        <w:rPr>
          <w:rFonts w:cs="Times New Roman"/>
          <w:lang w:val="en-GB"/>
        </w:rPr>
      </w:pPr>
      <w:r w:rsidRPr="003B5F0E">
        <w:rPr>
          <w:rFonts w:cs="Times New Roman"/>
          <w:lang w:val="en-GB"/>
        </w:rPr>
        <w:t xml:space="preserve">The TC, however, within the scope of its normative assessment, has established certain criteria. As mentioned above, </w:t>
      </w:r>
      <w:r w:rsidR="00E20C79" w:rsidRPr="002D79FD">
        <w:rPr>
          <w:rFonts w:cs="Times New Roman"/>
          <w:lang w:val="en-GB"/>
        </w:rPr>
        <w:t>in</w:t>
      </w:r>
      <w:r w:rsidR="00EB0F2F" w:rsidRPr="002D79FD">
        <w:rPr>
          <w:rFonts w:cs="Times New Roman"/>
          <w:lang w:val="en-GB"/>
        </w:rPr>
        <w:t xml:space="preserve"> the conflict between the right to freedom of expression</w:t>
      </w:r>
      <w:r w:rsidR="00E20C79" w:rsidRPr="002D79FD">
        <w:rPr>
          <w:rFonts w:cs="Times New Roman"/>
          <w:lang w:val="en-GB"/>
        </w:rPr>
        <w:t>/press</w:t>
      </w:r>
      <w:r w:rsidR="00EB0F2F" w:rsidRPr="002D79FD">
        <w:rPr>
          <w:rFonts w:cs="Times New Roman"/>
          <w:lang w:val="en-GB"/>
        </w:rPr>
        <w:t xml:space="preserve"> and the right to </w:t>
      </w:r>
      <w:proofErr w:type="spellStart"/>
      <w:r w:rsidR="00EB0F2F" w:rsidRPr="002D79FD">
        <w:rPr>
          <w:rFonts w:cs="Times New Roman"/>
          <w:lang w:val="en-GB"/>
        </w:rPr>
        <w:t>honor</w:t>
      </w:r>
      <w:proofErr w:type="spellEnd"/>
      <w:r w:rsidR="00EB0F2F" w:rsidRPr="002D79FD">
        <w:rPr>
          <w:rFonts w:cs="Times New Roman"/>
          <w:lang w:val="en-GB"/>
        </w:rPr>
        <w:t xml:space="preserve"> and reputation</w:t>
      </w:r>
      <w:r w:rsidR="00E20C79" w:rsidRPr="002D79FD">
        <w:rPr>
          <w:rFonts w:cs="Times New Roman"/>
          <w:lang w:val="en-GB"/>
        </w:rPr>
        <w:t>, t</w:t>
      </w:r>
      <w:r w:rsidR="00EB0F2F" w:rsidRPr="002D79FD">
        <w:rPr>
          <w:rFonts w:cs="Times New Roman"/>
          <w:lang w:val="en-GB"/>
        </w:rPr>
        <w:t>he Constitution does not prioritize one right over the other; both must be considered equally.</w:t>
      </w:r>
      <w:r w:rsidR="00E20C79" w:rsidRPr="002D79FD">
        <w:rPr>
          <w:rFonts w:cs="Times New Roman"/>
          <w:lang w:val="en-GB"/>
        </w:rPr>
        <w:t xml:space="preserve"> </w:t>
      </w:r>
      <w:r w:rsidR="00EB0F2F" w:rsidRPr="002D79FD">
        <w:rPr>
          <w:rFonts w:cs="Times New Roman"/>
          <w:lang w:val="en-GB"/>
        </w:rPr>
        <w:t>The principle of proportionality is essential in resolving conflicts between these rights</w:t>
      </w:r>
      <w:r w:rsidR="00E20C79" w:rsidRPr="002D79FD">
        <w:rPr>
          <w:rFonts w:cs="Times New Roman"/>
          <w:lang w:val="en-GB"/>
        </w:rPr>
        <w:t xml:space="preserve"> and c</w:t>
      </w:r>
      <w:r w:rsidR="00EB0F2F" w:rsidRPr="002D79FD">
        <w:rPr>
          <w:rFonts w:cs="Times New Roman"/>
          <w:lang w:val="en-GB"/>
        </w:rPr>
        <w:t>ourts must conduct a case-by-case analysis to determine the appropriate balance between freedom of expression</w:t>
      </w:r>
      <w:r w:rsidR="00E20C79" w:rsidRPr="002D79FD">
        <w:rPr>
          <w:rFonts w:cs="Times New Roman"/>
          <w:lang w:val="en-GB"/>
        </w:rPr>
        <w:t>/press</w:t>
      </w:r>
      <w:r w:rsidR="00EB0F2F" w:rsidRPr="002D79FD">
        <w:rPr>
          <w:rFonts w:cs="Times New Roman"/>
          <w:lang w:val="en-GB"/>
        </w:rPr>
        <w:t xml:space="preserve"> and the protection of personal rights.</w:t>
      </w:r>
      <w:r w:rsidR="00345927" w:rsidRPr="002D79FD">
        <w:rPr>
          <w:rFonts w:cs="Times New Roman"/>
          <w:lang w:val="en-GB"/>
        </w:rPr>
        <w:t xml:space="preserve"> </w:t>
      </w:r>
      <w:r w:rsidR="00EB0F2F" w:rsidRPr="002D79FD">
        <w:rPr>
          <w:rFonts w:cs="Times New Roman"/>
          <w:lang w:val="en-GB"/>
        </w:rPr>
        <w:t>T</w:t>
      </w:r>
      <w:r w:rsidR="00345927" w:rsidRPr="002D79FD">
        <w:rPr>
          <w:rFonts w:cs="Times New Roman"/>
          <w:lang w:val="en-GB"/>
        </w:rPr>
        <w:t>hus, t</w:t>
      </w:r>
      <w:r w:rsidR="00EB0F2F" w:rsidRPr="002D79FD">
        <w:rPr>
          <w:rFonts w:cs="Times New Roman"/>
          <w:lang w:val="en-GB"/>
        </w:rPr>
        <w:t xml:space="preserve">he Tribunal </w:t>
      </w:r>
      <w:proofErr w:type="spellStart"/>
      <w:r w:rsidR="00EB0F2F" w:rsidRPr="002D79FD">
        <w:rPr>
          <w:rFonts w:cs="Times New Roman"/>
          <w:lang w:val="en-GB"/>
        </w:rPr>
        <w:t>Constitucional</w:t>
      </w:r>
      <w:proofErr w:type="spellEnd"/>
      <w:r w:rsidR="00EB0F2F" w:rsidRPr="002D79FD">
        <w:rPr>
          <w:rFonts w:cs="Times New Roman"/>
          <w:lang w:val="en-GB"/>
        </w:rPr>
        <w:t xml:space="preserve"> ruled that the duty to indemnify for defamation requires proof of negligence or below-average care from </w:t>
      </w:r>
      <w:r w:rsidR="00EB0F2F" w:rsidRPr="002D79FD">
        <w:rPr>
          <w:rFonts w:cs="Times New Roman"/>
          <w:lang w:val="en-GB"/>
        </w:rPr>
        <w:lastRenderedPageBreak/>
        <w:t>journalists.</w:t>
      </w:r>
      <w:r w:rsidR="00345927" w:rsidRPr="002D79FD">
        <w:rPr>
          <w:rFonts w:cs="Times New Roman"/>
          <w:lang w:val="en-GB"/>
        </w:rPr>
        <w:t xml:space="preserve"> </w:t>
      </w:r>
      <w:r w:rsidR="00EB0F2F" w:rsidRPr="002D79FD">
        <w:rPr>
          <w:rFonts w:cs="Times New Roman"/>
          <w:lang w:val="en-GB"/>
        </w:rPr>
        <w:t xml:space="preserve">Journalists must adhere to ethical and legal standards, including verifying information and respecting individuals' rights. </w:t>
      </w:r>
      <w:r w:rsidR="00345927" w:rsidRPr="002D79FD">
        <w:rPr>
          <w:rFonts w:cs="Times New Roman"/>
          <w:lang w:val="en-GB"/>
        </w:rPr>
        <w:t>Furthermore, t</w:t>
      </w:r>
      <w:r w:rsidR="00EB0F2F" w:rsidRPr="002D79FD">
        <w:rPr>
          <w:rFonts w:cs="Times New Roman"/>
          <w:lang w:val="en-GB"/>
        </w:rPr>
        <w:t>he interpretation of laws regarding defamation does not violate constitutional rights, as established in various court rulings.</w:t>
      </w:r>
      <w:r w:rsidR="00345927" w:rsidRPr="002D79FD">
        <w:rPr>
          <w:rFonts w:cs="Times New Roman"/>
          <w:lang w:val="en-GB"/>
        </w:rPr>
        <w:t xml:space="preserve"> </w:t>
      </w:r>
      <w:r w:rsidR="00F62851" w:rsidRPr="002D79FD">
        <w:rPr>
          <w:rFonts w:cs="Times New Roman"/>
          <w:lang w:val="en-GB"/>
        </w:rPr>
        <w:t>For example, i</w:t>
      </w:r>
      <w:r w:rsidR="00345927" w:rsidRPr="002D79FD">
        <w:rPr>
          <w:rFonts w:cs="Times New Roman"/>
          <w:lang w:val="en-GB"/>
        </w:rPr>
        <w:t xml:space="preserve">n </w:t>
      </w:r>
      <w:r>
        <w:rPr>
          <w:rFonts w:cs="Times New Roman"/>
          <w:lang w:val="en-GB"/>
        </w:rPr>
        <w:t>Ruling</w:t>
      </w:r>
      <w:r w:rsidR="00EB0F2F" w:rsidRPr="002D79FD">
        <w:rPr>
          <w:rFonts w:cs="Times New Roman"/>
          <w:lang w:val="en-GB"/>
        </w:rPr>
        <w:t xml:space="preserve"> </w:t>
      </w:r>
      <w:r>
        <w:rPr>
          <w:rFonts w:cs="Times New Roman"/>
          <w:lang w:val="en-GB"/>
        </w:rPr>
        <w:t xml:space="preserve">No. </w:t>
      </w:r>
      <w:r w:rsidR="00EB0F2F" w:rsidRPr="002D79FD">
        <w:rPr>
          <w:rFonts w:cs="Times New Roman"/>
          <w:lang w:val="en-GB"/>
        </w:rPr>
        <w:t>292/2008</w:t>
      </w:r>
      <w:r w:rsidR="00F62851" w:rsidRPr="002D79FD">
        <w:rPr>
          <w:rFonts w:cs="Times New Roman"/>
          <w:lang w:val="en-GB"/>
        </w:rPr>
        <w:t>, the TC</w:t>
      </w:r>
      <w:r w:rsidR="00EB0F2F" w:rsidRPr="002D79FD">
        <w:rPr>
          <w:rFonts w:cs="Times New Roman"/>
          <w:lang w:val="en-GB"/>
        </w:rPr>
        <w:t xml:space="preserve"> confirmed that journalists must exercise diligence and care in their reporting</w:t>
      </w:r>
      <w:r w:rsidR="00F62851" w:rsidRPr="002D79FD">
        <w:rPr>
          <w:rFonts w:cs="Times New Roman"/>
          <w:lang w:val="en-GB"/>
        </w:rPr>
        <w:t>, while</w:t>
      </w:r>
      <w:r w:rsidR="00EB0F2F" w:rsidRPr="002D79FD">
        <w:rPr>
          <w:rFonts w:cs="Times New Roman"/>
          <w:lang w:val="en-GB"/>
        </w:rPr>
        <w:t xml:space="preserve"> </w:t>
      </w:r>
      <w:r>
        <w:rPr>
          <w:rFonts w:cs="Times New Roman"/>
          <w:lang w:val="en-GB"/>
        </w:rPr>
        <w:t>Ruling</w:t>
      </w:r>
      <w:r w:rsidR="00EB0F2F" w:rsidRPr="002D79FD">
        <w:rPr>
          <w:rFonts w:cs="Times New Roman"/>
          <w:lang w:val="en-GB"/>
        </w:rPr>
        <w:t xml:space="preserve"> </w:t>
      </w:r>
      <w:r>
        <w:rPr>
          <w:rFonts w:cs="Times New Roman"/>
          <w:lang w:val="en-GB"/>
        </w:rPr>
        <w:t xml:space="preserve">No. </w:t>
      </w:r>
      <w:r w:rsidR="00EB0F2F" w:rsidRPr="002D79FD">
        <w:rPr>
          <w:rFonts w:cs="Times New Roman"/>
          <w:lang w:val="en-GB"/>
        </w:rPr>
        <w:t xml:space="preserve">407/07 emphasized that freedom of expression includes the right to express opinions but must not infringe on individuals' </w:t>
      </w:r>
      <w:proofErr w:type="spellStart"/>
      <w:r w:rsidR="00EB0F2F" w:rsidRPr="002D79FD">
        <w:rPr>
          <w:rFonts w:cs="Times New Roman"/>
          <w:lang w:val="en-GB"/>
        </w:rPr>
        <w:t>honor</w:t>
      </w:r>
      <w:proofErr w:type="spellEnd"/>
      <w:r w:rsidR="00F62851" w:rsidRPr="002D79FD">
        <w:rPr>
          <w:rFonts w:cs="Times New Roman"/>
          <w:lang w:val="en-GB"/>
        </w:rPr>
        <w:t xml:space="preserve">, with </w:t>
      </w:r>
      <w:r>
        <w:rPr>
          <w:rFonts w:cs="Times New Roman"/>
          <w:lang w:val="en-GB"/>
        </w:rPr>
        <w:t>Ruling</w:t>
      </w:r>
      <w:r w:rsidR="00EB0F2F" w:rsidRPr="002D79FD">
        <w:rPr>
          <w:rFonts w:cs="Times New Roman"/>
          <w:lang w:val="en-GB"/>
        </w:rPr>
        <w:t xml:space="preserve"> </w:t>
      </w:r>
      <w:r>
        <w:rPr>
          <w:rFonts w:cs="Times New Roman"/>
          <w:lang w:val="en-GB"/>
        </w:rPr>
        <w:t>No.</w:t>
      </w:r>
      <w:r w:rsidR="00EB0F2F" w:rsidRPr="002D79FD">
        <w:rPr>
          <w:rFonts w:cs="Times New Roman"/>
          <w:lang w:val="en-GB"/>
        </w:rPr>
        <w:t xml:space="preserve"> 201/2004 establish</w:t>
      </w:r>
      <w:r w:rsidR="00713EB8">
        <w:rPr>
          <w:rFonts w:cs="Times New Roman"/>
          <w:lang w:val="en-GB"/>
        </w:rPr>
        <w:t>ing</w:t>
      </w:r>
      <w:r w:rsidR="00EB0F2F" w:rsidRPr="002D79FD">
        <w:rPr>
          <w:rFonts w:cs="Times New Roman"/>
          <w:lang w:val="en-GB"/>
        </w:rPr>
        <w:t xml:space="preserve"> that offensive judgments can be legitimate if they fall within the exercise of freedom of expression</w:t>
      </w:r>
      <w:r w:rsidR="00330090" w:rsidRPr="002D79FD">
        <w:rPr>
          <w:rFonts w:cs="Times New Roman"/>
          <w:lang w:val="en-GB"/>
        </w:rPr>
        <w:t>.</w:t>
      </w:r>
    </w:p>
    <w:p w14:paraId="242EE59C" w14:textId="1B0AEDF6" w:rsidR="00F17873" w:rsidRPr="003B0EDD" w:rsidRDefault="003B0EDD" w:rsidP="00172A3B">
      <w:pPr>
        <w:spacing w:line="480" w:lineRule="auto"/>
        <w:jc w:val="both"/>
        <w:rPr>
          <w:rFonts w:cs="Times New Roman"/>
          <w:lang w:val="en-GB"/>
        </w:rPr>
      </w:pPr>
      <w:r w:rsidRPr="003B0EDD">
        <w:rPr>
          <w:rFonts w:cs="Times New Roman"/>
          <w:lang w:val="en-GB"/>
        </w:rPr>
        <w:t xml:space="preserve">As for the ECtHR, it is responsible for ruling on complaints lodged regarding possible violations of the ECHR by internal decisions of the Contracting Parties. In this regard, the ECtHR will assess the issue </w:t>
      </w:r>
      <w:proofErr w:type="gramStart"/>
      <w:r w:rsidRPr="003B0EDD">
        <w:rPr>
          <w:rFonts w:cs="Times New Roman"/>
          <w:lang w:val="en-GB"/>
        </w:rPr>
        <w:t>in light of</w:t>
      </w:r>
      <w:proofErr w:type="gramEnd"/>
      <w:r w:rsidRPr="003B0EDD">
        <w:rPr>
          <w:rFonts w:cs="Times New Roman"/>
          <w:lang w:val="en-GB"/>
        </w:rPr>
        <w:t xml:space="preserve"> its interpretation of Article 10 of the ECHR, verifying whether free speech has been limited or restricted in the specific case and whether this falls within the legal provisions and a relevant public interest. It should be noted that the ECHR does not expressly provide for the right to </w:t>
      </w:r>
      <w:proofErr w:type="spellStart"/>
      <w:r w:rsidRPr="003B0EDD">
        <w:rPr>
          <w:rFonts w:cs="Times New Roman"/>
          <w:lang w:val="en-GB"/>
        </w:rPr>
        <w:t>honor</w:t>
      </w:r>
      <w:proofErr w:type="spellEnd"/>
      <w:r w:rsidRPr="003B0EDD">
        <w:rPr>
          <w:rFonts w:cs="Times New Roman"/>
          <w:lang w:val="en-GB"/>
        </w:rPr>
        <w:t xml:space="preserve">, which appears as an exception and limitation to freedom of expression. It is therefore understood that the Court ultimately interprets this limitation restrictively and has a </w:t>
      </w:r>
      <w:proofErr w:type="gramStart"/>
      <w:r w:rsidRPr="003B0EDD">
        <w:rPr>
          <w:rFonts w:cs="Times New Roman"/>
          <w:lang w:val="en-GB"/>
        </w:rPr>
        <w:t>fairly broad</w:t>
      </w:r>
      <w:proofErr w:type="gramEnd"/>
      <w:r w:rsidRPr="003B0EDD">
        <w:rPr>
          <w:rFonts w:cs="Times New Roman"/>
          <w:lang w:val="en-GB"/>
        </w:rPr>
        <w:t xml:space="preserve"> understanding of free speech, being particularly tolerant when it involves the media (and individual journalists) and public</w:t>
      </w:r>
      <w:r>
        <w:rPr>
          <w:rFonts w:cs="Times New Roman"/>
          <w:lang w:val="en-GB"/>
        </w:rPr>
        <w:t xml:space="preserve"> </w:t>
      </w:r>
      <w:r w:rsidRPr="003B0EDD">
        <w:rPr>
          <w:rFonts w:cs="Times New Roman"/>
          <w:lang w:val="en-GB"/>
        </w:rPr>
        <w:t>figures</w:t>
      </w:r>
      <w:r w:rsidR="00233AB8" w:rsidRPr="003B0EDD">
        <w:rPr>
          <w:rFonts w:cs="Times New Roman"/>
          <w:lang w:val="en-GB"/>
        </w:rPr>
        <w:t>.</w:t>
      </w:r>
      <w:r w:rsidR="00233AB8" w:rsidRPr="002D79FD">
        <w:rPr>
          <w:rStyle w:val="FootnoteReference"/>
          <w:rFonts w:cs="Times New Roman"/>
        </w:rPr>
        <w:footnoteReference w:id="235"/>
      </w:r>
    </w:p>
    <w:p w14:paraId="7E75CF4B" w14:textId="304EBF9E" w:rsidR="00802298" w:rsidRPr="00D37C36" w:rsidRDefault="00117743" w:rsidP="00172A3B">
      <w:pPr>
        <w:spacing w:line="480" w:lineRule="auto"/>
        <w:jc w:val="both"/>
        <w:rPr>
          <w:rFonts w:cs="Times New Roman"/>
          <w:lang w:val="en-GB"/>
        </w:rPr>
      </w:pPr>
      <w:r w:rsidRPr="00117743">
        <w:rPr>
          <w:rFonts w:cs="Times New Roman"/>
          <w:lang w:val="en-GB"/>
        </w:rPr>
        <w:t xml:space="preserve">The case law of the ECtHR recognizes, on the one hand, the duties of journalists, particularly ethical duties, and respect for personality rights, including those of public figures, notably by valuing the right of reply. On the other hand, it also recognizes that journalists have some margin of provocative freedom, particularly in the Prager and </w:t>
      </w:r>
      <w:proofErr w:type="spellStart"/>
      <w:r w:rsidRPr="00117743">
        <w:rPr>
          <w:rFonts w:cs="Times New Roman"/>
          <w:lang w:val="en-GB"/>
        </w:rPr>
        <w:lastRenderedPageBreak/>
        <w:t>Oberschlick</w:t>
      </w:r>
      <w:proofErr w:type="spellEnd"/>
      <w:r w:rsidRPr="00117743">
        <w:rPr>
          <w:rFonts w:cs="Times New Roman"/>
          <w:lang w:val="en-GB"/>
        </w:rPr>
        <w:t xml:space="preserve"> judgment (26</w:t>
      </w:r>
      <w:r>
        <w:rPr>
          <w:rFonts w:cs="Times New Roman"/>
          <w:lang w:val="en-GB"/>
        </w:rPr>
        <w:t>.04.</w:t>
      </w:r>
      <w:r w:rsidRPr="00117743">
        <w:rPr>
          <w:rFonts w:cs="Times New Roman"/>
          <w:lang w:val="en-GB"/>
        </w:rPr>
        <w:t>1995), which will only yield to compelling necessity and case-by-case proportionality criteria. For example, when magistrates are involved, the independence of the judiciary and confidence in the system may justify limitations on freedom of expression and of the press</w:t>
      </w:r>
      <w:r w:rsidR="00AB7676" w:rsidRPr="00117743">
        <w:rPr>
          <w:rFonts w:cs="Times New Roman"/>
          <w:lang w:val="en-GB"/>
        </w:rPr>
        <w:t>.</w:t>
      </w:r>
      <w:r w:rsidR="00C87B42" w:rsidRPr="002D79FD">
        <w:rPr>
          <w:rStyle w:val="FootnoteReference"/>
          <w:rFonts w:cs="Times New Roman"/>
        </w:rPr>
        <w:footnoteReference w:id="236"/>
      </w:r>
      <w:r w:rsidR="009B62DE" w:rsidRPr="00117743">
        <w:rPr>
          <w:rFonts w:cs="Times New Roman"/>
          <w:lang w:val="en-GB"/>
        </w:rPr>
        <w:t xml:space="preserve"> </w:t>
      </w:r>
      <w:r w:rsidR="00D37C36" w:rsidRPr="00D37C36">
        <w:rPr>
          <w:rFonts w:cs="Times New Roman"/>
          <w:lang w:val="en-GB"/>
        </w:rPr>
        <w:t>Three fundamental aspects arise from its decisions</w:t>
      </w:r>
      <w:r w:rsidR="00D37C36" w:rsidRPr="002D79FD">
        <w:rPr>
          <w:rStyle w:val="FootnoteReference"/>
          <w:rFonts w:cs="Times New Roman"/>
        </w:rPr>
        <w:footnoteReference w:id="237"/>
      </w:r>
      <w:r w:rsidR="00D37C36" w:rsidRPr="00D37C36">
        <w:rPr>
          <w:rFonts w:cs="Times New Roman"/>
          <w:lang w:val="en-GB"/>
        </w:rPr>
        <w:t xml:space="preserve">, which cover cases involving the condemnation of the Portuguese State for </w:t>
      </w:r>
      <w:r w:rsidR="00D37C36" w:rsidRPr="00D37C36">
        <w:rPr>
          <w:rFonts w:cs="Times New Roman"/>
          <w:lang w:val="en-GB"/>
        </w:rPr>
        <w:lastRenderedPageBreak/>
        <w:t>violation of Article 10 of the ECHR</w:t>
      </w:r>
      <w:r w:rsidR="00D37C36" w:rsidRPr="002D79FD">
        <w:rPr>
          <w:rStyle w:val="FootnoteReference"/>
          <w:rFonts w:cs="Times New Roman"/>
        </w:rPr>
        <w:footnoteReference w:id="238"/>
      </w:r>
      <w:r w:rsidR="00D37C36" w:rsidRPr="00D37C36">
        <w:rPr>
          <w:rFonts w:cs="Times New Roman"/>
          <w:lang w:val="en-GB"/>
        </w:rPr>
        <w:t>, in addition to the need for careful case-by-case assessment</w:t>
      </w:r>
      <w:r w:rsidR="00D37C36">
        <w:rPr>
          <w:rFonts w:cs="Times New Roman"/>
          <w:lang w:val="en-GB"/>
        </w:rPr>
        <w:t>:</w:t>
      </w:r>
    </w:p>
    <w:p w14:paraId="7B516A19" w14:textId="74E0A852" w:rsidR="00D57615" w:rsidRPr="00D57615" w:rsidRDefault="00D57615" w:rsidP="00172A3B">
      <w:pPr>
        <w:pStyle w:val="ListParagraph"/>
        <w:numPr>
          <w:ilvl w:val="0"/>
          <w:numId w:val="50"/>
        </w:numPr>
        <w:spacing w:line="480" w:lineRule="auto"/>
        <w:jc w:val="both"/>
        <w:rPr>
          <w:rFonts w:cs="Times New Roman"/>
          <w:lang w:val="en-GB"/>
        </w:rPr>
      </w:pPr>
      <w:r w:rsidRPr="00D57615">
        <w:rPr>
          <w:rFonts w:cs="Times New Roman"/>
          <w:lang w:val="en-GB"/>
        </w:rPr>
        <w:t xml:space="preserve">A restrictive interpretation of limitations on free speech/press freedom, with very strict criteria for their justification, including when they involve an alleged attack on </w:t>
      </w:r>
      <w:proofErr w:type="spellStart"/>
      <w:proofErr w:type="gramStart"/>
      <w:r w:rsidRPr="00D57615">
        <w:rPr>
          <w:rFonts w:cs="Times New Roman"/>
          <w:lang w:val="en-GB"/>
        </w:rPr>
        <w:t>honor</w:t>
      </w:r>
      <w:proofErr w:type="spellEnd"/>
      <w:r w:rsidRPr="00D57615">
        <w:rPr>
          <w:rFonts w:cs="Times New Roman"/>
          <w:lang w:val="en-GB"/>
        </w:rPr>
        <w:t>;</w:t>
      </w:r>
      <w:proofErr w:type="gramEnd"/>
    </w:p>
    <w:p w14:paraId="7D602A94" w14:textId="418AD8EB" w:rsidR="00D57615" w:rsidRPr="00D57615" w:rsidRDefault="00D57615" w:rsidP="00172A3B">
      <w:pPr>
        <w:pStyle w:val="ListParagraph"/>
        <w:numPr>
          <w:ilvl w:val="0"/>
          <w:numId w:val="50"/>
        </w:numPr>
        <w:spacing w:line="480" w:lineRule="auto"/>
        <w:jc w:val="both"/>
        <w:rPr>
          <w:rFonts w:cs="Times New Roman"/>
          <w:lang w:val="en-GB"/>
        </w:rPr>
      </w:pPr>
      <w:r w:rsidRPr="00D57615">
        <w:rPr>
          <w:rFonts w:cs="Times New Roman"/>
          <w:lang w:val="en-GB"/>
        </w:rPr>
        <w:t xml:space="preserve">It is important to distinguish between facts and value judgments. While the former may be true or false, the latter are subjective and merely </w:t>
      </w:r>
      <w:proofErr w:type="gramStart"/>
      <w:r w:rsidRPr="00D57615">
        <w:rPr>
          <w:rFonts w:cs="Times New Roman"/>
          <w:lang w:val="en-GB"/>
        </w:rPr>
        <w:t>opinionated;</w:t>
      </w:r>
      <w:proofErr w:type="gramEnd"/>
    </w:p>
    <w:p w14:paraId="27468DEA" w14:textId="0650529B" w:rsidR="00D57615" w:rsidRPr="00D57615" w:rsidRDefault="00D57615" w:rsidP="00172A3B">
      <w:pPr>
        <w:pStyle w:val="ListParagraph"/>
        <w:numPr>
          <w:ilvl w:val="0"/>
          <w:numId w:val="50"/>
        </w:numPr>
        <w:spacing w:line="480" w:lineRule="auto"/>
        <w:jc w:val="both"/>
        <w:rPr>
          <w:rFonts w:cs="Times New Roman"/>
          <w:lang w:val="en-GB"/>
        </w:rPr>
      </w:pPr>
      <w:r w:rsidRPr="00D57615">
        <w:rPr>
          <w:rFonts w:cs="Times New Roman"/>
          <w:lang w:val="en-GB"/>
        </w:rPr>
        <w:t>Public figures, because they are public, due to their exposure and/or functions, should be more subject than others to criticism and public scrutiny.</w:t>
      </w:r>
    </w:p>
    <w:p w14:paraId="42BC7263" w14:textId="602D50B6" w:rsidR="000D230B" w:rsidRPr="008D043E" w:rsidRDefault="008D043E" w:rsidP="00172A3B">
      <w:pPr>
        <w:spacing w:line="480" w:lineRule="auto"/>
        <w:jc w:val="both"/>
        <w:rPr>
          <w:rFonts w:cs="Times New Roman"/>
          <w:lang w:val="en-GB"/>
        </w:rPr>
      </w:pPr>
      <w:r w:rsidRPr="008D043E">
        <w:rPr>
          <w:rFonts w:cs="Times New Roman"/>
          <w:lang w:val="en-GB"/>
        </w:rPr>
        <w:t>But let's not forget, however, that the case law of the ECtHR, like that of the US, does not exclude liability for violations of freedom of expression and of the press of personality rights, accepting convictions in cases of manifestly exceeding the limits set out in Article 10(2) of the ECHR, in particular where there are manifestly disproportionate, i.e. unnecessary, inappropriate, and manifestly excessive, for example due to a total or almost total absence of relevant public interest or need for public scrutiny</w:t>
      </w:r>
      <w:r w:rsidR="00297DE4" w:rsidRPr="008D043E">
        <w:rPr>
          <w:rFonts w:cs="Times New Roman"/>
          <w:lang w:val="en-GB"/>
        </w:rPr>
        <w:t>.</w:t>
      </w:r>
      <w:r w:rsidR="00297DE4" w:rsidRPr="002D79FD">
        <w:rPr>
          <w:rStyle w:val="FootnoteReference"/>
          <w:rFonts w:cs="Times New Roman"/>
        </w:rPr>
        <w:footnoteReference w:id="239"/>
      </w:r>
    </w:p>
    <w:p w14:paraId="6AABD4A7" w14:textId="447568F5" w:rsidR="005A5447" w:rsidRDefault="00FD6503" w:rsidP="00172A3B">
      <w:pPr>
        <w:spacing w:line="480" w:lineRule="auto"/>
        <w:jc w:val="both"/>
        <w:rPr>
          <w:rFonts w:cs="Times New Roman"/>
          <w:lang w:val="en-GB"/>
        </w:rPr>
      </w:pPr>
      <w:r w:rsidRPr="00FD6503">
        <w:rPr>
          <w:rFonts w:cs="Times New Roman"/>
          <w:lang w:val="en-GB"/>
        </w:rPr>
        <w:lastRenderedPageBreak/>
        <w:t xml:space="preserve">While traditional Portuguese case law conflicted with the ECtHR’s assessment of conflicting rights and interpretation of their restrictions, in recent years, particularly in the higher courts, it has evolved towards convergence with the ECtHR’s understanding. To this end, not only may there be a doctrinal evolution and training of magistrates, but also the very effect of the binding nature of ECtHR decisions, which must be respected under penalty of new convictions for violation of the ECHR. Thus, the ECtHR's own case law with its interpretations of Article 10(2) is infiltrating and becoming established in Portuguese courts and dogma. </w:t>
      </w:r>
      <w:r w:rsidR="005A5447" w:rsidRPr="005A5447">
        <w:rPr>
          <w:rFonts w:cs="Times New Roman"/>
          <w:lang w:val="en-GB"/>
        </w:rPr>
        <w:t>Thus, in a change of position, the STJ ruling of June 30, 2011</w:t>
      </w:r>
      <w:r w:rsidR="005A5447" w:rsidRPr="002D79FD">
        <w:rPr>
          <w:rStyle w:val="FootnoteReference"/>
          <w:rFonts w:cs="Times New Roman"/>
        </w:rPr>
        <w:footnoteReference w:id="240"/>
      </w:r>
      <w:r w:rsidR="005A5447" w:rsidRPr="005A5447">
        <w:rPr>
          <w:rFonts w:cs="Times New Roman"/>
          <w:lang w:val="en-GB"/>
        </w:rPr>
        <w:t xml:space="preserve">  implies that, in accordance with Article 10 of the ECHR, the interpreter must start from the right to freedom of expression and ascertain whether any of the exceptions in paragraph 2 of the aforementioned Article 10 of the ECHR apply (in line with Article 11 of the Charter of Fundamental Rights of the European Union), rather than following the opposite approach, traditional in Portuguese case law, of beginning with the protection of the right to </w:t>
      </w:r>
      <w:proofErr w:type="spellStart"/>
      <w:r w:rsidR="005A5447" w:rsidRPr="005A5447">
        <w:rPr>
          <w:rFonts w:cs="Times New Roman"/>
          <w:lang w:val="en-GB"/>
        </w:rPr>
        <w:t>honor</w:t>
      </w:r>
      <w:proofErr w:type="spellEnd"/>
      <w:r w:rsidR="005A5447" w:rsidRPr="005A5447">
        <w:rPr>
          <w:rFonts w:cs="Times New Roman"/>
          <w:lang w:val="en-GB"/>
        </w:rPr>
        <w:t xml:space="preserve"> and considering cases of possible exceptions.</w:t>
      </w:r>
    </w:p>
    <w:p w14:paraId="222C8620" w14:textId="66E1ABA9" w:rsidR="00C571D7" w:rsidRDefault="00C571D7" w:rsidP="00172A3B">
      <w:pPr>
        <w:spacing w:line="480" w:lineRule="auto"/>
        <w:jc w:val="both"/>
        <w:rPr>
          <w:rFonts w:cs="Times New Roman"/>
          <w:lang w:val="en-GB"/>
        </w:rPr>
      </w:pPr>
      <w:r w:rsidRPr="00C571D7">
        <w:rPr>
          <w:rFonts w:cs="Times New Roman"/>
          <w:lang w:val="en-GB"/>
        </w:rPr>
        <w:t xml:space="preserve">For example, it is equally interesting to note that the Ruling of December 2, </w:t>
      </w:r>
      <w:r w:rsidRPr="008D09A4">
        <w:rPr>
          <w:rFonts w:cs="Times New Roman"/>
          <w:lang w:val="en-GB"/>
        </w:rPr>
        <w:t>2020</w:t>
      </w:r>
      <w:r w:rsidRPr="008D09A4">
        <w:rPr>
          <w:rStyle w:val="FootnoteReference"/>
          <w:rFonts w:cs="Times New Roman"/>
        </w:rPr>
        <w:footnoteReference w:id="241"/>
      </w:r>
      <w:r w:rsidRPr="008D09A4">
        <w:rPr>
          <w:rFonts w:cs="Times New Roman"/>
          <w:lang w:val="en-GB"/>
        </w:rPr>
        <w:t xml:space="preserve">  seeks, in its decision, to make a prognostic judgment on how the ECtHR would decide in the case at hand. In fact, the decision of the STJ in the Ruling of December 10, 2019</w:t>
      </w:r>
      <w:r w:rsidRPr="008D09A4">
        <w:rPr>
          <w:rStyle w:val="FootnoteReference"/>
          <w:rFonts w:cs="Times New Roman"/>
        </w:rPr>
        <w:footnoteReference w:id="242"/>
      </w:r>
      <w:r w:rsidRPr="008D09A4">
        <w:rPr>
          <w:rFonts w:cs="Times New Roman"/>
          <w:lang w:val="en-GB"/>
        </w:rPr>
        <w:t>,</w:t>
      </w:r>
      <w:r w:rsidRPr="00C571D7">
        <w:rPr>
          <w:rFonts w:cs="Times New Roman"/>
          <w:lang w:val="en-GB"/>
        </w:rPr>
        <w:t xml:space="preserve"> concerning a case involving a public figure, in which it recognizes that "</w:t>
      </w:r>
      <w:r w:rsidRPr="008D09A4">
        <w:rPr>
          <w:rFonts w:cs="Times New Roman"/>
          <w:i/>
          <w:iCs/>
          <w:lang w:val="en-GB"/>
        </w:rPr>
        <w:t xml:space="preserve">the binding nature of the ECHR and the consolidated case law of the ECtHR on national judges implies a shift in Portuguese case law, based on the understanding, until recently dominant, that the right to a good name </w:t>
      </w:r>
      <w:r w:rsidRPr="008D09A4">
        <w:rPr>
          <w:rFonts w:cs="Times New Roman"/>
          <w:i/>
          <w:iCs/>
          <w:lang w:val="en-GB"/>
        </w:rPr>
        <w:lastRenderedPageBreak/>
        <w:t xml:space="preserve">and reputation should take precedence over the right to freedom of expression and/or information. It is now accepted that journalists not only have broad latitude in making value judgments about politicians, but also in choosing the linguistic code they use. It is accepted that they may resort to strong, harsh, vehement, provocative, controversial, metaphorical, ironic, caustic, sarcastic, immoderate, and unpleasant language. (...) However, reviewing the facts of the case, we do not see that the publication of such news is, due to the nature of the facts in question, likely to violate the right to </w:t>
      </w:r>
      <w:proofErr w:type="spellStart"/>
      <w:r w:rsidRPr="008D09A4">
        <w:rPr>
          <w:rFonts w:cs="Times New Roman"/>
          <w:i/>
          <w:iCs/>
          <w:lang w:val="en-GB"/>
        </w:rPr>
        <w:t>honor</w:t>
      </w:r>
      <w:proofErr w:type="spellEnd"/>
      <w:r w:rsidRPr="008D09A4">
        <w:rPr>
          <w:rFonts w:cs="Times New Roman"/>
          <w:i/>
          <w:iCs/>
          <w:lang w:val="en-GB"/>
        </w:rPr>
        <w:t xml:space="preserve"> and personal consideration of those targeted, whether authors or respondents. It must therefore be concluded that, in the case at hand, the appellants' rights to freedom of expression and information and to freedom of the press and media prevail</w:t>
      </w:r>
      <w:r w:rsidRPr="00C571D7">
        <w:rPr>
          <w:rFonts w:cs="Times New Roman"/>
          <w:lang w:val="en-GB"/>
        </w:rPr>
        <w:t>.”</w:t>
      </w:r>
    </w:p>
    <w:p w14:paraId="71C20255" w14:textId="77777777" w:rsidR="002A4C2B" w:rsidRDefault="002A4C2B" w:rsidP="00172A3B">
      <w:pPr>
        <w:spacing w:line="480" w:lineRule="auto"/>
        <w:jc w:val="both"/>
        <w:rPr>
          <w:rFonts w:cs="Times New Roman"/>
          <w:lang w:val="en-GB"/>
        </w:rPr>
      </w:pPr>
      <w:r w:rsidRPr="002A4C2B">
        <w:rPr>
          <w:rFonts w:cs="Times New Roman"/>
          <w:lang w:val="en-GB"/>
        </w:rPr>
        <w:t>In conclusion, Portuguese jurisprudence is now much more aligned with that of the ECHR and the US in terms of valuing and, above all, enforcing free speech and freedom of the press.</w:t>
      </w:r>
    </w:p>
    <w:p w14:paraId="7EEA0E93" w14:textId="036917C8" w:rsidR="00BF3D18" w:rsidRPr="002A4C2B" w:rsidRDefault="00CE4E41" w:rsidP="00172A3B">
      <w:pPr>
        <w:spacing w:line="480" w:lineRule="auto"/>
        <w:jc w:val="both"/>
        <w:rPr>
          <w:rFonts w:cs="Times New Roman"/>
          <w:lang w:val="en-GB"/>
        </w:rPr>
      </w:pPr>
      <w:r w:rsidRPr="002A4C2B">
        <w:rPr>
          <w:rFonts w:cs="Times New Roman"/>
          <w:lang w:val="en-GB"/>
        </w:rPr>
        <w:t xml:space="preserve"> </w:t>
      </w:r>
    </w:p>
    <w:p w14:paraId="7D2D2365" w14:textId="77777777" w:rsidR="0055740C" w:rsidRPr="002D79FD" w:rsidRDefault="00440C72" w:rsidP="00172A3B">
      <w:pPr>
        <w:spacing w:line="480" w:lineRule="auto"/>
        <w:jc w:val="both"/>
        <w:rPr>
          <w:rFonts w:cs="Times New Roman"/>
          <w:b/>
          <w:bCs/>
          <w:lang w:val="en-GB"/>
        </w:rPr>
      </w:pPr>
      <w:r w:rsidRPr="002D79FD">
        <w:rPr>
          <w:rFonts w:cs="Times New Roman"/>
          <w:b/>
          <w:bCs/>
          <w:lang w:val="en-GB"/>
        </w:rPr>
        <w:t>6</w:t>
      </w:r>
      <w:r w:rsidR="00A43FA9" w:rsidRPr="002D79FD">
        <w:rPr>
          <w:rFonts w:cs="Times New Roman"/>
          <w:b/>
          <w:bCs/>
          <w:lang w:val="en-GB"/>
        </w:rPr>
        <w:t>. National Policy Responses</w:t>
      </w:r>
      <w:r w:rsidR="00727B60" w:rsidRPr="002D79FD">
        <w:rPr>
          <w:rFonts w:cs="Times New Roman"/>
          <w:b/>
          <w:bCs/>
          <w:lang w:val="en-GB"/>
        </w:rPr>
        <w:t>,</w:t>
      </w:r>
      <w:r w:rsidR="00422F51" w:rsidRPr="002D79FD">
        <w:rPr>
          <w:rFonts w:cs="Times New Roman"/>
          <w:b/>
          <w:bCs/>
          <w:lang w:val="en-GB"/>
        </w:rPr>
        <w:t xml:space="preserve"> Reform </w:t>
      </w:r>
      <w:r w:rsidR="00727B60" w:rsidRPr="002D79FD">
        <w:rPr>
          <w:rFonts w:cs="Times New Roman"/>
          <w:b/>
          <w:bCs/>
          <w:lang w:val="en-GB"/>
        </w:rPr>
        <w:t>Proposals</w:t>
      </w:r>
      <w:r w:rsidR="008B4CC8" w:rsidRPr="002D79FD">
        <w:rPr>
          <w:rFonts w:cs="Times New Roman"/>
          <w:b/>
          <w:bCs/>
          <w:lang w:val="en-GB"/>
        </w:rPr>
        <w:t xml:space="preserve"> and Normative Reflexions</w:t>
      </w:r>
      <w:r w:rsidR="00592A14" w:rsidRPr="002D79FD">
        <w:rPr>
          <w:rStyle w:val="EndnoteReference"/>
          <w:rFonts w:cs="Times New Roman"/>
          <w:b/>
          <w:bCs/>
          <w:lang w:val="en-GB"/>
        </w:rPr>
        <w:endnoteReference w:id="1"/>
      </w:r>
    </w:p>
    <w:p w14:paraId="2A470F04" w14:textId="2C00CDDB" w:rsidR="00287C4E" w:rsidRPr="002D79FD" w:rsidRDefault="00440C72" w:rsidP="00172A3B">
      <w:pPr>
        <w:spacing w:line="480" w:lineRule="auto"/>
        <w:jc w:val="both"/>
        <w:rPr>
          <w:rFonts w:cs="Times New Roman"/>
          <w:b/>
          <w:bCs/>
          <w:lang w:val="en-GB"/>
        </w:rPr>
      </w:pPr>
      <w:r w:rsidRPr="002D79FD">
        <w:rPr>
          <w:rFonts w:cs="Times New Roman"/>
          <w:b/>
          <w:bCs/>
          <w:lang w:val="en-GB"/>
        </w:rPr>
        <w:t>6</w:t>
      </w:r>
      <w:r w:rsidR="00E81DA8" w:rsidRPr="002D79FD">
        <w:rPr>
          <w:rFonts w:cs="Times New Roman"/>
          <w:b/>
          <w:bCs/>
          <w:lang w:val="en-GB"/>
        </w:rPr>
        <w:t>.1. The 2024 Plan of Action for Social Media</w:t>
      </w:r>
    </w:p>
    <w:p w14:paraId="33F5C515" w14:textId="673CF994" w:rsidR="001A6EFB" w:rsidRDefault="001A6EFB" w:rsidP="00172A3B">
      <w:pPr>
        <w:spacing w:line="480" w:lineRule="auto"/>
        <w:jc w:val="both"/>
        <w:rPr>
          <w:rFonts w:cs="Times New Roman"/>
          <w:lang w:val="en-GB"/>
        </w:rPr>
      </w:pPr>
      <w:r w:rsidRPr="001A6EFB">
        <w:rPr>
          <w:rFonts w:cs="Times New Roman"/>
          <w:lang w:val="en-GB"/>
        </w:rPr>
        <w:t>In 2024, the Portuguese government presented its Action Plan for the Media, covering both traditional and digital media organi</w:t>
      </w:r>
      <w:r w:rsidR="004E463B">
        <w:rPr>
          <w:rFonts w:cs="Times New Roman"/>
          <w:lang w:val="en-GB"/>
        </w:rPr>
        <w:t>z</w:t>
      </w:r>
      <w:r w:rsidRPr="001A6EFB">
        <w:rPr>
          <w:rFonts w:cs="Times New Roman"/>
          <w:lang w:val="en-GB"/>
        </w:rPr>
        <w:t>ations. According to the government, this plan seeks to address and respond to rapid changes in media consumption and growing concerns about sustainability and diversity in the media.</w:t>
      </w:r>
    </w:p>
    <w:p w14:paraId="3EA6CA0D" w14:textId="5EB3D4C0" w:rsidR="00A43FA9" w:rsidRPr="002D79FD" w:rsidRDefault="00A43FA9" w:rsidP="00172A3B">
      <w:pPr>
        <w:spacing w:line="480" w:lineRule="auto"/>
        <w:jc w:val="both"/>
        <w:rPr>
          <w:rFonts w:cs="Times New Roman"/>
          <w:lang w:val="en-GB"/>
        </w:rPr>
      </w:pPr>
      <w:r w:rsidRPr="002D79FD">
        <w:rPr>
          <w:rFonts w:cs="Times New Roman"/>
          <w:lang w:val="en-GB"/>
        </w:rPr>
        <w:t>The Portuguese Government’s Action Plan (aligned with EMFA) includes four strategic axes:</w:t>
      </w:r>
    </w:p>
    <w:p w14:paraId="1FA21DEE" w14:textId="16ABCDBF" w:rsidR="00A43FA9" w:rsidRPr="00836EFC" w:rsidRDefault="00A43FA9" w:rsidP="00172A3B">
      <w:pPr>
        <w:numPr>
          <w:ilvl w:val="0"/>
          <w:numId w:val="44"/>
        </w:numPr>
        <w:spacing w:line="480" w:lineRule="auto"/>
        <w:jc w:val="both"/>
        <w:rPr>
          <w:rFonts w:cs="Times New Roman"/>
          <w:lang w:val="en-GB"/>
        </w:rPr>
      </w:pPr>
      <w:r w:rsidRPr="00836EFC">
        <w:rPr>
          <w:rFonts w:cs="Times New Roman"/>
          <w:lang w:val="en-GB"/>
        </w:rPr>
        <w:t>Regulatory Reform: Consolidation of legislation into a unified Social Communication Code</w:t>
      </w:r>
      <w:r w:rsidR="00177370" w:rsidRPr="00836EFC">
        <w:rPr>
          <w:rFonts w:cs="Times New Roman"/>
          <w:lang w:val="en-GB"/>
        </w:rPr>
        <w:t xml:space="preserve">, </w:t>
      </w:r>
      <w:r w:rsidR="00836EFC" w:rsidRPr="00836EFC">
        <w:rPr>
          <w:rFonts w:cs="Times New Roman"/>
          <w:lang w:val="en-GB"/>
        </w:rPr>
        <w:t xml:space="preserve">which will aim to unify the current Press Law, Television and On-Demand Audiovisual Services Law, Radio Law, and Media Transparency Law </w:t>
      </w:r>
      <w:r w:rsidR="00836EFC" w:rsidRPr="00836EFC">
        <w:rPr>
          <w:rFonts w:cs="Times New Roman"/>
          <w:lang w:val="en-GB"/>
        </w:rPr>
        <w:lastRenderedPageBreak/>
        <w:t xml:space="preserve">into a single regime, reducing the current legislative dispersion, updating it in light of the challenges of digitization and </w:t>
      </w:r>
      <w:r w:rsidR="00E20F30" w:rsidRPr="00E20F30">
        <w:rPr>
          <w:rFonts w:cs="Times New Roman"/>
          <w:lang w:val="en-GB"/>
        </w:rPr>
        <w:t>Artificial Intelligence (AI)</w:t>
      </w:r>
      <w:r w:rsidR="00836EFC" w:rsidRPr="00836EFC">
        <w:rPr>
          <w:rFonts w:cs="Times New Roman"/>
          <w:lang w:val="en-GB"/>
        </w:rPr>
        <w:t xml:space="preserve">, and integrating European changes. This already appears to be a complex task. Although codification may be an obstacle to future innovation and greater flexibility, it allows conflicting regimes to be minimized, principles and concepts that structure the legal framework of the sector to be consolidated, and its application and enforcement to be simplified and facilitated. </w:t>
      </w:r>
      <w:proofErr w:type="gramStart"/>
      <w:r w:rsidR="00836EFC" w:rsidRPr="00836EFC">
        <w:rPr>
          <w:rFonts w:cs="Times New Roman"/>
          <w:lang w:val="en-GB"/>
        </w:rPr>
        <w:t>In particular, it</w:t>
      </w:r>
      <w:proofErr w:type="gramEnd"/>
      <w:r w:rsidR="00836EFC" w:rsidRPr="00836EFC">
        <w:rPr>
          <w:rFonts w:cs="Times New Roman"/>
          <w:lang w:val="en-GB"/>
        </w:rPr>
        <w:t xml:space="preserve"> is expected that the last part of the new code will focus exclusively on the issue of liability.</w:t>
      </w:r>
    </w:p>
    <w:p w14:paraId="2962F8B2" w14:textId="61499C19" w:rsidR="00A43FA9" w:rsidRPr="00501D74" w:rsidRDefault="00A43FA9" w:rsidP="00172A3B">
      <w:pPr>
        <w:numPr>
          <w:ilvl w:val="0"/>
          <w:numId w:val="44"/>
        </w:numPr>
        <w:spacing w:line="480" w:lineRule="auto"/>
        <w:jc w:val="both"/>
        <w:rPr>
          <w:rFonts w:cs="Times New Roman"/>
          <w:lang w:val="en-GB"/>
        </w:rPr>
      </w:pPr>
      <w:r w:rsidRPr="00501D74">
        <w:rPr>
          <w:rFonts w:cs="Times New Roman"/>
          <w:lang w:val="en-GB"/>
        </w:rPr>
        <w:t>Public Service Media: Modernization of RTP and safeguarding the independence of Lusa</w:t>
      </w:r>
      <w:r w:rsidR="00587142" w:rsidRPr="00501D74">
        <w:rPr>
          <w:rFonts w:cs="Times New Roman"/>
          <w:lang w:val="en-GB"/>
        </w:rPr>
        <w:t xml:space="preserve">, </w:t>
      </w:r>
      <w:r w:rsidR="00501D74" w:rsidRPr="00501D74">
        <w:rPr>
          <w:rFonts w:cs="Times New Roman"/>
          <w:lang w:val="en-GB"/>
        </w:rPr>
        <w:t xml:space="preserve">with the Government intending to renew RTP's concession contract, making it more flexible, and gradually ending commercial advertising on public TV channels, in a move that has been widely criticized in terms of the company's financial viability and its greater dependence on the State as a shareholder. </w:t>
      </w:r>
      <w:proofErr w:type="gramStart"/>
      <w:r w:rsidR="00501D74" w:rsidRPr="00501D74">
        <w:rPr>
          <w:rFonts w:cs="Times New Roman"/>
          <w:lang w:val="en-GB"/>
        </w:rPr>
        <w:t>With regard to</w:t>
      </w:r>
      <w:proofErr w:type="gramEnd"/>
      <w:r w:rsidR="00501D74" w:rsidRPr="00501D74">
        <w:rPr>
          <w:rFonts w:cs="Times New Roman"/>
          <w:lang w:val="en-GB"/>
        </w:rPr>
        <w:t xml:space="preserve"> Lusa, the </w:t>
      </w:r>
      <w:r w:rsidR="004A32CF">
        <w:rPr>
          <w:rFonts w:cs="Times New Roman"/>
          <w:lang w:val="en-GB"/>
        </w:rPr>
        <w:t>G</w:t>
      </w:r>
      <w:r w:rsidR="00501D74" w:rsidRPr="00501D74">
        <w:rPr>
          <w:rFonts w:cs="Times New Roman"/>
          <w:lang w:val="en-GB"/>
        </w:rPr>
        <w:t>overnment intends to clarify the shareholder structure, having held 95.86% of the capital since July 31, 2025. In addition, it proposes a new governance model that guarantees the news agency's independence, editorial freedom, and quality and accuracy of information, as well as its technological updating and reinforcement of resources.</w:t>
      </w:r>
    </w:p>
    <w:p w14:paraId="54EB9835" w14:textId="22CE0210" w:rsidR="00A43FA9" w:rsidRPr="00E20F30" w:rsidRDefault="00A43FA9" w:rsidP="00172A3B">
      <w:pPr>
        <w:numPr>
          <w:ilvl w:val="0"/>
          <w:numId w:val="44"/>
        </w:numPr>
        <w:spacing w:line="480" w:lineRule="auto"/>
        <w:jc w:val="both"/>
        <w:rPr>
          <w:rFonts w:cs="Times New Roman"/>
          <w:lang w:val="en-GB"/>
        </w:rPr>
      </w:pPr>
      <w:r w:rsidRPr="00E20F30">
        <w:rPr>
          <w:rFonts w:cs="Times New Roman"/>
          <w:lang w:val="en-GB"/>
        </w:rPr>
        <w:t xml:space="preserve">Sectoral Incentives: Support for hiring journalists, regional press, and digital </w:t>
      </w:r>
      <w:r w:rsidR="00765FA2" w:rsidRPr="00E20F30">
        <w:rPr>
          <w:rFonts w:cs="Times New Roman"/>
          <w:lang w:val="en-GB"/>
        </w:rPr>
        <w:t>transition</w:t>
      </w:r>
      <w:r w:rsidR="005A17F9" w:rsidRPr="00E20F30">
        <w:rPr>
          <w:rFonts w:cs="Times New Roman"/>
          <w:lang w:val="en-GB"/>
        </w:rPr>
        <w:t xml:space="preserve">, </w:t>
      </w:r>
      <w:r w:rsidR="00E20F30" w:rsidRPr="00E20F30">
        <w:rPr>
          <w:rFonts w:cs="Times New Roman"/>
          <w:lang w:val="en-GB"/>
        </w:rPr>
        <w:t>an Action Plan for the Safety of Journalists in the face of physical, psychological, and digital threats, and to empower the sector with knowledge about</w:t>
      </w:r>
      <w:r w:rsidR="00E20F30">
        <w:rPr>
          <w:rFonts w:cs="Times New Roman"/>
          <w:lang w:val="en-GB"/>
        </w:rPr>
        <w:t xml:space="preserve"> AI</w:t>
      </w:r>
      <w:r w:rsidR="00E20F30" w:rsidRPr="00E20F30">
        <w:rPr>
          <w:rFonts w:cs="Times New Roman"/>
          <w:lang w:val="en-GB"/>
        </w:rPr>
        <w:t>, including promoting the development of recommendations on the use of AI in journalism</w:t>
      </w:r>
      <w:r w:rsidR="00360724" w:rsidRPr="00E20F30">
        <w:rPr>
          <w:rFonts w:cs="Times New Roman"/>
          <w:lang w:val="en-GB"/>
        </w:rPr>
        <w:t>.</w:t>
      </w:r>
    </w:p>
    <w:p w14:paraId="6D3B1765" w14:textId="182BEDA5" w:rsidR="00A43FA9" w:rsidRPr="0009175D" w:rsidRDefault="00A43FA9" w:rsidP="00172A3B">
      <w:pPr>
        <w:numPr>
          <w:ilvl w:val="0"/>
          <w:numId w:val="44"/>
        </w:numPr>
        <w:spacing w:line="480" w:lineRule="auto"/>
        <w:jc w:val="both"/>
        <w:rPr>
          <w:rFonts w:cs="Times New Roman"/>
          <w:lang w:val="en-GB"/>
        </w:rPr>
      </w:pPr>
      <w:r w:rsidRPr="0009175D">
        <w:rPr>
          <w:rFonts w:cs="Times New Roman"/>
          <w:lang w:val="en-GB"/>
        </w:rPr>
        <w:t>Media Literacy: Creation of a National Media Literacy Plan (2025-2029)</w:t>
      </w:r>
      <w:r w:rsidR="00B54E97" w:rsidRPr="0009175D">
        <w:rPr>
          <w:rFonts w:cs="Times New Roman"/>
          <w:lang w:val="en-GB"/>
        </w:rPr>
        <w:t xml:space="preserve">, </w:t>
      </w:r>
      <w:r w:rsidR="0009175D" w:rsidRPr="0009175D">
        <w:rPr>
          <w:rFonts w:cs="Times New Roman"/>
          <w:lang w:val="en-GB"/>
        </w:rPr>
        <w:t xml:space="preserve">As part of a strategy for media literacy and combating misinformation, which includes a 50% </w:t>
      </w:r>
      <w:r w:rsidR="0009175D" w:rsidRPr="0009175D">
        <w:rPr>
          <w:rFonts w:cs="Times New Roman"/>
          <w:lang w:val="en-GB"/>
        </w:rPr>
        <w:lastRenderedPageBreak/>
        <w:t xml:space="preserve">discount on digital subscriptions purchased from media </w:t>
      </w:r>
      <w:r w:rsidR="00A03CDE">
        <w:rPr>
          <w:rFonts w:cs="Times New Roman"/>
          <w:lang w:val="en-GB"/>
        </w:rPr>
        <w:t>organizations</w:t>
      </w:r>
      <w:r w:rsidR="0009175D" w:rsidRPr="0009175D">
        <w:rPr>
          <w:rFonts w:cs="Times New Roman"/>
          <w:lang w:val="en-GB"/>
        </w:rPr>
        <w:t xml:space="preserve"> registered with the ERC. For each new digital subscription or renewal, the State will cover half the cost of that subscription. There are also plans to offer subscriptions to secondary school students</w:t>
      </w:r>
      <w:r w:rsidR="00E07A94" w:rsidRPr="0009175D">
        <w:rPr>
          <w:rFonts w:cs="Times New Roman"/>
          <w:lang w:val="en-GB"/>
        </w:rPr>
        <w:t>.</w:t>
      </w:r>
    </w:p>
    <w:p w14:paraId="4706B309" w14:textId="336642F6" w:rsidR="006402BE" w:rsidRPr="002D79FD" w:rsidRDefault="00A43FA9" w:rsidP="00172A3B">
      <w:pPr>
        <w:spacing w:line="480" w:lineRule="auto"/>
        <w:jc w:val="both"/>
        <w:rPr>
          <w:rFonts w:cs="Times New Roman"/>
          <w:lang w:val="en-GB"/>
        </w:rPr>
      </w:pPr>
      <w:r w:rsidRPr="002D79FD">
        <w:rPr>
          <w:rFonts w:cs="Times New Roman"/>
          <w:lang w:val="en-GB"/>
        </w:rPr>
        <w:t xml:space="preserve">These measures </w:t>
      </w:r>
      <w:r w:rsidR="00D77F26" w:rsidRPr="002D79FD">
        <w:rPr>
          <w:rFonts w:cs="Times New Roman"/>
          <w:lang w:val="en-GB"/>
        </w:rPr>
        <w:t xml:space="preserve">tend to </w:t>
      </w:r>
      <w:r w:rsidRPr="002D79FD">
        <w:rPr>
          <w:rFonts w:cs="Times New Roman"/>
          <w:lang w:val="en-GB"/>
        </w:rPr>
        <w:t>reflect an integrated approach, though their implementation will determine their</w:t>
      </w:r>
      <w:r w:rsidR="00D77F26" w:rsidRPr="002D79FD">
        <w:rPr>
          <w:rFonts w:cs="Times New Roman"/>
          <w:lang w:val="en-GB"/>
        </w:rPr>
        <w:t xml:space="preserve"> actual</w:t>
      </w:r>
      <w:r w:rsidRPr="002D79FD">
        <w:rPr>
          <w:rFonts w:cs="Times New Roman"/>
          <w:lang w:val="en-GB"/>
        </w:rPr>
        <w:t xml:space="preserve"> transformative potential.</w:t>
      </w:r>
    </w:p>
    <w:p w14:paraId="754C502E" w14:textId="1A917A28" w:rsidR="00650193" w:rsidRPr="00F22EB3" w:rsidRDefault="00F22EB3" w:rsidP="00172A3B">
      <w:pPr>
        <w:spacing w:line="480" w:lineRule="auto"/>
        <w:jc w:val="both"/>
        <w:rPr>
          <w:rFonts w:cs="Times New Roman"/>
          <w:lang w:val="en-GB"/>
        </w:rPr>
      </w:pPr>
      <w:r w:rsidRPr="00F22EB3">
        <w:rPr>
          <w:rFonts w:cs="Times New Roman"/>
          <w:lang w:val="en-GB"/>
        </w:rPr>
        <w:t xml:space="preserve">The Plan, most likely because it comes from the Government, ends up, especially in the first axis, placing a high value on </w:t>
      </w:r>
      <w:proofErr w:type="gramStart"/>
      <w:r w:rsidRPr="00F22EB3">
        <w:rPr>
          <w:rFonts w:cs="Times New Roman"/>
          <w:lang w:val="en-GB"/>
        </w:rPr>
        <w:t>hetero-regulation</w:t>
      </w:r>
      <w:proofErr w:type="gramEnd"/>
      <w:r w:rsidRPr="00F22EB3">
        <w:rPr>
          <w:rFonts w:cs="Times New Roman"/>
          <w:lang w:val="en-GB"/>
        </w:rPr>
        <w:t>, even with a slight reference to reflecting on proposals from associations within the sector, essentially mirroring a tendency to occupy the self-regulatory space. Despite the desire for ethical journalism, particularly in relation to literacy and the use of AI, the Plan does not expressly address the issue of strengthening the accountability of journalists and the media, which could be interpreted as leaving this matter to the sphere of self-regulation. Nevertheless, the provision of a specific section of the new Media Code to deal with responsibility may ultimately render this possibility completely meaningless and thus reflect the crystallization of the public capture of ethical issues.</w:t>
      </w:r>
    </w:p>
    <w:p w14:paraId="46E028F3" w14:textId="77777777" w:rsidR="006402BE" w:rsidRPr="00F22EB3" w:rsidRDefault="006402BE" w:rsidP="00172A3B">
      <w:pPr>
        <w:spacing w:line="480" w:lineRule="auto"/>
        <w:jc w:val="both"/>
        <w:rPr>
          <w:rFonts w:cs="Times New Roman"/>
          <w:lang w:val="en-GB"/>
        </w:rPr>
      </w:pPr>
    </w:p>
    <w:p w14:paraId="036A0A06" w14:textId="496A7995" w:rsidR="00C46238" w:rsidRPr="002D79FD" w:rsidRDefault="008C3C59" w:rsidP="00172A3B">
      <w:pPr>
        <w:spacing w:line="480" w:lineRule="auto"/>
        <w:jc w:val="both"/>
        <w:rPr>
          <w:rFonts w:cs="Times New Roman"/>
          <w:b/>
          <w:bCs/>
          <w:lang w:val="en-GB"/>
        </w:rPr>
      </w:pPr>
      <w:r w:rsidRPr="002D79FD">
        <w:rPr>
          <w:rFonts w:cs="Times New Roman"/>
          <w:b/>
          <w:bCs/>
          <w:lang w:val="en-GB"/>
        </w:rPr>
        <w:t>6.2</w:t>
      </w:r>
      <w:r w:rsidR="00A43FA9" w:rsidRPr="002D79FD">
        <w:rPr>
          <w:rFonts w:cs="Times New Roman"/>
          <w:b/>
          <w:bCs/>
          <w:lang w:val="en-GB"/>
        </w:rPr>
        <w:t>. Reform Proposals and Normative Reflections</w:t>
      </w:r>
    </w:p>
    <w:p w14:paraId="2B87F9E3" w14:textId="34C6BB8F" w:rsidR="00A43FA9" w:rsidRPr="007D4C8A" w:rsidRDefault="005A00E9" w:rsidP="00172A3B">
      <w:pPr>
        <w:spacing w:line="480" w:lineRule="auto"/>
        <w:jc w:val="both"/>
        <w:rPr>
          <w:rFonts w:cs="Times New Roman"/>
          <w:b/>
          <w:bCs/>
          <w:lang w:val="en-GB"/>
        </w:rPr>
      </w:pPr>
      <w:r w:rsidRPr="002D79FD">
        <w:rPr>
          <w:rFonts w:cs="Times New Roman"/>
          <w:b/>
          <w:bCs/>
          <w:lang w:val="en-GB"/>
        </w:rPr>
        <w:t>6. 2</w:t>
      </w:r>
      <w:r w:rsidR="00A43FA9" w:rsidRPr="002D79FD">
        <w:rPr>
          <w:rFonts w:cs="Times New Roman"/>
          <w:b/>
          <w:bCs/>
          <w:lang w:val="en-GB"/>
        </w:rPr>
        <w:t xml:space="preserve">.1. </w:t>
      </w:r>
      <w:r w:rsidR="00A43FA9" w:rsidRPr="007D4C8A">
        <w:rPr>
          <w:rFonts w:cs="Times New Roman"/>
          <w:b/>
          <w:bCs/>
          <w:lang w:val="en-GB"/>
        </w:rPr>
        <w:t>Reinvigorating Self-</w:t>
      </w:r>
      <w:r w:rsidR="00B8687D" w:rsidRPr="007D4C8A">
        <w:rPr>
          <w:rFonts w:cs="Times New Roman"/>
          <w:b/>
          <w:bCs/>
          <w:lang w:val="en-GB"/>
        </w:rPr>
        <w:t xml:space="preserve"> and Co-</w:t>
      </w:r>
      <w:r w:rsidR="00A43FA9" w:rsidRPr="007D4C8A">
        <w:rPr>
          <w:rFonts w:cs="Times New Roman"/>
          <w:b/>
          <w:bCs/>
          <w:lang w:val="en-GB"/>
        </w:rPr>
        <w:t>Regulation</w:t>
      </w:r>
    </w:p>
    <w:p w14:paraId="57196C45" w14:textId="485A6515" w:rsidR="000E7F32" w:rsidRPr="003B1BFC" w:rsidRDefault="003B1BFC" w:rsidP="00172A3B">
      <w:pPr>
        <w:spacing w:line="480" w:lineRule="auto"/>
        <w:jc w:val="both"/>
        <w:rPr>
          <w:rFonts w:cs="Times New Roman"/>
          <w:lang w:val="en-GB"/>
        </w:rPr>
      </w:pPr>
      <w:r w:rsidRPr="003B1BFC">
        <w:rPr>
          <w:rFonts w:cs="Times New Roman"/>
          <w:lang w:val="en-GB"/>
        </w:rPr>
        <w:t xml:space="preserve">It is clear from what has been written that, despite the post-revolutionary Portuguese legal system aiming, as stated in Article 9 of the ERC Statutes, for multifaceted regulation of the media, namely combining self-regulation with co-regulation/participatory regulation and hetero-regulation (through the legislative and executive powers, but also through AEI), in reality we are witnessing a public capture of the sphere of self-regulation. This is particularly </w:t>
      </w:r>
      <w:r w:rsidRPr="003B1BFC">
        <w:rPr>
          <w:rFonts w:cs="Times New Roman"/>
          <w:lang w:val="en-GB"/>
        </w:rPr>
        <w:lastRenderedPageBreak/>
        <w:t xml:space="preserve">visible in relation to journalists' duties and ethics, where, as pointed out above, not only has the Code of Ethics been enshrined in the Journalist's Statute, but supervisory powers and responsibilities in this area have been handed over to the AACS and then to the ERC. Furthermore, the fragility and inoperability of the self-regulatory mechanisms of the CCPJ and CDSJ, even more than the symbolism of moral sanctions </w:t>
      </w:r>
      <w:r w:rsidRPr="003B1BFC">
        <w:rPr>
          <w:rFonts w:cs="Times New Roman"/>
          <w:i/>
          <w:iCs/>
          <w:lang w:val="en-GB"/>
        </w:rPr>
        <w:t>per se</w:t>
      </w:r>
      <w:r w:rsidRPr="003B1BFC">
        <w:rPr>
          <w:rFonts w:cs="Times New Roman"/>
          <w:lang w:val="en-GB"/>
        </w:rPr>
        <w:t>, open the door to a growing invasion of their sphere.</w:t>
      </w:r>
    </w:p>
    <w:p w14:paraId="1A8A3928" w14:textId="6F713E0A" w:rsidR="00A43FA9" w:rsidRPr="002D79FD" w:rsidRDefault="003F1882" w:rsidP="00172A3B">
      <w:pPr>
        <w:spacing w:line="480" w:lineRule="auto"/>
        <w:jc w:val="both"/>
        <w:rPr>
          <w:rFonts w:cs="Times New Roman"/>
          <w:lang w:val="en-GB"/>
        </w:rPr>
      </w:pPr>
      <w:r w:rsidRPr="002D79FD">
        <w:rPr>
          <w:rFonts w:cs="Times New Roman"/>
          <w:lang w:val="en-GB"/>
        </w:rPr>
        <w:t>Thus</w:t>
      </w:r>
      <w:r w:rsidR="006A1FB0" w:rsidRPr="002D79FD">
        <w:rPr>
          <w:rFonts w:cs="Times New Roman"/>
          <w:lang w:val="en-GB"/>
        </w:rPr>
        <w:t>, a</w:t>
      </w:r>
      <w:r w:rsidR="00A43FA9" w:rsidRPr="002D79FD">
        <w:rPr>
          <w:rFonts w:cs="Times New Roman"/>
          <w:lang w:val="en-GB"/>
        </w:rPr>
        <w:t xml:space="preserve"> reconfiguration of self-</w:t>
      </w:r>
      <w:r w:rsidR="00EA0830" w:rsidRPr="002D79FD">
        <w:rPr>
          <w:rFonts w:cs="Times New Roman"/>
          <w:lang w:val="en-GB"/>
        </w:rPr>
        <w:t xml:space="preserve"> and co-</w:t>
      </w:r>
      <w:r w:rsidR="00A43FA9" w:rsidRPr="002D79FD">
        <w:rPr>
          <w:rFonts w:cs="Times New Roman"/>
          <w:lang w:val="en-GB"/>
        </w:rPr>
        <w:t>regulatory mechanisms is needed. The establishment of an independent Press Council with mediatory and adjudicatory powers would enhance accountability while preserving editorial autonomy.</w:t>
      </w:r>
    </w:p>
    <w:p w14:paraId="2DE46A22" w14:textId="531E12C6" w:rsidR="002E7C5A" w:rsidRPr="001B003D" w:rsidRDefault="001B003D" w:rsidP="00172A3B">
      <w:pPr>
        <w:spacing w:line="480" w:lineRule="auto"/>
        <w:jc w:val="both"/>
        <w:rPr>
          <w:rFonts w:cs="Times New Roman"/>
          <w:lang w:val="en-GB"/>
        </w:rPr>
      </w:pPr>
      <w:r w:rsidRPr="001B003D">
        <w:rPr>
          <w:rFonts w:cs="Times New Roman"/>
          <w:lang w:val="en-GB"/>
        </w:rPr>
        <w:t xml:space="preserve">In fact, as mentioned above, Portugal already had a Press Council, which was intended to be independent, created by the Press Law of 1975 and abolished to make way for an early version of EAI, the AACS, in a clear move towards expanding </w:t>
      </w:r>
      <w:proofErr w:type="gramStart"/>
      <w:r w:rsidRPr="001B003D">
        <w:rPr>
          <w:rFonts w:cs="Times New Roman"/>
          <w:lang w:val="en-GB"/>
        </w:rPr>
        <w:t>hetero-regulation</w:t>
      </w:r>
      <w:proofErr w:type="gramEnd"/>
      <w:r w:rsidRPr="001B003D">
        <w:rPr>
          <w:rFonts w:cs="Times New Roman"/>
          <w:lang w:val="en-GB"/>
        </w:rPr>
        <w:t>. Its main objectives focused on protecting press freedom from political and economic pressures and “</w:t>
      </w:r>
      <w:r w:rsidRPr="001B003D">
        <w:rPr>
          <w:rFonts w:cs="Times New Roman"/>
          <w:i/>
          <w:iCs/>
          <w:lang w:val="en-GB"/>
        </w:rPr>
        <w:t>promoting a press that is more accountable to the public, in the manner of an Ombudsman</w:t>
      </w:r>
      <w:r w:rsidR="00B9207B" w:rsidRPr="001B003D">
        <w:rPr>
          <w:rFonts w:cs="Times New Roman"/>
          <w:lang w:val="en-GB"/>
        </w:rPr>
        <w:t>.”</w:t>
      </w:r>
      <w:r w:rsidR="00B9207B" w:rsidRPr="002D79FD">
        <w:rPr>
          <w:rStyle w:val="FootnoteReference"/>
          <w:rFonts w:cs="Times New Roman"/>
        </w:rPr>
        <w:footnoteReference w:id="243"/>
      </w:r>
    </w:p>
    <w:p w14:paraId="5E0C7BBF" w14:textId="77777777" w:rsidR="00622604" w:rsidRPr="007D4C8A" w:rsidRDefault="00622604" w:rsidP="00172A3B">
      <w:pPr>
        <w:spacing w:line="480" w:lineRule="auto"/>
        <w:jc w:val="both"/>
        <w:rPr>
          <w:rFonts w:cs="Times New Roman"/>
          <w:lang w:val="en-GB"/>
        </w:rPr>
      </w:pPr>
      <w:r w:rsidRPr="00622604">
        <w:rPr>
          <w:rFonts w:cs="Times New Roman"/>
          <w:lang w:val="en-GB"/>
        </w:rPr>
        <w:t xml:space="preserve">Its composition, as provided for in Article 21(2) of that Law, reflected, on the one hand, the effort to ensure independence, notably with a judicial magistrate (appointed by the Superior Judicial Council) presiding, and, on the other hand, the representation of the various stakeholders in the sector, bringing together three members appointed by the Armed Forces Movement (which had governmental functions); six journalists, appointed by their respective professional organizations; two representatives of newspaper companies appointed by their respective employers' associations; two editors of periodicals, one from the daily press and the other from the non-daily press, appointed by election from their </w:t>
      </w:r>
      <w:r w:rsidRPr="00622604">
        <w:rPr>
          <w:rFonts w:cs="Times New Roman"/>
          <w:lang w:val="en-GB"/>
        </w:rPr>
        <w:lastRenderedPageBreak/>
        <w:t xml:space="preserve">respective professional categories from among those who do not belong to the management of their respective newspapers; and six members representing the parties of the governing coalition. </w:t>
      </w:r>
      <w:r w:rsidRPr="007D4C8A">
        <w:rPr>
          <w:rFonts w:cs="Times New Roman"/>
          <w:lang w:val="en-GB"/>
        </w:rPr>
        <w:t>It is worth noting that, currently, only the ERC Advisory Council brings together various actors from the sector, but it has no decision-making powers and is part of the structure of the public regulator and supervisor.</w:t>
      </w:r>
    </w:p>
    <w:p w14:paraId="5B170008" w14:textId="77777777" w:rsidR="00DF2CE2" w:rsidRDefault="00DF2CE2" w:rsidP="00172A3B">
      <w:pPr>
        <w:spacing w:line="480" w:lineRule="auto"/>
        <w:jc w:val="both"/>
        <w:rPr>
          <w:rFonts w:cs="Times New Roman"/>
          <w:lang w:val="en-GB"/>
        </w:rPr>
      </w:pPr>
      <w:r w:rsidRPr="00DF2CE2">
        <w:rPr>
          <w:rFonts w:cs="Times New Roman"/>
          <w:lang w:val="en-GB"/>
        </w:rPr>
        <w:t>For the purposes of this discussion, this Press Council, which is in fact a hybrid between self-regulation and hetero-regulation (not least because of its public foundation and composition) and closer to co-regulation</w:t>
      </w:r>
      <w:r w:rsidRPr="002D79FD">
        <w:rPr>
          <w:rStyle w:val="FootnoteReference"/>
          <w:rFonts w:cs="Times New Roman"/>
        </w:rPr>
        <w:footnoteReference w:id="244"/>
      </w:r>
      <w:r w:rsidRPr="00DF2CE2">
        <w:rPr>
          <w:rFonts w:cs="Times New Roman"/>
          <w:lang w:val="en-GB"/>
        </w:rPr>
        <w:t>, had the following functions, among others</w:t>
      </w:r>
      <w:r w:rsidRPr="002D79FD">
        <w:rPr>
          <w:rStyle w:val="FootnoteReference"/>
          <w:rFonts w:cs="Times New Roman"/>
        </w:rPr>
        <w:footnoteReference w:id="245"/>
      </w:r>
      <w:r w:rsidRPr="00DF2CE2">
        <w:rPr>
          <w:rFonts w:cs="Times New Roman"/>
          <w:lang w:val="en-GB"/>
        </w:rPr>
        <w:t>, according to Article 21(5) of the 1975 Press Law, to rule on matters of ethics and respect for professional secrecy, to assess complaints submitted by individuals, and to verify changes in the orientation of periodicals. Under the terms of paragraph 6, the legitimacy of filing a complaint is quite broad, falling to any citizen who wishes to complain about the conduct of the press or of persons or entities acting contrary to the provisions of the Press Law. It should be noted that the Law did not provide for ex officio knowledge of breaches of duty. Under paragraph 7, the Press Council had sixty days to assess the complaints submitted to it, hearing the parties concerned, and if the decision disapproved of the conduct of a periodical, the latter would be obliged to publish the decision without comment.</w:t>
      </w:r>
    </w:p>
    <w:p w14:paraId="1916F013" w14:textId="491351A5" w:rsidR="00437468" w:rsidRPr="00750A08" w:rsidRDefault="00FC6E19" w:rsidP="00172A3B">
      <w:pPr>
        <w:spacing w:line="480" w:lineRule="auto"/>
        <w:jc w:val="both"/>
        <w:rPr>
          <w:rFonts w:cs="Times New Roman"/>
          <w:lang w:val="en-GB"/>
        </w:rPr>
      </w:pPr>
      <w:r w:rsidRPr="007D4C8A">
        <w:rPr>
          <w:rFonts w:cs="Times New Roman"/>
          <w:lang w:val="en-GB"/>
        </w:rPr>
        <w:t>This mandatory publication of the decision in its entirety in the media itself proved to be one of the Council's main assets</w:t>
      </w:r>
      <w:r w:rsidRPr="002D79FD">
        <w:rPr>
          <w:rStyle w:val="FootnoteReference"/>
          <w:rFonts w:cs="Times New Roman"/>
        </w:rPr>
        <w:footnoteReference w:id="246"/>
      </w:r>
      <w:r w:rsidRPr="007D4C8A">
        <w:rPr>
          <w:rFonts w:cs="Times New Roman"/>
          <w:lang w:val="en-GB"/>
        </w:rPr>
        <w:t xml:space="preserve">, even though the media gave it little prominence and resisted </w:t>
      </w:r>
      <w:r w:rsidRPr="007D4C8A">
        <w:rPr>
          <w:rFonts w:cs="Times New Roman"/>
          <w:lang w:val="en-GB"/>
        </w:rPr>
        <w:lastRenderedPageBreak/>
        <w:t>sanctions, and the Council ultimately refrained from ruling on cases that were running parallel in the courts</w:t>
      </w:r>
      <w:r w:rsidR="005C31ED" w:rsidRPr="002D79FD">
        <w:rPr>
          <w:rStyle w:val="FootnoteReference"/>
          <w:rFonts w:cs="Times New Roman"/>
        </w:rPr>
        <w:footnoteReference w:id="247"/>
      </w:r>
      <w:r w:rsidR="007A6307" w:rsidRPr="007D4C8A">
        <w:rPr>
          <w:rFonts w:cs="Times New Roman"/>
          <w:lang w:val="en-GB"/>
        </w:rPr>
        <w:t xml:space="preserve">. </w:t>
      </w:r>
      <w:r w:rsidR="00750A08" w:rsidRPr="00750A08">
        <w:rPr>
          <w:rFonts w:cs="Times New Roman"/>
          <w:lang w:val="en-GB"/>
        </w:rPr>
        <w:t xml:space="preserve">This publicity, beyond its moral sanctioning effect, has educational potential, not only for the sector (e.g., other journalists, editors-in-chief, newspaper directors, media owners), but equally for the public (readers and audience), allowing ethics to be </w:t>
      </w:r>
      <w:proofErr w:type="gramStart"/>
      <w:r w:rsidR="00750A08" w:rsidRPr="00750A08">
        <w:rPr>
          <w:rFonts w:cs="Times New Roman"/>
          <w:lang w:val="en-GB"/>
        </w:rPr>
        <w:t>opened up</w:t>
      </w:r>
      <w:proofErr w:type="gramEnd"/>
      <w:r w:rsidR="00750A08" w:rsidRPr="00750A08">
        <w:rPr>
          <w:rFonts w:cs="Times New Roman"/>
          <w:lang w:val="en-GB"/>
        </w:rPr>
        <w:t xml:space="preserve"> beyond the strictly professional sphere, thereby reinforcing scrutiny and more participatory accountability</w:t>
      </w:r>
      <w:r w:rsidR="00045BD2" w:rsidRPr="00750A08">
        <w:rPr>
          <w:rFonts w:cs="Times New Roman"/>
          <w:lang w:val="en-GB"/>
        </w:rPr>
        <w:t>.</w:t>
      </w:r>
      <w:r w:rsidR="006E66A8" w:rsidRPr="002D79FD">
        <w:rPr>
          <w:rStyle w:val="FootnoteReference"/>
          <w:rFonts w:cs="Times New Roman"/>
        </w:rPr>
        <w:footnoteReference w:id="248"/>
      </w:r>
    </w:p>
    <w:p w14:paraId="7694BBCB" w14:textId="77777777" w:rsidR="00036881" w:rsidRDefault="00036881" w:rsidP="00172A3B">
      <w:pPr>
        <w:spacing w:line="480" w:lineRule="auto"/>
        <w:jc w:val="both"/>
        <w:rPr>
          <w:rFonts w:cs="Times New Roman"/>
          <w:lang w:val="en-GB"/>
        </w:rPr>
      </w:pPr>
      <w:r w:rsidRPr="00036881">
        <w:rPr>
          <w:rFonts w:cs="Times New Roman"/>
          <w:lang w:val="en-GB"/>
        </w:rPr>
        <w:t xml:space="preserve">Historically, the CDSJ has only recently begun to publish its decisions, and the ERC does so, albeit in summary form. Besides, the Press Council, in a spirit of accountability, used to publish an annual report for consideration by the Government and the Council of State, in which it was required to examine, among other things, the ethical </w:t>
      </w:r>
      <w:proofErr w:type="spellStart"/>
      <w:r w:rsidRPr="00036881">
        <w:rPr>
          <w:rFonts w:cs="Times New Roman"/>
          <w:lang w:val="en-GB"/>
        </w:rPr>
        <w:t>behavior</w:t>
      </w:r>
      <w:proofErr w:type="spellEnd"/>
      <w:r w:rsidRPr="00036881">
        <w:rPr>
          <w:rFonts w:cs="Times New Roman"/>
          <w:lang w:val="en-GB"/>
        </w:rPr>
        <w:t xml:space="preserve"> of publications. </w:t>
      </w:r>
    </w:p>
    <w:p w14:paraId="5DE2CAB4" w14:textId="654C6048" w:rsidR="002C236C" w:rsidRPr="004262B7" w:rsidRDefault="004262B7" w:rsidP="00172A3B">
      <w:pPr>
        <w:spacing w:line="480" w:lineRule="auto"/>
        <w:jc w:val="both"/>
        <w:rPr>
          <w:rFonts w:cs="Times New Roman"/>
          <w:lang w:val="en-GB"/>
        </w:rPr>
      </w:pPr>
      <w:r w:rsidRPr="004262B7">
        <w:rPr>
          <w:rFonts w:cs="Times New Roman"/>
          <w:lang w:val="en-GB"/>
        </w:rPr>
        <w:t>His hard work</w:t>
      </w:r>
      <w:r w:rsidRPr="002D79FD">
        <w:rPr>
          <w:rStyle w:val="FootnoteReference"/>
          <w:rFonts w:cs="Times New Roman"/>
        </w:rPr>
        <w:footnoteReference w:id="249"/>
      </w:r>
      <w:r w:rsidRPr="004262B7">
        <w:rPr>
          <w:rFonts w:cs="Times New Roman"/>
          <w:lang w:val="en-GB"/>
        </w:rPr>
        <w:t xml:space="preserve"> and professionalism</w:t>
      </w:r>
      <w:r w:rsidRPr="002D79FD">
        <w:rPr>
          <w:rStyle w:val="FootnoteReference"/>
          <w:rFonts w:cs="Times New Roman"/>
        </w:rPr>
        <w:footnoteReference w:id="250"/>
      </w:r>
      <w:r w:rsidRPr="004262B7">
        <w:rPr>
          <w:rFonts w:cs="Times New Roman"/>
          <w:lang w:val="en-GB"/>
        </w:rPr>
        <w:t xml:space="preserve">, even during the early years of Portuguese democracy and despite </w:t>
      </w:r>
      <w:r>
        <w:rPr>
          <w:rFonts w:cs="Times New Roman"/>
          <w:lang w:val="en-GB"/>
        </w:rPr>
        <w:t>scarce</w:t>
      </w:r>
      <w:r w:rsidRPr="004262B7">
        <w:rPr>
          <w:rFonts w:cs="Times New Roman"/>
          <w:lang w:val="en-GB"/>
        </w:rPr>
        <w:t xml:space="preserve"> resources</w:t>
      </w:r>
      <w:r w:rsidRPr="002D79FD">
        <w:rPr>
          <w:rStyle w:val="FootnoteReference"/>
          <w:rFonts w:cs="Times New Roman"/>
        </w:rPr>
        <w:footnoteReference w:id="251"/>
      </w:r>
      <w:r w:rsidRPr="004262B7">
        <w:rPr>
          <w:rFonts w:cs="Times New Roman"/>
          <w:lang w:val="en-GB"/>
        </w:rPr>
        <w:t>, earned the Press Council a good reputation, especially among journalists, and there are frequent calls for its reinstatement, particularly from the SJ and the API.</w:t>
      </w:r>
      <w:r w:rsidRPr="002D79FD">
        <w:rPr>
          <w:rStyle w:val="FootnoteReference"/>
          <w:rFonts w:cs="Times New Roman"/>
        </w:rPr>
        <w:footnoteReference w:id="252"/>
      </w:r>
      <w:r w:rsidRPr="004262B7">
        <w:rPr>
          <w:rFonts w:cs="Times New Roman"/>
          <w:lang w:val="en-GB"/>
        </w:rPr>
        <w:t xml:space="preserve"> Its activity in </w:t>
      </w:r>
      <w:proofErr w:type="spellStart"/>
      <w:r w:rsidRPr="004262B7">
        <w:rPr>
          <w:rFonts w:cs="Times New Roman"/>
          <w:lang w:val="en-GB"/>
        </w:rPr>
        <w:t>analyzing</w:t>
      </w:r>
      <w:proofErr w:type="spellEnd"/>
      <w:r w:rsidRPr="004262B7">
        <w:rPr>
          <w:rFonts w:cs="Times New Roman"/>
          <w:lang w:val="en-GB"/>
        </w:rPr>
        <w:t xml:space="preserve"> complaints regarding the right of reply has, in fact, created a legacy that has been continued by the entities that followed it</w:t>
      </w:r>
      <w:r w:rsidR="001B10DF" w:rsidRPr="004262B7">
        <w:rPr>
          <w:rFonts w:cs="Times New Roman"/>
          <w:lang w:val="en-GB"/>
        </w:rPr>
        <w:t>.</w:t>
      </w:r>
      <w:r w:rsidR="001B10DF" w:rsidRPr="002D79FD">
        <w:rPr>
          <w:rStyle w:val="FootnoteReference"/>
          <w:rFonts w:cs="Times New Roman"/>
        </w:rPr>
        <w:footnoteReference w:id="253"/>
      </w:r>
    </w:p>
    <w:p w14:paraId="7DB6F8DF" w14:textId="7F0411D8" w:rsidR="00B50234" w:rsidRPr="007D4C8A" w:rsidRDefault="00B50234" w:rsidP="00172A3B">
      <w:pPr>
        <w:spacing w:line="480" w:lineRule="auto"/>
        <w:jc w:val="both"/>
        <w:rPr>
          <w:rFonts w:cs="Times New Roman"/>
          <w:lang w:val="en-GB"/>
        </w:rPr>
      </w:pPr>
      <w:r w:rsidRPr="00B50234">
        <w:rPr>
          <w:rFonts w:cs="Times New Roman"/>
          <w:lang w:val="en-GB"/>
        </w:rPr>
        <w:lastRenderedPageBreak/>
        <w:t xml:space="preserve">The question that arises is whether there is room for this type of solution in the current Portuguese regulatory landscape. Despite the more or less discreet expansion of hetero-regulation, partly due to a certain inertia in self-regulation, the very growth and increasing complexity of the challenges in the media sector open doors to new spaces and allow old spaces to be revived, especially since self-regulation has a faster and broader response capacity and a more flexible and versatile dimension, and co-regulation has greater consensus. Furthermore, not filling these spaces is an invitation to the sustained expansion of hetero-regulation and the impoverishment of understanding of the specific regulatory characteristics of the media. </w:t>
      </w:r>
      <w:r w:rsidRPr="007D4C8A">
        <w:rPr>
          <w:rFonts w:cs="Times New Roman"/>
          <w:lang w:val="en-GB"/>
        </w:rPr>
        <w:t xml:space="preserve">On the other hand, it is important to find and institutionalize a channel for stakeholder convergence, which seems to be lacking in </w:t>
      </w:r>
      <w:r w:rsidR="00B116E0" w:rsidRPr="007D4C8A">
        <w:rPr>
          <w:rFonts w:cs="Times New Roman"/>
          <w:lang w:val="en-GB"/>
        </w:rPr>
        <w:t>Portugal,</w:t>
      </w:r>
      <w:r w:rsidRPr="007D4C8A">
        <w:rPr>
          <w:rFonts w:cs="Times New Roman"/>
          <w:lang w:val="en-GB"/>
        </w:rPr>
        <w:t xml:space="preserve"> and which could not only reduce the transaction costs of collaboration but also reduce litigation costs.</w:t>
      </w:r>
    </w:p>
    <w:p w14:paraId="65A739AA" w14:textId="5752D671" w:rsidR="006D4251" w:rsidRDefault="006D4251" w:rsidP="00172A3B">
      <w:pPr>
        <w:spacing w:line="480" w:lineRule="auto"/>
        <w:jc w:val="both"/>
        <w:rPr>
          <w:rFonts w:cs="Times New Roman"/>
          <w:lang w:val="en-GB"/>
        </w:rPr>
      </w:pPr>
      <w:r>
        <w:rPr>
          <w:rFonts w:cs="Times New Roman"/>
          <w:lang w:val="en-GB"/>
        </w:rPr>
        <w:t>Self</w:t>
      </w:r>
      <w:r w:rsidR="0019672B" w:rsidRPr="0019672B">
        <w:rPr>
          <w:rFonts w:cs="Times New Roman"/>
          <w:lang w:val="en-GB"/>
        </w:rPr>
        <w:t>-regulation (understood here in a broad sense, including the various actors in the sector and not merely the stricter professional perspective of journalists) and co-regulation allow for the establishment of regulation with a more persuasive coercive power, through moral means, namely by naming and shaming, rather than through harsher sanctions associated with legal means, particularly financial penalties or suspension of activity.</w:t>
      </w:r>
    </w:p>
    <w:p w14:paraId="2ACF794B" w14:textId="3A224A08" w:rsidR="004A5FA7" w:rsidRDefault="009C4F2F" w:rsidP="00172A3B">
      <w:pPr>
        <w:spacing w:line="480" w:lineRule="auto"/>
        <w:jc w:val="both"/>
        <w:rPr>
          <w:rFonts w:cs="Times New Roman"/>
          <w:lang w:val="en-GB"/>
        </w:rPr>
      </w:pPr>
      <w:r w:rsidRPr="009C4F2F">
        <w:rPr>
          <w:rFonts w:cs="Times New Roman"/>
          <w:lang w:val="en-GB"/>
        </w:rPr>
        <w:t>As Santos de Miranda</w:t>
      </w:r>
      <w:r w:rsidRPr="002D79FD">
        <w:rPr>
          <w:rStyle w:val="FootnoteReference"/>
          <w:rFonts w:cs="Times New Roman"/>
        </w:rPr>
        <w:footnoteReference w:id="254"/>
      </w:r>
      <w:r w:rsidRPr="009C4F2F">
        <w:rPr>
          <w:rFonts w:cs="Times New Roman"/>
          <w:lang w:val="en-GB"/>
        </w:rPr>
        <w:t xml:space="preserve"> rightly reminds us, the “voluntary and binding nature of self-regulation presupposes an effective call for stakeholders to engage in public debate on the issues, holding them directly accountable for their conduct. For its part, the public, critical, and educational dimension of decisions not only presupposes an increase in public confidence in </w:t>
      </w:r>
      <w:proofErr w:type="gramStart"/>
      <w:r w:rsidRPr="009C4F2F">
        <w:rPr>
          <w:rFonts w:cs="Times New Roman"/>
          <w:lang w:val="en-GB"/>
        </w:rPr>
        <w:t>journalism, but</w:t>
      </w:r>
      <w:proofErr w:type="gramEnd"/>
      <w:r w:rsidRPr="009C4F2F">
        <w:rPr>
          <w:rFonts w:cs="Times New Roman"/>
          <w:lang w:val="en-GB"/>
        </w:rPr>
        <w:t xml:space="preserve"> also fosters a relationship of commitment between the different actors in the media system, laying the foundations for the constitution of a real </w:t>
      </w:r>
      <w:proofErr w:type="spellStart"/>
      <w:r w:rsidRPr="009C4F2F">
        <w:rPr>
          <w:rFonts w:cs="Times New Roman"/>
          <w:lang w:val="en-GB"/>
        </w:rPr>
        <w:t>mediapolis</w:t>
      </w:r>
      <w:proofErr w:type="spellEnd"/>
      <w:r w:rsidRPr="009C4F2F">
        <w:rPr>
          <w:rFonts w:cs="Times New Roman"/>
          <w:lang w:val="en-GB"/>
        </w:rPr>
        <w:t>."</w:t>
      </w:r>
    </w:p>
    <w:p w14:paraId="4A232475" w14:textId="60FA29B2" w:rsidR="002537AF" w:rsidRPr="009C4F2F" w:rsidRDefault="002537AF" w:rsidP="00172A3B">
      <w:pPr>
        <w:spacing w:line="480" w:lineRule="auto"/>
        <w:jc w:val="both"/>
        <w:rPr>
          <w:rFonts w:cs="Times New Roman"/>
          <w:lang w:val="en-GB"/>
        </w:rPr>
      </w:pPr>
      <w:r w:rsidRPr="002537AF">
        <w:rPr>
          <w:rFonts w:cs="Times New Roman"/>
          <w:lang w:val="en-GB"/>
        </w:rPr>
        <w:lastRenderedPageBreak/>
        <w:t>The problem, though, is figuring out the best model for this purpose. Even though the idea is to have a Press Council, looking at other countries' experiences and theories</w:t>
      </w:r>
      <w:r w:rsidRPr="002D79FD">
        <w:rPr>
          <w:rStyle w:val="FootnoteReference"/>
          <w:rFonts w:cs="Times New Roman"/>
        </w:rPr>
        <w:footnoteReference w:id="255"/>
      </w:r>
      <w:r w:rsidRPr="002537AF">
        <w:rPr>
          <w:rFonts w:cs="Times New Roman"/>
          <w:lang w:val="en-GB"/>
        </w:rPr>
        <w:t xml:space="preserve"> shows that there are lots of different solutions, with </w:t>
      </w:r>
      <w:proofErr w:type="gramStart"/>
      <w:r w:rsidRPr="002537AF">
        <w:rPr>
          <w:rFonts w:cs="Times New Roman"/>
          <w:lang w:val="en-GB"/>
        </w:rPr>
        <w:t>more or less involvement</w:t>
      </w:r>
      <w:proofErr w:type="gramEnd"/>
      <w:r w:rsidRPr="002537AF">
        <w:rPr>
          <w:rFonts w:cs="Times New Roman"/>
          <w:lang w:val="en-GB"/>
        </w:rPr>
        <w:t xml:space="preserve"> from different players—like civil society, in a shared accountability approach, or the government, in a meta-regulation approach. There are also models with a differentiated definition of duties, powers, and competences, including sanctions (more or less soft), and consideration should be given to whether the Press Council should only focus on </w:t>
      </w:r>
      <w:proofErr w:type="spellStart"/>
      <w:r w:rsidRPr="002537AF">
        <w:rPr>
          <w:rFonts w:cs="Times New Roman"/>
          <w:lang w:val="en-GB"/>
        </w:rPr>
        <w:t>analyzing</w:t>
      </w:r>
      <w:proofErr w:type="spellEnd"/>
      <w:r w:rsidRPr="002537AF">
        <w:rPr>
          <w:rFonts w:cs="Times New Roman"/>
          <w:lang w:val="en-GB"/>
        </w:rPr>
        <w:t xml:space="preserve"> complaints against journalists, whether it should have ex officio knowledge and powers of mediation</w:t>
      </w:r>
      <w:r w:rsidRPr="002D79FD">
        <w:rPr>
          <w:rStyle w:val="FootnoteReference"/>
          <w:rFonts w:cs="Times New Roman"/>
        </w:rPr>
        <w:footnoteReference w:id="256"/>
      </w:r>
      <w:r w:rsidRPr="002537AF">
        <w:rPr>
          <w:rFonts w:cs="Times New Roman"/>
          <w:lang w:val="en-GB"/>
        </w:rPr>
        <w:t xml:space="preserve"> between those involved in the complaint, rather than merely deciding on the merits, or whether it should also have a say in matters of public media policy and even attention to economic and competitive interests.</w:t>
      </w:r>
    </w:p>
    <w:p w14:paraId="7069F0C8" w14:textId="7BD5CB80" w:rsidR="00AC25D9" w:rsidRDefault="000230C9" w:rsidP="00172A3B">
      <w:pPr>
        <w:spacing w:line="480" w:lineRule="auto"/>
        <w:jc w:val="both"/>
        <w:rPr>
          <w:rFonts w:cs="Times New Roman"/>
          <w:lang w:val="en-GB"/>
        </w:rPr>
      </w:pPr>
      <w:r w:rsidRPr="000230C9">
        <w:rPr>
          <w:rFonts w:cs="Times New Roman"/>
          <w:lang w:val="en-GB"/>
        </w:rPr>
        <w:t xml:space="preserve">It is not appropriate here to propose an ideal model for the Portuguese </w:t>
      </w:r>
      <w:r w:rsidRPr="00C51DEE">
        <w:rPr>
          <w:rFonts w:cs="Times New Roman"/>
          <w:lang w:val="en-GB"/>
        </w:rPr>
        <w:t>context</w:t>
      </w:r>
      <w:r w:rsidR="00C51DEE" w:rsidRPr="00C51DEE">
        <w:rPr>
          <w:rStyle w:val="FootnoteReference"/>
          <w:rFonts w:cs="Times New Roman"/>
        </w:rPr>
        <w:footnoteReference w:id="257"/>
      </w:r>
      <w:r w:rsidRPr="00C51DEE">
        <w:rPr>
          <w:rFonts w:cs="Times New Roman"/>
          <w:lang w:val="en-GB"/>
        </w:rPr>
        <w:t>,</w:t>
      </w:r>
      <w:r w:rsidRPr="000230C9">
        <w:rPr>
          <w:rFonts w:cs="Times New Roman"/>
          <w:lang w:val="en-GB"/>
        </w:rPr>
        <w:t xml:space="preserve"> but it seems to us that it should not only ensure that members are suitable, experienced, and “independent”/respected and representative of the media sector, including online media</w:t>
      </w:r>
      <w:r w:rsidR="00C51DEE" w:rsidRPr="002D79FD">
        <w:rPr>
          <w:rStyle w:val="FootnoteReference"/>
          <w:rFonts w:cs="Times New Roman"/>
        </w:rPr>
        <w:footnoteReference w:id="258"/>
      </w:r>
      <w:r w:rsidR="00C51DEE" w:rsidRPr="00C51DEE">
        <w:rPr>
          <w:rFonts w:cs="Times New Roman"/>
          <w:lang w:val="en-GB"/>
        </w:rPr>
        <w:t xml:space="preserve"> </w:t>
      </w:r>
      <w:r w:rsidRPr="000230C9">
        <w:rPr>
          <w:rFonts w:cs="Times New Roman"/>
          <w:lang w:val="en-GB"/>
        </w:rPr>
        <w:t>—and not just the press— in a context of “multimedia convergence”</w:t>
      </w:r>
      <w:r w:rsidRPr="002D79FD">
        <w:rPr>
          <w:rStyle w:val="FootnoteReference"/>
          <w:rFonts w:cs="Times New Roman"/>
        </w:rPr>
        <w:footnoteReference w:id="259"/>
      </w:r>
      <w:r w:rsidRPr="000230C9">
        <w:rPr>
          <w:rFonts w:cs="Times New Roman"/>
          <w:lang w:val="en-GB"/>
        </w:rPr>
        <w:t xml:space="preserve"> - but that its composition should include a participatory approach, open ethics, and meta-regulation, especially given the new digital media context, with the possibility of responding to complaints and acting </w:t>
      </w:r>
      <w:r w:rsidRPr="000230C9">
        <w:rPr>
          <w:rFonts w:cs="Times New Roman"/>
          <w:i/>
          <w:iCs/>
          <w:lang w:val="en-GB"/>
        </w:rPr>
        <w:t>ex officio</w:t>
      </w:r>
      <w:r w:rsidRPr="000230C9">
        <w:rPr>
          <w:rFonts w:cs="Times New Roman"/>
          <w:lang w:val="en-GB"/>
        </w:rPr>
        <w:t xml:space="preserve">, with sanctions being eminently moral (and publicized). The devil is in the details and in the ability to coordinate the various mechanisms and entities </w:t>
      </w:r>
      <w:r w:rsidRPr="000230C9">
        <w:rPr>
          <w:rFonts w:cs="Times New Roman"/>
          <w:lang w:val="en-GB"/>
        </w:rPr>
        <w:lastRenderedPageBreak/>
        <w:t>responsible for regulation.</w:t>
      </w:r>
      <w:r>
        <w:rPr>
          <w:rFonts w:cs="Times New Roman"/>
          <w:lang w:val="en-GB"/>
        </w:rPr>
        <w:t xml:space="preserve"> </w:t>
      </w:r>
      <w:proofErr w:type="gramStart"/>
      <w:r w:rsidR="0091456F" w:rsidRPr="0091456F">
        <w:rPr>
          <w:rFonts w:cs="Times New Roman"/>
          <w:lang w:val="en-GB"/>
        </w:rPr>
        <w:t>In particular, it</w:t>
      </w:r>
      <w:proofErr w:type="gramEnd"/>
      <w:r w:rsidR="0091456F" w:rsidRPr="0091456F">
        <w:rPr>
          <w:rFonts w:cs="Times New Roman"/>
          <w:lang w:val="en-GB"/>
        </w:rPr>
        <w:t xml:space="preserve"> should be noted that, for the purposes of this discussion, it is necessary to consider not only individual journalists, but also the hierarchical and corporate structures that surround them. Revitalizing </w:t>
      </w:r>
      <w:r w:rsidR="00C156C7">
        <w:rPr>
          <w:rFonts w:cs="Times New Roman"/>
          <w:lang w:val="en-GB"/>
        </w:rPr>
        <w:t>newsroom</w:t>
      </w:r>
      <w:r w:rsidR="0091456F" w:rsidRPr="0091456F">
        <w:rPr>
          <w:rFonts w:cs="Times New Roman"/>
          <w:lang w:val="en-GB"/>
        </w:rPr>
        <w:t xml:space="preserve"> boards and ombudsmen, at least in traditional media, is therefore a fundamental step.</w:t>
      </w:r>
      <w:r w:rsidR="000E1D2B" w:rsidRPr="002D79FD">
        <w:rPr>
          <w:rStyle w:val="FootnoteReference"/>
          <w:rFonts w:cs="Times New Roman"/>
        </w:rPr>
        <w:footnoteReference w:id="260"/>
      </w:r>
      <w:r w:rsidR="004D7022" w:rsidRPr="0091456F">
        <w:rPr>
          <w:rFonts w:cs="Times New Roman"/>
          <w:lang w:val="en-GB"/>
        </w:rPr>
        <w:t xml:space="preserve"> </w:t>
      </w:r>
      <w:r w:rsidR="00AC25D9" w:rsidRPr="00AC25D9">
        <w:rPr>
          <w:rFonts w:cs="Times New Roman"/>
          <w:lang w:val="en-GB"/>
        </w:rPr>
        <w:t xml:space="preserve">That is to say, we cannot expect that the creation (in isolation) of a Press Council in Portugal will magically resolve the tensions between the various regulatory spheres and, on its own, overcome some of the inertia and ineffectiveness of decisions on violations of journalists' duties. </w:t>
      </w:r>
      <w:proofErr w:type="gramStart"/>
      <w:r w:rsidR="00767E6D" w:rsidRPr="00767E6D">
        <w:rPr>
          <w:rFonts w:cs="Times New Roman"/>
          <w:lang w:val="en-GB"/>
        </w:rPr>
        <w:t>All the more</w:t>
      </w:r>
      <w:proofErr w:type="gramEnd"/>
      <w:r w:rsidR="00767E6D" w:rsidRPr="00767E6D">
        <w:rPr>
          <w:rFonts w:cs="Times New Roman"/>
          <w:lang w:val="en-GB"/>
        </w:rPr>
        <w:t xml:space="preserve"> so because its final model will require consideration of changes to the various existing regulators, namely ERC, CDSJ, and CCPJ</w:t>
      </w:r>
      <w:r w:rsidR="00740F32">
        <w:rPr>
          <w:rFonts w:cs="Times New Roman"/>
          <w:lang w:val="en-GB"/>
        </w:rPr>
        <w:t xml:space="preserve">, </w:t>
      </w:r>
      <w:proofErr w:type="gramStart"/>
      <w:r w:rsidR="00740F32">
        <w:rPr>
          <w:rFonts w:cs="Times New Roman"/>
          <w:lang w:val="en-GB"/>
        </w:rPr>
        <w:t>and also</w:t>
      </w:r>
      <w:proofErr w:type="gramEnd"/>
      <w:r w:rsidR="00740F32">
        <w:rPr>
          <w:rFonts w:cs="Times New Roman"/>
          <w:lang w:val="en-GB"/>
        </w:rPr>
        <w:t xml:space="preserve"> faces the challenges of a principal-agent </w:t>
      </w:r>
      <w:r w:rsidR="00750B93">
        <w:rPr>
          <w:rFonts w:cs="Times New Roman"/>
          <w:lang w:val="en-GB"/>
        </w:rPr>
        <w:t xml:space="preserve">relationship with asymmetric information and </w:t>
      </w:r>
      <w:r w:rsidR="000A25E5">
        <w:rPr>
          <w:rFonts w:cs="Times New Roman"/>
          <w:lang w:val="en-GB"/>
        </w:rPr>
        <w:t>mi</w:t>
      </w:r>
      <w:r w:rsidR="00750B93">
        <w:rPr>
          <w:rFonts w:cs="Times New Roman"/>
          <w:lang w:val="en-GB"/>
        </w:rPr>
        <w:t>saligned interests</w:t>
      </w:r>
      <w:r w:rsidR="000A25E5">
        <w:rPr>
          <w:rStyle w:val="FootnoteReference"/>
          <w:rFonts w:cs="Times New Roman"/>
          <w:lang w:val="en-GB"/>
        </w:rPr>
        <w:footnoteReference w:id="261"/>
      </w:r>
      <w:r w:rsidR="00750B93">
        <w:rPr>
          <w:rFonts w:cs="Times New Roman"/>
          <w:lang w:val="en-GB"/>
        </w:rPr>
        <w:t>.</w:t>
      </w:r>
    </w:p>
    <w:p w14:paraId="4C70950C" w14:textId="27011AB2" w:rsidR="00D86706" w:rsidRPr="00F8054E" w:rsidRDefault="00AC34EE" w:rsidP="00172A3B">
      <w:pPr>
        <w:spacing w:line="480" w:lineRule="auto"/>
        <w:jc w:val="both"/>
        <w:rPr>
          <w:rFonts w:cs="Times New Roman"/>
          <w:lang w:val="en-GB"/>
        </w:rPr>
      </w:pPr>
      <w:r w:rsidRPr="00AC34EE">
        <w:rPr>
          <w:rFonts w:cs="Times New Roman"/>
          <w:lang w:val="en"/>
        </w:rPr>
        <w:t xml:space="preserve">In fact, two aspects deserve in-depth reflection by the sector in the reconstruction of media regulation and supervision and the duties of journalists. Should there be a legal definition of the ethical component? And if so, to what extent? And what type of sanctions should be applied, especially from </w:t>
      </w:r>
      <w:r w:rsidR="00506002" w:rsidRPr="00AC34EE">
        <w:rPr>
          <w:rFonts w:cs="Times New Roman"/>
          <w:lang w:val="en"/>
        </w:rPr>
        <w:t>the perspective</w:t>
      </w:r>
      <w:r w:rsidRPr="00AC34EE">
        <w:rPr>
          <w:rFonts w:cs="Times New Roman"/>
          <w:lang w:val="en"/>
        </w:rPr>
        <w:t xml:space="preserve"> of strict (individual journalists) and broader effectiveness (media and public opinion)?</w:t>
      </w:r>
    </w:p>
    <w:p w14:paraId="2791257F" w14:textId="1EF50A98" w:rsidR="0047226E" w:rsidRPr="003D5D72" w:rsidRDefault="00B013D5" w:rsidP="00172A3B">
      <w:pPr>
        <w:spacing w:line="480" w:lineRule="auto"/>
        <w:jc w:val="both"/>
        <w:rPr>
          <w:rFonts w:cs="Times New Roman"/>
          <w:lang w:val="en-GB"/>
        </w:rPr>
      </w:pPr>
      <w:r w:rsidRPr="00B013D5">
        <w:rPr>
          <w:rFonts w:cs="Times New Roman"/>
          <w:lang w:val="en-GB"/>
        </w:rPr>
        <w:t>Briefly</w:t>
      </w:r>
      <w:r w:rsidRPr="002D79FD">
        <w:rPr>
          <w:rStyle w:val="FootnoteReference"/>
          <w:rFonts w:cs="Times New Roman"/>
        </w:rPr>
        <w:footnoteReference w:id="262"/>
      </w:r>
      <w:r w:rsidRPr="00B013D5">
        <w:rPr>
          <w:rFonts w:cs="Times New Roman"/>
          <w:lang w:val="en-GB"/>
        </w:rPr>
        <w:t xml:space="preserve">, regarding the first question, which we do not intend to resolve here, as it is historically one of the most controversial in legal dogma, it should be noted that the positivist view of the separation between the moral and ethical order and the legal order finds little support in Portugal today, with a tendency to understand law as a minimum ethical standard. This may stem from a contemporary understanding, particularly in countries with a civil law tradition, especially in Europe, of the superiority of law over other normative orders, notably moral and social ones, an idea that is often instilled in law </w:t>
      </w:r>
      <w:r w:rsidRPr="00B013D5">
        <w:rPr>
          <w:rFonts w:cs="Times New Roman"/>
          <w:lang w:val="en-GB"/>
        </w:rPr>
        <w:lastRenderedPageBreak/>
        <w:t xml:space="preserve">schools themselves. </w:t>
      </w:r>
      <w:r w:rsidR="00CD2769" w:rsidRPr="00CD2769">
        <w:rPr>
          <w:rFonts w:cs="Times New Roman"/>
          <w:lang w:val="en-GB"/>
        </w:rPr>
        <w:t xml:space="preserve">Indeed, looking at codes of conduct, there is a widespread trend towards their legalization, from journalism to financial markets, across various professional associations, through two main channels that can be combined: the legal imposition of the creation and adoption of these codes and the integration of ethical duties and sectoral professional rules of conduct into legal instruments. </w:t>
      </w:r>
      <w:r w:rsidR="005F5329" w:rsidRPr="009341F2">
        <w:rPr>
          <w:rFonts w:cs="Times New Roman"/>
          <w:lang w:val="en-GB"/>
        </w:rPr>
        <w:t xml:space="preserve">In the end, certain </w:t>
      </w:r>
      <w:proofErr w:type="spellStart"/>
      <w:r w:rsidR="005F5329" w:rsidRPr="009341F2">
        <w:rPr>
          <w:rFonts w:cs="Times New Roman"/>
          <w:lang w:val="en-GB"/>
        </w:rPr>
        <w:t>behaviors</w:t>
      </w:r>
      <w:proofErr w:type="spellEnd"/>
      <w:r w:rsidR="005F5329" w:rsidRPr="009341F2">
        <w:rPr>
          <w:rFonts w:cs="Times New Roman"/>
          <w:lang w:val="en-GB"/>
        </w:rPr>
        <w:t xml:space="preserve"> can be important both ethically and legally. </w:t>
      </w:r>
      <w:r w:rsidR="005F5329" w:rsidRPr="005F5329">
        <w:rPr>
          <w:rFonts w:cs="Times New Roman"/>
          <w:lang w:val="en-GB"/>
        </w:rPr>
        <w:t xml:space="preserve">Just think of a newspaper article that defames someone or invades their image or privacy. With the provision, including constitutionally, of fundamental rights linked to personality, it becomes difficult to separate them, even if differences in perspective (internal for ethical logic and external for legal logic) and the type of sanctions to be applied (soft for ethics and hard for law) are alleged. </w:t>
      </w:r>
      <w:r w:rsidR="003D5D72" w:rsidRPr="003D5D72">
        <w:rPr>
          <w:rFonts w:cs="Times New Roman"/>
          <w:lang w:val="en-GB"/>
        </w:rPr>
        <w:t xml:space="preserve">This reasoning is overly simplistic, since the law will be interested in internal aspects, such as intent, to assess the goodness of conduct and, on the other hand, moral sanctions, namely naming and shaming, can be as harsh as or even harsher than fines or even suspension of activity, given the importance, when living and working in society, of reputation in the eyes of others and for one's own self-image and self-understanding. Furthermore, the need to publicize the right of reply or the decision may take away advertising space and reduce revenue, especially if it happens repeatedly, driving away audiences and advertisers for reputational reasons. In fact, financial (legal) sanctions may prove ineffective if the offending </w:t>
      </w:r>
      <w:proofErr w:type="spellStart"/>
      <w:r w:rsidR="003D5D72" w:rsidRPr="003D5D72">
        <w:rPr>
          <w:rFonts w:cs="Times New Roman"/>
          <w:lang w:val="en-GB"/>
        </w:rPr>
        <w:t>behavior</w:t>
      </w:r>
      <w:proofErr w:type="spellEnd"/>
      <w:r w:rsidR="003D5D72" w:rsidRPr="003D5D72">
        <w:rPr>
          <w:rFonts w:cs="Times New Roman"/>
          <w:lang w:val="en-GB"/>
        </w:rPr>
        <w:t xml:space="preserve"> more than compensates financially (e.g., by increasing newspaper sales or audiences) and leads to endless litigation. They may also prove too harsh, inhibiting activity. In other words, their assessment should </w:t>
      </w:r>
      <w:proofErr w:type="gramStart"/>
      <w:r w:rsidR="003D5D72" w:rsidRPr="003D5D72">
        <w:rPr>
          <w:rFonts w:cs="Times New Roman"/>
          <w:lang w:val="en-GB"/>
        </w:rPr>
        <w:t>take into account</w:t>
      </w:r>
      <w:proofErr w:type="gramEnd"/>
      <w:r w:rsidR="003D5D72" w:rsidRPr="003D5D72">
        <w:rPr>
          <w:rFonts w:cs="Times New Roman"/>
          <w:lang w:val="en-GB"/>
        </w:rPr>
        <w:t xml:space="preserve"> the context and the specific case</w:t>
      </w:r>
      <w:r w:rsidR="005F43EE" w:rsidRPr="003D5D72">
        <w:rPr>
          <w:rFonts w:cs="Times New Roman"/>
          <w:lang w:val="en-GB"/>
        </w:rPr>
        <w:t>.</w:t>
      </w:r>
      <w:r w:rsidR="00A17F02" w:rsidRPr="002D79FD">
        <w:rPr>
          <w:rStyle w:val="FootnoteReference"/>
          <w:rFonts w:cs="Times New Roman"/>
        </w:rPr>
        <w:footnoteReference w:id="263"/>
      </w:r>
    </w:p>
    <w:p w14:paraId="6F2C32D7" w14:textId="1931160E" w:rsidR="00307E1D" w:rsidRPr="009C1F9D" w:rsidRDefault="00680D2A" w:rsidP="00172A3B">
      <w:pPr>
        <w:spacing w:line="480" w:lineRule="auto"/>
        <w:jc w:val="both"/>
        <w:rPr>
          <w:rFonts w:cs="Times New Roman"/>
          <w:lang w:val="en-GB"/>
        </w:rPr>
      </w:pPr>
      <w:r w:rsidRPr="00680D2A">
        <w:rPr>
          <w:rFonts w:cs="Times New Roman"/>
          <w:lang w:val="en-GB"/>
        </w:rPr>
        <w:t xml:space="preserve">Regardless of the relationship and boundaries between law and morality, this </w:t>
      </w:r>
      <w:proofErr w:type="spellStart"/>
      <w:r w:rsidRPr="00680D2A">
        <w:rPr>
          <w:rFonts w:cs="Times New Roman"/>
          <w:lang w:val="en-GB"/>
        </w:rPr>
        <w:t>juridification</w:t>
      </w:r>
      <w:proofErr w:type="spellEnd"/>
      <w:r w:rsidRPr="00680D2A">
        <w:rPr>
          <w:rFonts w:cs="Times New Roman"/>
          <w:lang w:val="en-GB"/>
        </w:rPr>
        <w:t xml:space="preserve"> raises, as we have seen, the problem of self-regulation being captured by hetero</w:t>
      </w:r>
      <w:r w:rsidR="00ED71FF">
        <w:rPr>
          <w:rFonts w:cs="Times New Roman"/>
          <w:lang w:val="en-GB"/>
        </w:rPr>
        <w:t>-</w:t>
      </w:r>
      <w:r w:rsidRPr="00680D2A">
        <w:rPr>
          <w:rFonts w:cs="Times New Roman"/>
          <w:lang w:val="en-GB"/>
        </w:rPr>
        <w:t xml:space="preserve">regulation and the loss of the richness of regulatory multidimensionality. This is all the more relevant </w:t>
      </w:r>
      <w:r w:rsidRPr="00680D2A">
        <w:rPr>
          <w:rFonts w:cs="Times New Roman"/>
          <w:lang w:val="en-GB"/>
        </w:rPr>
        <w:lastRenderedPageBreak/>
        <w:t>when we observe, particularly in Portugal, the inclusion of new duties for journalists by the legislator (e.g., respect for the guidelines and objectives defined in the editorial charter of the media outlet, or refraining from participating in the treatment or presentation of entertainment material, or not abusing the good faith of the public) without the consent of the parties concerned, which could one day lead to the</w:t>
      </w:r>
      <w:r>
        <w:rPr>
          <w:rFonts w:cs="Times New Roman"/>
          <w:lang w:val="en-GB"/>
        </w:rPr>
        <w:t xml:space="preserve"> slippery slope</w:t>
      </w:r>
      <w:r w:rsidRPr="00680D2A">
        <w:rPr>
          <w:rFonts w:cs="Times New Roman"/>
          <w:lang w:val="en-GB"/>
        </w:rPr>
        <w:t xml:space="preserve"> restriction of freedom of expression and of the press</w:t>
      </w:r>
      <w:r w:rsidR="00807DA4" w:rsidRPr="00680D2A">
        <w:rPr>
          <w:rFonts w:cs="Times New Roman"/>
          <w:lang w:val="en-GB"/>
        </w:rPr>
        <w:t>.</w:t>
      </w:r>
      <w:r w:rsidR="00DA40BC" w:rsidRPr="002D79FD">
        <w:rPr>
          <w:rStyle w:val="FootnoteReference"/>
          <w:rFonts w:cs="Times New Roman"/>
        </w:rPr>
        <w:footnoteReference w:id="264"/>
      </w:r>
      <w:r>
        <w:rPr>
          <w:rFonts w:cs="Times New Roman"/>
          <w:lang w:val="en-GB"/>
        </w:rPr>
        <w:t xml:space="preserve"> </w:t>
      </w:r>
      <w:r w:rsidR="009C1F9D" w:rsidRPr="009C1F9D">
        <w:rPr>
          <w:rFonts w:cs="Times New Roman"/>
          <w:lang w:val="en-GB"/>
        </w:rPr>
        <w:t xml:space="preserve">Nevertheless, the fact that the SJ has established a Code of Ethics in Portugal is also limiting, since the union does not represent all journalists, as union membership is not mandatory, and the union has a low number of </w:t>
      </w:r>
      <w:r w:rsidR="009C1F9D">
        <w:rPr>
          <w:rFonts w:cs="Times New Roman"/>
          <w:lang w:val="en-GB"/>
        </w:rPr>
        <w:t>memes</w:t>
      </w:r>
      <w:r w:rsidR="006D788A" w:rsidRPr="009C1F9D">
        <w:rPr>
          <w:rFonts w:cs="Times New Roman"/>
          <w:lang w:val="en-GB"/>
        </w:rPr>
        <w:t>.</w:t>
      </w:r>
      <w:r w:rsidR="006D788A" w:rsidRPr="002D79FD">
        <w:rPr>
          <w:rStyle w:val="FootnoteReference"/>
          <w:rFonts w:cs="Times New Roman"/>
        </w:rPr>
        <w:footnoteReference w:id="265"/>
      </w:r>
    </w:p>
    <w:p w14:paraId="116F1D37" w14:textId="77777777" w:rsidR="0057140B" w:rsidRDefault="0057140B" w:rsidP="00172A3B">
      <w:pPr>
        <w:spacing w:line="480" w:lineRule="auto"/>
        <w:jc w:val="both"/>
        <w:rPr>
          <w:rFonts w:cs="Times New Roman"/>
          <w:lang w:val="en-GB"/>
        </w:rPr>
      </w:pPr>
      <w:r w:rsidRPr="0057140B">
        <w:rPr>
          <w:rFonts w:cs="Times New Roman"/>
          <w:lang w:val="en-GB"/>
        </w:rPr>
        <w:t>Regarding sanctions, ultimately, as evidenced by what has been written, it does not appear that, a priori, legal sanctions are more effective or punishable than moral sanctions. As mentioned, some moral sanctions, especially when publicized in a timely manner, have significant punitive potential, but also preventative, persuasive, and pedagogical potential. Properly guaranteeing the right of reply is also essential in this regard. The important thing is that ethical criticism be given visibility and not hidden behind corporate walls.</w:t>
      </w:r>
    </w:p>
    <w:p w14:paraId="389328CD" w14:textId="1129F380" w:rsidR="00F8054E" w:rsidRDefault="00F8054E" w:rsidP="00172A3B">
      <w:pPr>
        <w:spacing w:line="480" w:lineRule="auto"/>
        <w:jc w:val="both"/>
        <w:rPr>
          <w:rFonts w:cs="Times New Roman"/>
          <w:lang w:val="en-GB"/>
        </w:rPr>
      </w:pPr>
      <w:r w:rsidRPr="00F8054E">
        <w:rPr>
          <w:rFonts w:cs="Times New Roman"/>
          <w:lang w:val="en-GB"/>
        </w:rPr>
        <w:t xml:space="preserve">Furthermore, it is equally important that the sanctioning regime not only provides for internal and external appeal mechanisms, ensuring </w:t>
      </w:r>
      <w:proofErr w:type="spellStart"/>
      <w:r w:rsidRPr="00F8054E">
        <w:rPr>
          <w:rFonts w:cs="Times New Roman"/>
          <w:lang w:val="en-GB"/>
        </w:rPr>
        <w:t>defense</w:t>
      </w:r>
      <w:proofErr w:type="spellEnd"/>
      <w:r w:rsidRPr="00F8054E">
        <w:rPr>
          <w:rFonts w:cs="Times New Roman"/>
          <w:lang w:val="en-GB"/>
        </w:rPr>
        <w:t>, but also that it does not obscure both individual and collective responsibility for the journalist's conduct. Particularly in this second dimension, it may be important to ensure public oversight, not least to ensure that the weakest link is not the only one held accountable.</w:t>
      </w:r>
    </w:p>
    <w:p w14:paraId="43BF7625" w14:textId="54C5852E" w:rsidR="00A43FA9" w:rsidRPr="007D4C8A" w:rsidRDefault="00531719" w:rsidP="00172A3B">
      <w:pPr>
        <w:spacing w:line="480" w:lineRule="auto"/>
        <w:jc w:val="both"/>
        <w:rPr>
          <w:rFonts w:cs="Times New Roman"/>
          <w:b/>
          <w:bCs/>
          <w:lang w:val="en-GB"/>
        </w:rPr>
      </w:pPr>
      <w:r w:rsidRPr="00F8054E">
        <w:rPr>
          <w:rFonts w:cs="Times New Roman"/>
          <w:b/>
          <w:bCs/>
          <w:lang w:val="en-GB"/>
        </w:rPr>
        <w:t>6</w:t>
      </w:r>
      <w:r w:rsidR="00A43FA9" w:rsidRPr="00F8054E">
        <w:rPr>
          <w:rFonts w:cs="Times New Roman"/>
          <w:b/>
          <w:bCs/>
          <w:lang w:val="en-GB"/>
        </w:rPr>
        <w:t>.2.</w:t>
      </w:r>
      <w:r w:rsidRPr="00F8054E">
        <w:rPr>
          <w:rFonts w:cs="Times New Roman"/>
          <w:b/>
          <w:bCs/>
          <w:lang w:val="en-GB"/>
        </w:rPr>
        <w:t>2.</w:t>
      </w:r>
      <w:r w:rsidR="00A43FA9" w:rsidRPr="00F8054E">
        <w:rPr>
          <w:rFonts w:cs="Times New Roman"/>
          <w:b/>
          <w:bCs/>
          <w:lang w:val="en-GB"/>
        </w:rPr>
        <w:t xml:space="preserve"> </w:t>
      </w:r>
      <w:r w:rsidR="00A43FA9" w:rsidRPr="007D4C8A">
        <w:rPr>
          <w:rFonts w:cs="Times New Roman"/>
          <w:b/>
          <w:bCs/>
          <w:lang w:val="en-GB"/>
        </w:rPr>
        <w:t>Strengthening ERC</w:t>
      </w:r>
    </w:p>
    <w:p w14:paraId="07ABCCD1" w14:textId="77777777" w:rsidR="00C77111" w:rsidRPr="00C77111" w:rsidRDefault="00C77111" w:rsidP="00172A3B">
      <w:pPr>
        <w:spacing w:line="480" w:lineRule="auto"/>
        <w:jc w:val="both"/>
        <w:rPr>
          <w:rFonts w:cs="Times New Roman"/>
          <w:lang w:val="en-GB"/>
        </w:rPr>
      </w:pPr>
      <w:r w:rsidRPr="00C77111">
        <w:rPr>
          <w:rFonts w:cs="Times New Roman"/>
          <w:lang w:val="en-GB"/>
        </w:rPr>
        <w:t xml:space="preserve">Although it may seem contradictory to the previous proposal, the suggestion to strengthen public hetero-regulation through an independent agency stems from our understanding of </w:t>
      </w:r>
      <w:r w:rsidRPr="00C77111">
        <w:rPr>
          <w:rFonts w:cs="Times New Roman"/>
          <w:lang w:val="en-GB"/>
        </w:rPr>
        <w:lastRenderedPageBreak/>
        <w:t xml:space="preserve">the need for multimodal and multidimensional regulation in a sector that involves complex issues of defending fundamental rights, in a negative and positive construction of freedom of the press and the right to inform and be informed, but also of market failures, in an area undergoing rapid global and digital change. Public </w:t>
      </w:r>
      <w:proofErr w:type="gramStart"/>
      <w:r w:rsidRPr="00C77111">
        <w:rPr>
          <w:rFonts w:cs="Times New Roman"/>
          <w:lang w:val="en-GB"/>
        </w:rPr>
        <w:t>hetero-regulation</w:t>
      </w:r>
      <w:proofErr w:type="gramEnd"/>
      <w:r w:rsidRPr="00C77111">
        <w:rPr>
          <w:rFonts w:cs="Times New Roman"/>
          <w:lang w:val="en-GB"/>
        </w:rPr>
        <w:t xml:space="preserve"> is therefore a fundamental element in this space, and its effectiveness, efficiency, independence, and accountability must be guaranteed.</w:t>
      </w:r>
    </w:p>
    <w:p w14:paraId="23242F47" w14:textId="27C0C68C" w:rsidR="00A43FA9" w:rsidRPr="00A201EF" w:rsidRDefault="00083286" w:rsidP="00172A3B">
      <w:pPr>
        <w:spacing w:line="480" w:lineRule="auto"/>
        <w:jc w:val="both"/>
        <w:rPr>
          <w:rFonts w:cs="Times New Roman"/>
          <w:lang w:val="en-GB"/>
        </w:rPr>
      </w:pPr>
      <w:r w:rsidRPr="00083286">
        <w:rPr>
          <w:rFonts w:cs="Times New Roman"/>
          <w:lang w:val="en-GB"/>
        </w:rPr>
        <w:t>Following the analysis above in section 4.1.</w:t>
      </w:r>
      <w:r w:rsidR="00BC00B3" w:rsidRPr="002D79FD">
        <w:rPr>
          <w:rFonts w:cs="Times New Roman"/>
          <w:lang w:val="en-GB"/>
        </w:rPr>
        <w:t xml:space="preserve">, </w:t>
      </w:r>
      <w:r w:rsidR="00A43FA9" w:rsidRPr="002D79FD">
        <w:rPr>
          <w:rFonts w:cs="Times New Roman"/>
          <w:lang w:val="en-GB"/>
        </w:rPr>
        <w:t>ERC’s statutory independence should be reinforced, including clearer boundaries between oversight and enforcement</w:t>
      </w:r>
      <w:r w:rsidR="00AC2C39" w:rsidRPr="002D79FD">
        <w:rPr>
          <w:rFonts w:cs="Times New Roman"/>
          <w:lang w:val="en-GB"/>
        </w:rPr>
        <w:t xml:space="preserve"> in matters of deontological duties</w:t>
      </w:r>
      <w:r w:rsidR="003A7814" w:rsidRPr="002D79FD">
        <w:rPr>
          <w:rFonts w:cs="Times New Roman"/>
          <w:lang w:val="en-GB"/>
        </w:rPr>
        <w:t>,</w:t>
      </w:r>
      <w:r w:rsidR="00A43FA9" w:rsidRPr="002D79FD">
        <w:rPr>
          <w:rFonts w:cs="Times New Roman"/>
          <w:lang w:val="en-GB"/>
        </w:rPr>
        <w:t xml:space="preserve"> the depoliticization of board appointments</w:t>
      </w:r>
      <w:r w:rsidR="003A7814" w:rsidRPr="002D79FD">
        <w:rPr>
          <w:rFonts w:cs="Times New Roman"/>
          <w:lang w:val="en-GB"/>
        </w:rPr>
        <w:t xml:space="preserve"> and the </w:t>
      </w:r>
      <w:r w:rsidR="006A3879" w:rsidRPr="002D79FD">
        <w:rPr>
          <w:rFonts w:cs="Times New Roman"/>
          <w:lang w:val="en-GB"/>
        </w:rPr>
        <w:t>strengthening of its financial revenues</w:t>
      </w:r>
      <w:r w:rsidR="002229F4" w:rsidRPr="002D79FD">
        <w:rPr>
          <w:rFonts w:cs="Times New Roman"/>
          <w:lang w:val="en-GB"/>
        </w:rPr>
        <w:t xml:space="preserve">, </w:t>
      </w:r>
      <w:r w:rsidR="00E41DEB" w:rsidRPr="00E41DEB">
        <w:rPr>
          <w:rFonts w:cs="Times New Roman"/>
          <w:lang w:val="en-GB"/>
        </w:rPr>
        <w:t xml:space="preserve">especially when their powers increase with the European legislative changes of the DAS and EMFA. </w:t>
      </w:r>
      <w:r w:rsidR="00A201EF" w:rsidRPr="00A201EF">
        <w:rPr>
          <w:rFonts w:cs="Times New Roman"/>
          <w:lang w:val="en-GB"/>
        </w:rPr>
        <w:t>Moreover, as has been emphasized, the ERC needs to adapt to an extremely dynamic and increasingly digital, global, and blurred sector. This requires</w:t>
      </w:r>
      <w:proofErr w:type="gramStart"/>
      <w:r w:rsidR="00A201EF" w:rsidRPr="00A201EF">
        <w:rPr>
          <w:rFonts w:cs="Times New Roman"/>
          <w:lang w:val="en-GB"/>
        </w:rPr>
        <w:t>, in particular, strengthening</w:t>
      </w:r>
      <w:proofErr w:type="gramEnd"/>
      <w:r w:rsidR="00A201EF" w:rsidRPr="00A201EF">
        <w:rPr>
          <w:rFonts w:cs="Times New Roman"/>
          <w:lang w:val="en-GB"/>
        </w:rPr>
        <w:t xml:space="preserve"> accountability to those regulated and creating institutional channels for mutual dialogue. Accountability to the government, which is practically non-existent in formal terms, makes sense to be developed, also in this logic of dialogue and cooperation. This is </w:t>
      </w:r>
      <w:proofErr w:type="gramStart"/>
      <w:r w:rsidR="00A201EF" w:rsidRPr="00A201EF">
        <w:rPr>
          <w:rFonts w:cs="Times New Roman"/>
          <w:lang w:val="en-GB"/>
        </w:rPr>
        <w:t>all the more</w:t>
      </w:r>
      <w:proofErr w:type="gramEnd"/>
      <w:r w:rsidR="00A201EF" w:rsidRPr="00A201EF">
        <w:rPr>
          <w:rFonts w:cs="Times New Roman"/>
          <w:lang w:val="en-GB"/>
        </w:rPr>
        <w:t xml:space="preserve"> relevant given that the government is preparing to review and codify legislation in the sector and promote it, not to mention the fact that it finances the ERC's activities through the state budget and that the state also has companies operating in the sector. Accountability, in the strict sense, namely through reports or hearings such as those made to the Parliament, should not be confused with interference or pressure, but rather as the counterpart to the powers of the ERC and a regulatory model that aims to be collaborative and multidimensional.</w:t>
      </w:r>
    </w:p>
    <w:p w14:paraId="65D271BC" w14:textId="14104CE0" w:rsidR="006A3879" w:rsidRPr="00326574" w:rsidRDefault="00427CB1" w:rsidP="00172A3B">
      <w:pPr>
        <w:spacing w:line="480" w:lineRule="auto"/>
        <w:jc w:val="both"/>
        <w:rPr>
          <w:rFonts w:cs="Times New Roman"/>
          <w:lang w:val="en-GB"/>
        </w:rPr>
      </w:pPr>
      <w:r w:rsidRPr="001C2B68">
        <w:rPr>
          <w:rFonts w:cs="Times New Roman"/>
          <w:lang w:val="en-GB"/>
        </w:rPr>
        <w:t xml:space="preserve">ERC itself has </w:t>
      </w:r>
      <w:r w:rsidR="00EE21FF" w:rsidRPr="001C2B68">
        <w:rPr>
          <w:rFonts w:cs="Times New Roman"/>
          <w:lang w:val="en-GB"/>
        </w:rPr>
        <w:t xml:space="preserve">identified </w:t>
      </w:r>
      <w:r w:rsidR="00592A6D" w:rsidRPr="001C2B68">
        <w:rPr>
          <w:rFonts w:cs="Times New Roman"/>
          <w:lang w:val="en-GB"/>
        </w:rPr>
        <w:t xml:space="preserve">several of these challenges and </w:t>
      </w:r>
      <w:r w:rsidR="00E74342" w:rsidRPr="001C2B68">
        <w:rPr>
          <w:rFonts w:cs="Times New Roman"/>
          <w:lang w:val="en-GB"/>
        </w:rPr>
        <w:t xml:space="preserve">has </w:t>
      </w:r>
      <w:r w:rsidRPr="001C2B68">
        <w:rPr>
          <w:rFonts w:cs="Times New Roman"/>
          <w:lang w:val="en-GB"/>
        </w:rPr>
        <w:t>defined</w:t>
      </w:r>
      <w:r w:rsidR="00ED6486" w:rsidRPr="001C2B68">
        <w:rPr>
          <w:rFonts w:cs="Times New Roman"/>
          <w:lang w:val="en-GB"/>
        </w:rPr>
        <w:t xml:space="preserve">, </w:t>
      </w:r>
      <w:r w:rsidR="001C2B68">
        <w:rPr>
          <w:rFonts w:cs="Times New Roman"/>
          <w:lang w:val="en-GB"/>
        </w:rPr>
        <w:t>a</w:t>
      </w:r>
      <w:r w:rsidR="001C2B68" w:rsidRPr="001C2B68">
        <w:rPr>
          <w:rFonts w:cs="Times New Roman"/>
          <w:lang w:val="en-GB"/>
        </w:rPr>
        <w:t xml:space="preserve">fter consultation with the Advisory Council, API, and CCPJ, ten strategic pillars to guide the mandate of the current </w:t>
      </w:r>
      <w:r w:rsidR="001C2B68" w:rsidRPr="001C2B68">
        <w:rPr>
          <w:rFonts w:cs="Times New Roman"/>
          <w:lang w:val="en-GB"/>
        </w:rPr>
        <w:lastRenderedPageBreak/>
        <w:t>Regulatory Council between 2023 and 2028</w:t>
      </w:r>
      <w:r w:rsidR="00EE21FF" w:rsidRPr="002D79FD">
        <w:rPr>
          <w:rStyle w:val="FootnoteReference"/>
          <w:rFonts w:cs="Times New Roman"/>
        </w:rPr>
        <w:footnoteReference w:id="266"/>
      </w:r>
      <w:r w:rsidR="0073009F" w:rsidRPr="001C2B68">
        <w:rPr>
          <w:rFonts w:cs="Times New Roman"/>
          <w:lang w:val="en-GB"/>
        </w:rPr>
        <w:t xml:space="preserve">. </w:t>
      </w:r>
      <w:r w:rsidR="00326574" w:rsidRPr="00326574">
        <w:rPr>
          <w:rFonts w:cs="Times New Roman"/>
          <w:lang w:val="en-GB"/>
        </w:rPr>
        <w:t xml:space="preserve">These axes aim to guarantee free speech, protect journalists, and promote a robust and transparent media ecosystem. The lines of action include clarifying and strengthening the ERC's powers across the board, particularly  with regard to digital media and skills and its role in the networks of international and national regulators of which it is a member; collaborating with the legislator in updating the ERC's statutes and sectoral laws in the field of communication and media, especially considering the challenges of digital and AI and regulatory changes at the European level; encouraging media organizations to develop self-regulation and co-regulation mechanisms, namely by approaching regulated entities and representative associations; establishing partnerships with academia and research </w:t>
      </w:r>
      <w:proofErr w:type="spellStart"/>
      <w:r w:rsidR="00326574" w:rsidRPr="00326574">
        <w:rPr>
          <w:rFonts w:cs="Times New Roman"/>
          <w:lang w:val="en-GB"/>
        </w:rPr>
        <w:t>centers</w:t>
      </w:r>
      <w:proofErr w:type="spellEnd"/>
      <w:r w:rsidR="00326574" w:rsidRPr="00326574">
        <w:rPr>
          <w:rFonts w:cs="Times New Roman"/>
          <w:lang w:val="en-GB"/>
        </w:rPr>
        <w:t xml:space="preserve"> on communication policies and media regulation; support sustainability in the media sector, ensuring the dynamic and effective functioning of communication markets; combat disinformation; encourage the promotion of quality journalism; contribute to the promotion of media literacy; promote the development of a new ERC funding model that preserves financial independence.</w:t>
      </w:r>
    </w:p>
    <w:p w14:paraId="1DD227A5" w14:textId="7BA79D9B" w:rsidR="00885CD4" w:rsidRPr="00595B26" w:rsidRDefault="00595B26" w:rsidP="00172A3B">
      <w:pPr>
        <w:spacing w:line="480" w:lineRule="auto"/>
        <w:jc w:val="both"/>
        <w:rPr>
          <w:rFonts w:cs="Times New Roman"/>
          <w:lang w:val="en-GB"/>
        </w:rPr>
      </w:pPr>
      <w:r w:rsidRPr="00595B26">
        <w:rPr>
          <w:rFonts w:cs="Times New Roman"/>
          <w:lang w:val="en-GB"/>
        </w:rPr>
        <w:t>This strategic plan, like the Government Action Plan, continues to maintain a certain tension between (independent) hetero-regulation and the legalization of the journalism profession and self-regulation, because while it aims to support the development of the latter, it also seeks to strengthen the powers of the ERC and support the efforts of the legislator</w:t>
      </w:r>
      <w:r w:rsidR="00B46165" w:rsidRPr="00595B26">
        <w:rPr>
          <w:rFonts w:cs="Times New Roman"/>
          <w:lang w:val="en-GB"/>
        </w:rPr>
        <w:t xml:space="preserve">. </w:t>
      </w:r>
    </w:p>
    <w:p w14:paraId="7C58619B" w14:textId="0AEE2477" w:rsidR="000538A9" w:rsidRPr="001155CA" w:rsidRDefault="00E84045" w:rsidP="00172A3B">
      <w:pPr>
        <w:spacing w:line="480" w:lineRule="auto"/>
        <w:jc w:val="both"/>
        <w:rPr>
          <w:rFonts w:cs="Times New Roman"/>
          <w:lang w:val="en-GB"/>
        </w:rPr>
      </w:pPr>
      <w:r w:rsidRPr="00E84045">
        <w:rPr>
          <w:rFonts w:cs="Times New Roman"/>
          <w:lang w:val="en-GB"/>
        </w:rPr>
        <w:t xml:space="preserve">The issue of ethical duties arises expressly in relation to axis 6 concerning the promotion of quality journalism. Here, the ERC recognizes that </w:t>
      </w:r>
      <w:proofErr w:type="gramStart"/>
      <w:r w:rsidRPr="00E84045">
        <w:rPr>
          <w:rFonts w:cs="Times New Roman"/>
          <w:lang w:val="en-GB"/>
        </w:rPr>
        <w:t>hetero-regulation</w:t>
      </w:r>
      <w:proofErr w:type="gramEnd"/>
      <w:r w:rsidRPr="00E84045">
        <w:rPr>
          <w:rFonts w:cs="Times New Roman"/>
          <w:lang w:val="en-GB"/>
        </w:rPr>
        <w:t xml:space="preserve"> is not sufficient, and that it is essential to deepen self- and co-regulation, namely through closer ties and collaboration with the CCPJ and the SJ. However, the ERC determines, in turn, that it will map good practices, clarify rules applicable to the media, and adopt directives or guidelines, and calls for ethical and deontological reflection. Nevertheless, the ERC does </w:t>
      </w:r>
      <w:r w:rsidRPr="00E84045">
        <w:rPr>
          <w:rFonts w:cs="Times New Roman"/>
          <w:lang w:val="en-GB"/>
        </w:rPr>
        <w:lastRenderedPageBreak/>
        <w:t xml:space="preserve">not clarify whether it intends to focus specifically on the boundaries of intervention in ethical matters and on violations of citizens' fundamental rights by the media. </w:t>
      </w:r>
      <w:r w:rsidR="001155CA" w:rsidRPr="001155CA">
        <w:rPr>
          <w:rFonts w:cs="Times New Roman"/>
          <w:lang w:val="en-GB"/>
        </w:rPr>
        <w:t>In fact, there is no explicit reference anywhere in the document to any reflection on the appropriateness of its sanctioning power. Furthermore, the ERC will be “</w:t>
      </w:r>
      <w:r w:rsidR="001155CA" w:rsidRPr="001155CA">
        <w:rPr>
          <w:rFonts w:cs="Times New Roman"/>
          <w:i/>
          <w:iCs/>
          <w:lang w:val="en-GB"/>
        </w:rPr>
        <w:t>attentive</w:t>
      </w:r>
      <w:r w:rsidR="001155CA" w:rsidRPr="001155CA">
        <w:rPr>
          <w:rFonts w:cs="Times New Roman"/>
          <w:lang w:val="en-GB"/>
        </w:rPr>
        <w:t>” to legal instruments that contribute to the protection of freedom of communication and its agents, namely the EMFA and the anti-SLAPP Directive. Thus, the ERC seems to be more concerned with defending the professional rights of the sector than with the (personal) rights of its recipients, to whom it seeks to guarantee a somewhat vague “</w:t>
      </w:r>
      <w:r w:rsidR="001155CA" w:rsidRPr="001155CA">
        <w:rPr>
          <w:rFonts w:cs="Times New Roman"/>
          <w:i/>
          <w:iCs/>
          <w:lang w:val="en-GB"/>
        </w:rPr>
        <w:t>right to accurate, balanced, and pluralistic information</w:t>
      </w:r>
      <w:r w:rsidR="001155CA" w:rsidRPr="001155CA">
        <w:rPr>
          <w:rFonts w:cs="Times New Roman"/>
          <w:lang w:val="en-GB"/>
        </w:rPr>
        <w:t>.”</w:t>
      </w:r>
    </w:p>
    <w:p w14:paraId="6CAE01AE" w14:textId="77777777" w:rsidR="00D635B5" w:rsidRPr="007D4C8A" w:rsidRDefault="00D635B5" w:rsidP="00172A3B">
      <w:pPr>
        <w:spacing w:line="480" w:lineRule="auto"/>
        <w:jc w:val="both"/>
        <w:rPr>
          <w:rFonts w:cs="Times New Roman"/>
          <w:lang w:val="en-GB"/>
        </w:rPr>
      </w:pPr>
      <w:r w:rsidRPr="00D635B5">
        <w:rPr>
          <w:rFonts w:cs="Times New Roman"/>
          <w:lang w:val="en-GB"/>
        </w:rPr>
        <w:t xml:space="preserve">This focus on freedom of the press should be read in conjunction with axis 2 on contributing to the improvement of sectoral legislation and, therefore, in a more hetero-regulatory dimension, most often of a supranational nature, which is understandable in a globalized and increasingly decentralized sector. Yet this European level of regulation, increasingly through regulations rather than directives, seems to be contributing to a convergence towards </w:t>
      </w:r>
      <w:proofErr w:type="gramStart"/>
      <w:r w:rsidRPr="00D635B5">
        <w:rPr>
          <w:rFonts w:cs="Times New Roman"/>
          <w:lang w:val="en-GB"/>
        </w:rPr>
        <w:t>hetero-regulation</w:t>
      </w:r>
      <w:proofErr w:type="gramEnd"/>
      <w:r w:rsidRPr="00D635B5">
        <w:rPr>
          <w:rFonts w:cs="Times New Roman"/>
          <w:lang w:val="en-GB"/>
        </w:rPr>
        <w:t xml:space="preserve">, with a growing trend towards the moderation of online content, reducing the scope for multidimensional regulation of the media. For example, the DSA clarifies the mechanisms for removing illegal content and effectively protecting the fundamental rights of online users and creates a stronger public oversight mechanism for online platforms, especially VLOPs. In other words, the European regulatory tradition, which differs from the American one, is becoming more pronounced in the face of innovation and risk scenarios. </w:t>
      </w:r>
      <w:r w:rsidRPr="007D4C8A">
        <w:rPr>
          <w:rFonts w:cs="Times New Roman"/>
          <w:lang w:val="en-GB"/>
        </w:rPr>
        <w:t>Portugal is unlikely to escape this.</w:t>
      </w:r>
    </w:p>
    <w:p w14:paraId="3E36755C" w14:textId="240EF3DC" w:rsidR="00A43FA9" w:rsidRPr="007D4C8A" w:rsidRDefault="00BF5505" w:rsidP="00172A3B">
      <w:pPr>
        <w:spacing w:line="480" w:lineRule="auto"/>
        <w:jc w:val="both"/>
        <w:rPr>
          <w:rFonts w:cs="Times New Roman"/>
          <w:b/>
          <w:bCs/>
          <w:lang w:val="en-GB"/>
        </w:rPr>
      </w:pPr>
      <w:r w:rsidRPr="007D4C8A">
        <w:rPr>
          <w:rFonts w:cs="Times New Roman"/>
          <w:b/>
          <w:bCs/>
          <w:lang w:val="en-GB"/>
        </w:rPr>
        <w:t>6.2</w:t>
      </w:r>
      <w:r w:rsidR="00A43FA9" w:rsidRPr="007D4C8A">
        <w:rPr>
          <w:rFonts w:cs="Times New Roman"/>
          <w:b/>
          <w:bCs/>
          <w:lang w:val="en-GB"/>
        </w:rPr>
        <w:t xml:space="preserve">.3. </w:t>
      </w:r>
      <w:r w:rsidR="0018610B" w:rsidRPr="007D4C8A">
        <w:rPr>
          <w:rFonts w:cs="Times New Roman"/>
          <w:b/>
          <w:bCs/>
          <w:lang w:val="en-GB"/>
        </w:rPr>
        <w:t>Ret</w:t>
      </w:r>
      <w:r w:rsidR="00DA4B17" w:rsidRPr="007D4C8A">
        <w:rPr>
          <w:rFonts w:cs="Times New Roman"/>
          <w:b/>
          <w:bCs/>
          <w:lang w:val="en-GB"/>
        </w:rPr>
        <w:t>hinking</w:t>
      </w:r>
      <w:r w:rsidR="00A43FA9" w:rsidRPr="007D4C8A">
        <w:rPr>
          <w:rFonts w:cs="Times New Roman"/>
          <w:b/>
          <w:bCs/>
          <w:lang w:val="en-GB"/>
        </w:rPr>
        <w:t xml:space="preserve"> Defamation</w:t>
      </w:r>
    </w:p>
    <w:p w14:paraId="120FE919" w14:textId="2D775C40" w:rsidR="00D323D4" w:rsidRPr="00C916C1" w:rsidRDefault="00C916C1" w:rsidP="00172A3B">
      <w:pPr>
        <w:spacing w:line="480" w:lineRule="auto"/>
        <w:jc w:val="both"/>
        <w:rPr>
          <w:rFonts w:cs="Times New Roman"/>
          <w:lang w:val="en-GB"/>
        </w:rPr>
      </w:pPr>
      <w:r w:rsidRPr="00C916C1">
        <w:rPr>
          <w:rFonts w:cs="Times New Roman"/>
          <w:lang w:val="en-GB"/>
        </w:rPr>
        <w:t xml:space="preserve">As </w:t>
      </w:r>
      <w:proofErr w:type="spellStart"/>
      <w:r w:rsidRPr="00C916C1">
        <w:rPr>
          <w:rFonts w:cs="Times New Roman"/>
          <w:lang w:val="en-GB"/>
        </w:rPr>
        <w:t>analyzed</w:t>
      </w:r>
      <w:proofErr w:type="spellEnd"/>
      <w:r w:rsidRPr="00C916C1">
        <w:rPr>
          <w:rFonts w:cs="Times New Roman"/>
          <w:lang w:val="en-GB"/>
        </w:rPr>
        <w:t xml:space="preserve"> above, Portuguese case law, </w:t>
      </w:r>
      <w:proofErr w:type="gramStart"/>
      <w:r w:rsidRPr="00C916C1">
        <w:rPr>
          <w:rFonts w:cs="Times New Roman"/>
          <w:lang w:val="en-GB"/>
        </w:rPr>
        <w:t>with regard to</w:t>
      </w:r>
      <w:proofErr w:type="gramEnd"/>
      <w:r w:rsidRPr="00C916C1">
        <w:rPr>
          <w:rFonts w:cs="Times New Roman"/>
          <w:lang w:val="en-GB"/>
        </w:rPr>
        <w:t xml:space="preserve"> the conflict between the right to </w:t>
      </w:r>
      <w:proofErr w:type="spellStart"/>
      <w:r w:rsidRPr="00C916C1">
        <w:rPr>
          <w:rFonts w:cs="Times New Roman"/>
          <w:lang w:val="en-GB"/>
        </w:rPr>
        <w:t>honor</w:t>
      </w:r>
      <w:proofErr w:type="spellEnd"/>
      <w:r w:rsidRPr="00C916C1">
        <w:rPr>
          <w:rFonts w:cs="Times New Roman"/>
          <w:lang w:val="en-GB"/>
        </w:rPr>
        <w:t xml:space="preserve"> and freedom of expression and of the press, presents positions that penalize the former, enabling successive and heavy convictions for defamation. Even though currently, </w:t>
      </w:r>
      <w:r w:rsidRPr="00C916C1">
        <w:rPr>
          <w:rFonts w:cs="Times New Roman"/>
          <w:lang w:val="en-GB"/>
        </w:rPr>
        <w:lastRenderedPageBreak/>
        <w:t xml:space="preserve">as has been demonstrated, especially at the level of the higher courts, there has been a convergence towards the understanding of the </w:t>
      </w:r>
      <w:r w:rsidR="007F5834" w:rsidRPr="003839A7">
        <w:rPr>
          <w:rFonts w:cs="Times New Roman"/>
          <w:lang w:val="en-GB"/>
        </w:rPr>
        <w:t>ECtHR</w:t>
      </w:r>
      <w:r w:rsidRPr="00C916C1">
        <w:rPr>
          <w:rFonts w:cs="Times New Roman"/>
          <w:lang w:val="en-GB"/>
        </w:rPr>
        <w:t>, similar to that of the United States, in reality the problem remains unresolved, as some legal provisions in the Portuguese legal system open the door to clear limitations on freedom of expression and of the press</w:t>
      </w:r>
      <w:r>
        <w:rPr>
          <w:rStyle w:val="FootnoteReference"/>
          <w:rFonts w:cs="Times New Roman"/>
        </w:rPr>
        <w:footnoteReference w:id="267"/>
      </w:r>
      <w:r w:rsidRPr="00C916C1">
        <w:rPr>
          <w:rFonts w:cs="Times New Roman"/>
          <w:lang w:val="en-GB"/>
        </w:rPr>
        <w:t xml:space="preserve">, possibly due to cultural issues remaining from the Estado Novo, particularly with regard to the idea of respect, </w:t>
      </w:r>
      <w:proofErr w:type="spellStart"/>
      <w:r w:rsidRPr="00C916C1">
        <w:rPr>
          <w:rFonts w:cs="Times New Roman"/>
          <w:lang w:val="en-GB"/>
        </w:rPr>
        <w:t>behavioral</w:t>
      </w:r>
      <w:proofErr w:type="spellEnd"/>
      <w:r w:rsidRPr="00C916C1">
        <w:rPr>
          <w:rFonts w:cs="Times New Roman"/>
          <w:lang w:val="en-GB"/>
        </w:rPr>
        <w:t xml:space="preserve"> moderation, and excessive language</w:t>
      </w:r>
      <w:r w:rsidR="00A11819" w:rsidRPr="00C916C1">
        <w:rPr>
          <w:rFonts w:cs="Times New Roman"/>
          <w:lang w:val="en-GB"/>
        </w:rPr>
        <w:t>.</w:t>
      </w:r>
      <w:r w:rsidR="00A11819">
        <w:rPr>
          <w:rStyle w:val="FootnoteReference"/>
          <w:rFonts w:cs="Times New Roman"/>
        </w:rPr>
        <w:footnoteReference w:id="268"/>
      </w:r>
    </w:p>
    <w:p w14:paraId="66339814" w14:textId="2B660822" w:rsidR="00C63830" w:rsidRPr="00C63830" w:rsidRDefault="00C900BA" w:rsidP="00172A3B">
      <w:pPr>
        <w:spacing w:line="480" w:lineRule="auto"/>
        <w:jc w:val="both"/>
        <w:rPr>
          <w:rFonts w:cs="Times New Roman"/>
          <w:lang w:val="en-GB"/>
        </w:rPr>
      </w:pPr>
      <w:r w:rsidRPr="00C900BA">
        <w:rPr>
          <w:rFonts w:cs="Times New Roman"/>
          <w:lang w:val="en-GB"/>
        </w:rPr>
        <w:t>It is worth highlighting, for example, that Article 484 of the Civil Code establishes, in terms of civil liability for unlawful acts, that “</w:t>
      </w:r>
      <w:r w:rsidRPr="00C900BA">
        <w:rPr>
          <w:rFonts w:cs="Times New Roman"/>
          <w:i/>
          <w:iCs/>
          <w:lang w:val="en-GB"/>
        </w:rPr>
        <w:t>Anyone who asserts or disseminates a fact capable of damaging the credit or good name of any individual or legal entity shall be liable for the damages caused.</w:t>
      </w:r>
      <w:r w:rsidRPr="00C900BA">
        <w:rPr>
          <w:rFonts w:cs="Times New Roman"/>
          <w:lang w:val="en-GB"/>
        </w:rPr>
        <w:t>”</w:t>
      </w:r>
      <w:r w:rsidR="00C63830" w:rsidRPr="00C63830">
        <w:rPr>
          <w:rFonts w:cs="Times New Roman"/>
          <w:lang w:val="en-GB"/>
        </w:rPr>
        <w:t xml:space="preserve"> Yet, as Teixeira da Mota</w:t>
      </w:r>
      <w:r w:rsidR="00C63830" w:rsidRPr="002D79FD">
        <w:rPr>
          <w:rStyle w:val="FootnoteReference"/>
          <w:rFonts w:cs="Times New Roman"/>
        </w:rPr>
        <w:footnoteReference w:id="269"/>
      </w:r>
      <w:r w:rsidR="00C63830" w:rsidRPr="00C63830">
        <w:rPr>
          <w:rFonts w:cs="Times New Roman"/>
          <w:lang w:val="en-GB"/>
        </w:rPr>
        <w:t xml:space="preserve"> rightly highlights, the legal provision “</w:t>
      </w:r>
      <w:r w:rsidR="00C63830" w:rsidRPr="00C63830">
        <w:rPr>
          <w:rFonts w:cs="Times New Roman"/>
          <w:i/>
          <w:iCs/>
          <w:lang w:val="en-GB"/>
        </w:rPr>
        <w:t>does not distinguish between the assertion of false or true facts and (...) has allowed some courts to defend the right to be compensated for damages caused by the assertion of true facts, thus enshrining the right to a false reputation and good name; or, further, Article 132(2)(l) [ex vi Article 184] of the Penal Code, which allows for the aggravation of the crime of defamation in relation to a multitude of figures and personalities, when in many cases it should be mitigated</w:t>
      </w:r>
      <w:r w:rsidR="00C63830" w:rsidRPr="00C63830">
        <w:rPr>
          <w:rFonts w:cs="Times New Roman"/>
          <w:lang w:val="en-GB"/>
        </w:rPr>
        <w:t>."</w:t>
      </w:r>
    </w:p>
    <w:p w14:paraId="727E70E9" w14:textId="13336AC3" w:rsidR="009375C9" w:rsidRDefault="009375C9" w:rsidP="00172A3B">
      <w:pPr>
        <w:spacing w:line="480" w:lineRule="auto"/>
        <w:jc w:val="both"/>
        <w:rPr>
          <w:rFonts w:cs="Times New Roman"/>
          <w:lang w:val="en-GB"/>
        </w:rPr>
      </w:pPr>
      <w:r w:rsidRPr="009375C9">
        <w:rPr>
          <w:rFonts w:cs="Times New Roman"/>
          <w:lang w:val="en-GB"/>
        </w:rPr>
        <w:t>It follows that Portuguese legislation in this area should be rethought, for example, by removing liability for true facts, articulating clearer public-interest exceptions in civil liability regimes, and rethinking mitigating and aggravating factors</w:t>
      </w:r>
      <w:r w:rsidR="00002604">
        <w:rPr>
          <w:rFonts w:cs="Times New Roman"/>
          <w:lang w:val="en-GB"/>
        </w:rPr>
        <w:t>.</w:t>
      </w:r>
    </w:p>
    <w:p w14:paraId="7F77C9DC" w14:textId="3BF6F4A8" w:rsidR="005F3DE7" w:rsidRPr="007D4C8A" w:rsidRDefault="00002604" w:rsidP="00172A3B">
      <w:pPr>
        <w:spacing w:line="480" w:lineRule="auto"/>
        <w:jc w:val="both"/>
        <w:rPr>
          <w:rFonts w:cs="Times New Roman"/>
          <w:lang w:val="en-GB"/>
        </w:rPr>
      </w:pPr>
      <w:r w:rsidRPr="00002604">
        <w:rPr>
          <w:rFonts w:cs="Times New Roman"/>
          <w:lang w:val="en-GB"/>
        </w:rPr>
        <w:lastRenderedPageBreak/>
        <w:t>Remember that in 2015, the International Press Institute put together a report</w:t>
      </w:r>
      <w:r>
        <w:rPr>
          <w:rStyle w:val="FootnoteReference"/>
          <w:rFonts w:cs="Times New Roman"/>
        </w:rPr>
        <w:footnoteReference w:id="270"/>
      </w:r>
      <w:r w:rsidRPr="00002604">
        <w:rPr>
          <w:rFonts w:cs="Times New Roman"/>
          <w:lang w:val="en-GB"/>
        </w:rPr>
        <w:t xml:space="preserve"> on the legal and jurisprudential treatment of defamation in Portugal, to raise awareness about decriminalization. According to the report</w:t>
      </w:r>
      <w:r>
        <w:rPr>
          <w:rFonts w:cs="Times New Roman"/>
          <w:lang w:val="en-GB"/>
        </w:rPr>
        <w:t>,</w:t>
      </w:r>
      <w:r w:rsidR="009F2203" w:rsidRPr="009F2203">
        <w:rPr>
          <w:rFonts w:cs="Times New Roman"/>
          <w:lang w:val="en-GB"/>
        </w:rPr>
        <w:t xml:space="preserve"> “</w:t>
      </w:r>
      <w:r w:rsidR="009F2203" w:rsidRPr="001F4AD2">
        <w:rPr>
          <w:rFonts w:cs="Times New Roman"/>
          <w:i/>
          <w:iCs/>
          <w:lang w:val="en-GB"/>
        </w:rPr>
        <w:t>The selection of Portugal as a target country for IPI’s advocacy efforts on defamation laws was based on two considerations: 1. The existence of outdated criminal defamation provisions in Portugal that fail to meet international standards by an alarmingly wide margin; and 2. An unusually high number of condemnations of Portugal at the European Court of Human Rights (</w:t>
      </w:r>
      <w:r w:rsidR="007F5834" w:rsidRPr="003839A7">
        <w:rPr>
          <w:rFonts w:cs="Times New Roman"/>
          <w:lang w:val="en-GB"/>
        </w:rPr>
        <w:t>ECtHR</w:t>
      </w:r>
      <w:r w:rsidR="009F2203" w:rsidRPr="001F4AD2">
        <w:rPr>
          <w:rFonts w:cs="Times New Roman"/>
          <w:i/>
          <w:iCs/>
          <w:lang w:val="en-GB"/>
        </w:rPr>
        <w:t>) for violations of Art. 10 of the European Convention on Human Rights, many of which concerned the application of defamation laws.</w:t>
      </w:r>
      <w:r w:rsidR="009F2203" w:rsidRPr="009F2203">
        <w:rPr>
          <w:rFonts w:cs="Times New Roman"/>
          <w:lang w:val="en-GB"/>
        </w:rPr>
        <w:t>”</w:t>
      </w:r>
      <w:r w:rsidR="009F2203">
        <w:rPr>
          <w:rFonts w:cs="Times New Roman"/>
          <w:lang w:val="en-GB"/>
        </w:rPr>
        <w:t xml:space="preserve"> </w:t>
      </w:r>
    </w:p>
    <w:p w14:paraId="4FD8ABDE" w14:textId="3C861430" w:rsidR="004F686B" w:rsidRPr="004F686B" w:rsidRDefault="004F686B" w:rsidP="00172A3B">
      <w:pPr>
        <w:spacing w:line="480" w:lineRule="auto"/>
        <w:jc w:val="both"/>
        <w:rPr>
          <w:rFonts w:cs="Times New Roman"/>
          <w:lang w:val="en-GB"/>
        </w:rPr>
      </w:pPr>
      <w:r w:rsidRPr="004F686B">
        <w:rPr>
          <w:rFonts w:cs="Times New Roman"/>
          <w:lang w:val="en-GB"/>
        </w:rPr>
        <w:t xml:space="preserve">In Portuguese doctrine, the work of Lopes </w:t>
      </w:r>
      <w:proofErr w:type="spellStart"/>
      <w:r w:rsidRPr="004F686B">
        <w:rPr>
          <w:rFonts w:cs="Times New Roman"/>
          <w:lang w:val="en-GB"/>
        </w:rPr>
        <w:t>Militão</w:t>
      </w:r>
      <w:proofErr w:type="spellEnd"/>
      <w:r>
        <w:rPr>
          <w:rStyle w:val="FootnoteReference"/>
          <w:rFonts w:cs="Times New Roman"/>
        </w:rPr>
        <w:footnoteReference w:id="271"/>
      </w:r>
      <w:r w:rsidRPr="004F686B">
        <w:rPr>
          <w:rFonts w:cs="Times New Roman"/>
          <w:lang w:val="en-GB"/>
        </w:rPr>
        <w:t xml:space="preserve"> stands out, which, in a highly critical manner and based largely on the case law of the ECtHR and point 38 of General Comment No. 34, of 12.09.2011, of the United Nations Human Rights Committee, advocates the decriminalization of defamation provided for in Articles 180 to 183 of the CP, with the exception of the crime of slanderous defamation (Articles 180(1), 182, and 183 No. 1 b) of the </w:t>
      </w:r>
      <w:r w:rsidR="006936CD" w:rsidRPr="004F686B">
        <w:rPr>
          <w:rFonts w:cs="Times New Roman"/>
          <w:lang w:val="en-GB"/>
        </w:rPr>
        <w:t>CP</w:t>
      </w:r>
      <w:r w:rsidRPr="004F686B">
        <w:rPr>
          <w:rFonts w:cs="Times New Roman"/>
          <w:lang w:val="en-GB"/>
        </w:rPr>
        <w:t>), and insult, with the exception of the crime of slanderous insult (Articles 181</w:t>
      </w:r>
      <w:r w:rsidR="00DA0329">
        <w:rPr>
          <w:rFonts w:cs="Times New Roman"/>
          <w:lang w:val="en-GB"/>
        </w:rPr>
        <w:t>(1)</w:t>
      </w:r>
      <w:r w:rsidRPr="004F686B">
        <w:rPr>
          <w:rFonts w:cs="Times New Roman"/>
          <w:lang w:val="en-GB"/>
        </w:rPr>
        <w:t>, 182, and 183</w:t>
      </w:r>
      <w:r w:rsidR="00DA0329">
        <w:rPr>
          <w:rFonts w:cs="Times New Roman"/>
          <w:lang w:val="en-GB"/>
        </w:rPr>
        <w:t>(1)</w:t>
      </w:r>
      <w:r w:rsidRPr="004F686B">
        <w:rPr>
          <w:rFonts w:cs="Times New Roman"/>
          <w:lang w:val="en-GB"/>
        </w:rPr>
        <w:t xml:space="preserve"> b) of the </w:t>
      </w:r>
      <w:r w:rsidR="006936CD" w:rsidRPr="004F686B">
        <w:rPr>
          <w:rFonts w:cs="Times New Roman"/>
          <w:lang w:val="en-GB"/>
        </w:rPr>
        <w:t>CP</w:t>
      </w:r>
      <w:r w:rsidRPr="004F686B">
        <w:rPr>
          <w:rFonts w:cs="Times New Roman"/>
          <w:lang w:val="en-GB"/>
        </w:rPr>
        <w:t xml:space="preserve">). In his opinion, the following should also be abolished: </w:t>
      </w:r>
      <w:proofErr w:type="spellStart"/>
      <w:r w:rsidRPr="004F686B">
        <w:rPr>
          <w:rFonts w:cs="Times New Roman"/>
          <w:lang w:val="en-GB"/>
        </w:rPr>
        <w:t>i</w:t>
      </w:r>
      <w:proofErr w:type="spellEnd"/>
      <w:r w:rsidRPr="004F686B">
        <w:rPr>
          <w:rFonts w:cs="Times New Roman"/>
          <w:lang w:val="en-GB"/>
        </w:rPr>
        <w:t xml:space="preserve">) the crime of offense against the </w:t>
      </w:r>
      <w:proofErr w:type="spellStart"/>
      <w:r w:rsidRPr="004F686B">
        <w:rPr>
          <w:rFonts w:cs="Times New Roman"/>
          <w:lang w:val="en-GB"/>
        </w:rPr>
        <w:t>honor</w:t>
      </w:r>
      <w:proofErr w:type="spellEnd"/>
      <w:r w:rsidRPr="004F686B">
        <w:rPr>
          <w:rFonts w:cs="Times New Roman"/>
          <w:lang w:val="en-GB"/>
        </w:rPr>
        <w:t xml:space="preserve"> of a person enjoying international protection (Article 322(2) of the </w:t>
      </w:r>
      <w:r w:rsidR="006936CD" w:rsidRPr="004F686B">
        <w:rPr>
          <w:rFonts w:cs="Times New Roman"/>
          <w:lang w:val="en-GB"/>
        </w:rPr>
        <w:t>CP</w:t>
      </w:r>
      <w:r w:rsidRPr="004F686B">
        <w:rPr>
          <w:rFonts w:cs="Times New Roman"/>
          <w:lang w:val="en-GB"/>
        </w:rPr>
        <w:t xml:space="preserve">); ii) crimes of offense against the </w:t>
      </w:r>
      <w:proofErr w:type="spellStart"/>
      <w:r w:rsidRPr="004F686B">
        <w:rPr>
          <w:rFonts w:cs="Times New Roman"/>
          <w:lang w:val="en-GB"/>
        </w:rPr>
        <w:t>honor</w:t>
      </w:r>
      <w:proofErr w:type="spellEnd"/>
      <w:r w:rsidRPr="004F686B">
        <w:rPr>
          <w:rFonts w:cs="Times New Roman"/>
          <w:lang w:val="en-GB"/>
        </w:rPr>
        <w:t xml:space="preserve"> of the President of the Republic (Article 328(1) and (2) of the </w:t>
      </w:r>
      <w:r w:rsidR="006936CD" w:rsidRPr="004F686B">
        <w:rPr>
          <w:rFonts w:cs="Times New Roman"/>
          <w:lang w:val="en-GB"/>
        </w:rPr>
        <w:t>CP</w:t>
      </w:r>
      <w:r w:rsidRPr="004F686B">
        <w:rPr>
          <w:rFonts w:cs="Times New Roman"/>
          <w:lang w:val="en-GB"/>
        </w:rPr>
        <w:t xml:space="preserve">); iii) crimes of offense against an organization, service, or legal entity (Articles 187(1) of the </w:t>
      </w:r>
      <w:r w:rsidR="00DA0329">
        <w:rPr>
          <w:rFonts w:cs="Times New Roman"/>
          <w:lang w:val="en-GB"/>
        </w:rPr>
        <w:t>CP</w:t>
      </w:r>
      <w:r w:rsidRPr="004F686B">
        <w:rPr>
          <w:rFonts w:cs="Times New Roman"/>
          <w:lang w:val="en-GB"/>
        </w:rPr>
        <w:t xml:space="preserve"> and 183(1)(a), ex vi Article 187(2)(a) of </w:t>
      </w:r>
      <w:r w:rsidR="00DA0329">
        <w:rPr>
          <w:rFonts w:cs="Times New Roman"/>
          <w:lang w:val="en-GB"/>
        </w:rPr>
        <w:t>the CP</w:t>
      </w:r>
      <w:r w:rsidRPr="004F686B">
        <w:rPr>
          <w:rFonts w:cs="Times New Roman"/>
          <w:lang w:val="en-GB"/>
        </w:rPr>
        <w:t xml:space="preserve">), with the exception of the crime of slanderous offense against an organization, service, or legal entity; iv) crimes against the memory of a deceased person (Articles 185(1) of the </w:t>
      </w:r>
      <w:r w:rsidR="00DA0329">
        <w:rPr>
          <w:rFonts w:cs="Times New Roman"/>
          <w:lang w:val="en-GB"/>
        </w:rPr>
        <w:t>CP</w:t>
      </w:r>
      <w:r w:rsidRPr="004F686B">
        <w:rPr>
          <w:rFonts w:cs="Times New Roman"/>
          <w:lang w:val="en-GB"/>
        </w:rPr>
        <w:t xml:space="preserve">, 183(1)(a), pursuant to </w:t>
      </w:r>
      <w:r w:rsidRPr="004F686B">
        <w:rPr>
          <w:rFonts w:cs="Times New Roman"/>
          <w:lang w:val="en-GB"/>
        </w:rPr>
        <w:lastRenderedPageBreak/>
        <w:t xml:space="preserve">Article 185(2)(b) of the </w:t>
      </w:r>
      <w:r w:rsidR="00DA0329">
        <w:rPr>
          <w:rFonts w:cs="Times New Roman"/>
          <w:lang w:val="en-GB"/>
        </w:rPr>
        <w:t>CP</w:t>
      </w:r>
      <w:r w:rsidRPr="004F686B">
        <w:rPr>
          <w:rFonts w:cs="Times New Roman"/>
          <w:lang w:val="en-GB"/>
        </w:rPr>
        <w:t>), with the exception of the crime of slanderous offense against the memory of a person.</w:t>
      </w:r>
    </w:p>
    <w:p w14:paraId="67120231" w14:textId="4A956BF0" w:rsidR="00303407" w:rsidRPr="003B7441" w:rsidRDefault="003B7441" w:rsidP="00172A3B">
      <w:pPr>
        <w:spacing w:line="480" w:lineRule="auto"/>
        <w:jc w:val="both"/>
        <w:rPr>
          <w:rFonts w:cs="Times New Roman"/>
          <w:lang w:val="en-GB"/>
        </w:rPr>
      </w:pPr>
      <w:r w:rsidRPr="003B7441">
        <w:rPr>
          <w:rFonts w:cs="Times New Roman"/>
          <w:lang w:val="en-GB"/>
        </w:rPr>
        <w:t xml:space="preserve">Alternatively, the author suggests that the crimes of defamation and insult should be limited to the imputation of false </w:t>
      </w:r>
      <w:proofErr w:type="spellStart"/>
      <w:r w:rsidRPr="003B7441">
        <w:rPr>
          <w:rFonts w:cs="Times New Roman"/>
          <w:lang w:val="en-GB"/>
        </w:rPr>
        <w:t>dishonorable</w:t>
      </w:r>
      <w:proofErr w:type="spellEnd"/>
      <w:r w:rsidRPr="003B7441">
        <w:rPr>
          <w:rFonts w:cs="Times New Roman"/>
          <w:lang w:val="en-GB"/>
        </w:rPr>
        <w:t xml:space="preserve"> facts, where the perpetrator has no serious grounds for believing them to be true in good faith. Furthermore, if these crimes are extended to include the formulation of </w:t>
      </w:r>
      <w:proofErr w:type="spellStart"/>
      <w:r w:rsidRPr="003B7441">
        <w:rPr>
          <w:rFonts w:cs="Times New Roman"/>
          <w:lang w:val="en-GB"/>
        </w:rPr>
        <w:t>dishonorable</w:t>
      </w:r>
      <w:proofErr w:type="spellEnd"/>
      <w:r w:rsidRPr="003B7441">
        <w:rPr>
          <w:rFonts w:cs="Times New Roman"/>
          <w:lang w:val="en-GB"/>
        </w:rPr>
        <w:t xml:space="preserve"> value judgments, only judgments without factual support should be considered relevant. In any case, the aggravation of penalties for defamation and slander due to the functional status of the victim (Article 184 of the Penal Code) should be revoked. The author also recommends that aggravated types of slander be created</w:t>
      </w:r>
      <w:r w:rsidR="009D6572" w:rsidRPr="003B7441">
        <w:rPr>
          <w:rFonts w:cs="Times New Roman"/>
          <w:lang w:val="en-GB"/>
        </w:rPr>
        <w:t xml:space="preserve">. </w:t>
      </w:r>
    </w:p>
    <w:p w14:paraId="5F150931" w14:textId="448A7ADE" w:rsidR="001B62AE" w:rsidRPr="00520B0B" w:rsidRDefault="00C45660" w:rsidP="00172A3B">
      <w:pPr>
        <w:spacing w:line="480" w:lineRule="auto"/>
        <w:jc w:val="both"/>
        <w:rPr>
          <w:rFonts w:cs="Times New Roman"/>
          <w:lang w:val="en-GB"/>
        </w:rPr>
      </w:pPr>
      <w:r w:rsidRPr="00C45660">
        <w:rPr>
          <w:rFonts w:cs="Times New Roman"/>
          <w:lang w:val="en-GB"/>
        </w:rPr>
        <w:t>The IPI report</w:t>
      </w:r>
      <w:r>
        <w:rPr>
          <w:rStyle w:val="FootnoteReference"/>
          <w:rFonts w:cs="Times New Roman"/>
          <w:lang w:val="en-GB"/>
        </w:rPr>
        <w:footnoteReference w:id="272"/>
      </w:r>
      <w:r w:rsidRPr="00C45660">
        <w:rPr>
          <w:rFonts w:cs="Times New Roman"/>
          <w:lang w:val="en-GB"/>
        </w:rPr>
        <w:t xml:space="preserve"> cited above concludes that</w:t>
      </w:r>
      <w:r w:rsidR="00520B0B" w:rsidRPr="00520B0B">
        <w:rPr>
          <w:rFonts w:cs="Times New Roman"/>
          <w:lang w:val="en-GB"/>
        </w:rPr>
        <w:t xml:space="preserve"> “</w:t>
      </w:r>
      <w:r w:rsidR="00520B0B" w:rsidRPr="00BB67B6">
        <w:rPr>
          <w:rFonts w:cs="Times New Roman"/>
          <w:i/>
          <w:iCs/>
          <w:lang w:val="en-GB"/>
        </w:rPr>
        <w:t xml:space="preserve">In order to bring Portuguese defamation law in line with international standards, the International Press Institute and the </w:t>
      </w:r>
      <w:proofErr w:type="spellStart"/>
      <w:r w:rsidR="00520B0B" w:rsidRPr="00BB67B6">
        <w:rPr>
          <w:rFonts w:cs="Times New Roman"/>
          <w:i/>
          <w:iCs/>
          <w:lang w:val="en-GB"/>
        </w:rPr>
        <w:t>Observatório</w:t>
      </w:r>
      <w:proofErr w:type="spellEnd"/>
      <w:r w:rsidR="00520B0B" w:rsidRPr="00BB67B6">
        <w:rPr>
          <w:rFonts w:cs="Times New Roman"/>
          <w:i/>
          <w:iCs/>
          <w:lang w:val="en-GB"/>
        </w:rPr>
        <w:t xml:space="preserve"> da </w:t>
      </w:r>
      <w:proofErr w:type="spellStart"/>
      <w:r w:rsidR="00520B0B" w:rsidRPr="00BB67B6">
        <w:rPr>
          <w:rFonts w:cs="Times New Roman"/>
          <w:i/>
          <w:iCs/>
          <w:lang w:val="en-GB"/>
        </w:rPr>
        <w:t>Imprensa</w:t>
      </w:r>
      <w:proofErr w:type="spellEnd"/>
      <w:r w:rsidR="00520B0B" w:rsidRPr="00BB67B6">
        <w:rPr>
          <w:rFonts w:cs="Times New Roman"/>
          <w:i/>
          <w:iCs/>
          <w:lang w:val="en-GB"/>
        </w:rPr>
        <w:t xml:space="preserve"> make the following key recommendations: 1. Art. 184 of the Portuguese Criminal Code on “aggravated defamation” involving public officials should be completely repealed. 2. Arts. 180 –183 on criminal defamation should be repealed (at the least, the potential prison sentences for the offences contained thereunder should be eliminated); 3. Arts. 187, 322, 323, and 323 should be repealed (at the least, the potential prison sentences for the offences in question should be eliminated); 4. Art. 185 on defaming the deceased should be repealed or modified to remove the possibility of imprisonment, to shorten the statute of limitations to no more than one year in normal circumstances, and to </w:t>
      </w:r>
      <w:proofErr w:type="spellStart"/>
      <w:r w:rsidR="00520B0B" w:rsidRPr="00BB67B6">
        <w:rPr>
          <w:rFonts w:cs="Times New Roman"/>
          <w:i/>
          <w:iCs/>
          <w:lang w:val="en-GB"/>
        </w:rPr>
        <w:t>specifiy</w:t>
      </w:r>
      <w:proofErr w:type="spellEnd"/>
      <w:r w:rsidR="00520B0B" w:rsidRPr="00BB67B6">
        <w:rPr>
          <w:rFonts w:cs="Times New Roman"/>
          <w:i/>
          <w:iCs/>
          <w:lang w:val="en-GB"/>
        </w:rPr>
        <w:t xml:space="preserve"> that in order to be liable content must also directly and intentionally damage the reputation of a living person. 5. Legislators should consider restricting liability under Art. 365 to false reports made before authorities. 6. Portuguese civil defamation law should be reformed to provide for clear standard defences, including truth, reasonable publication and opinion; and to set </w:t>
      </w:r>
      <w:r w:rsidR="00520B0B" w:rsidRPr="00BB67B6">
        <w:rPr>
          <w:rFonts w:cs="Times New Roman"/>
          <w:i/>
          <w:iCs/>
          <w:lang w:val="en-GB"/>
        </w:rPr>
        <w:lastRenderedPageBreak/>
        <w:t>a reasonable cap on damages or at the very least to specify that any compensation awarded must be reasonable and in proportion to the damage done</w:t>
      </w:r>
      <w:r w:rsidR="00520B0B" w:rsidRPr="00520B0B">
        <w:rPr>
          <w:rFonts w:cs="Times New Roman"/>
          <w:lang w:val="en-GB"/>
        </w:rPr>
        <w:t>.”</w:t>
      </w:r>
    </w:p>
    <w:p w14:paraId="4C2C4F91" w14:textId="737BA5C5" w:rsidR="00520B0B" w:rsidRPr="00900827" w:rsidRDefault="00900827" w:rsidP="00172A3B">
      <w:pPr>
        <w:spacing w:line="480" w:lineRule="auto"/>
        <w:jc w:val="both"/>
        <w:rPr>
          <w:rFonts w:cs="Times New Roman"/>
          <w:lang w:val="en-GB"/>
        </w:rPr>
      </w:pPr>
      <w:r w:rsidRPr="00900827">
        <w:rPr>
          <w:rFonts w:cs="Times New Roman"/>
          <w:lang w:val="en-GB"/>
        </w:rPr>
        <w:t>For several years now, there has been a movement towards the decriminalization of defamation in Europe, as set out in Resolution No. 1577 (2007) of October 4, 2007, of the Parliamentary Assembly of the Council of Europe, entitled “Towards the decriminalization of defamation,” and Recommendation No. 1814 (2007) of the same Assembly, also of October 4, 2007, welcomed in the response of the Committee of Ministers approved at the meeting of the Ministers' Deputies No. 1029 of June 11, 2008. However, there has been no visible political will on the part of governments to move in this direction, except, following Recommendation (EU) 2022/758 of the Commission of April 27, 2022, the approval of the anti-SLAPP Directive, which may perhaps help to revitalize the issue.</w:t>
      </w:r>
    </w:p>
    <w:p w14:paraId="7A4CD07C" w14:textId="77777777" w:rsidR="00504DBA" w:rsidRDefault="00504DBA" w:rsidP="00172A3B">
      <w:pPr>
        <w:spacing w:line="480" w:lineRule="auto"/>
        <w:jc w:val="both"/>
        <w:rPr>
          <w:rFonts w:cs="Times New Roman"/>
          <w:lang w:val="en-GB"/>
        </w:rPr>
      </w:pPr>
      <w:r w:rsidRPr="00504DBA">
        <w:rPr>
          <w:rFonts w:cs="Times New Roman"/>
          <w:lang w:val="en-GB"/>
        </w:rPr>
        <w:t>But in Portugal, even after the 2015 report and a bunch of rulings from the ECtHR, there hasn't been any big change in the law, civil or criminal.</w:t>
      </w:r>
    </w:p>
    <w:p w14:paraId="3E3325DE" w14:textId="4A214B26" w:rsidR="00A43FA9" w:rsidRPr="009073BC" w:rsidRDefault="0055740C" w:rsidP="00172A3B">
      <w:pPr>
        <w:spacing w:line="480" w:lineRule="auto"/>
        <w:jc w:val="both"/>
        <w:rPr>
          <w:rFonts w:cs="Times New Roman"/>
          <w:b/>
          <w:bCs/>
          <w:lang w:val="en-GB"/>
        </w:rPr>
      </w:pPr>
      <w:r w:rsidRPr="009073BC">
        <w:rPr>
          <w:rFonts w:cs="Times New Roman"/>
          <w:b/>
          <w:bCs/>
          <w:lang w:val="en-GB"/>
        </w:rPr>
        <w:t>6.2.4</w:t>
      </w:r>
      <w:r w:rsidR="00A43FA9" w:rsidRPr="009073BC">
        <w:rPr>
          <w:rFonts w:cs="Times New Roman"/>
          <w:b/>
          <w:bCs/>
          <w:lang w:val="en-GB"/>
        </w:rPr>
        <w:t>. Digital-Savvy Regulation</w:t>
      </w:r>
    </w:p>
    <w:p w14:paraId="4B4094F5" w14:textId="4C3672BE" w:rsidR="00A43FA9" w:rsidRPr="002D79FD" w:rsidRDefault="00A43FA9" w:rsidP="00172A3B">
      <w:pPr>
        <w:spacing w:line="480" w:lineRule="auto"/>
        <w:jc w:val="both"/>
        <w:rPr>
          <w:rFonts w:cs="Times New Roman"/>
          <w:lang w:val="en-GB"/>
        </w:rPr>
      </w:pPr>
      <w:r w:rsidRPr="002D79FD">
        <w:rPr>
          <w:rFonts w:cs="Times New Roman"/>
          <w:lang w:val="en-GB"/>
        </w:rPr>
        <w:t>Portugal must revise liability frameworks to address algorithmic harms, private moderation, and transnational speech</w:t>
      </w:r>
      <w:r w:rsidR="00531719" w:rsidRPr="002D79FD">
        <w:rPr>
          <w:rFonts w:cs="Times New Roman"/>
          <w:lang w:val="en-GB"/>
        </w:rPr>
        <w:t xml:space="preserve"> </w:t>
      </w:r>
      <w:proofErr w:type="gramStart"/>
      <w:r w:rsidR="00531719" w:rsidRPr="002D79FD">
        <w:rPr>
          <w:rFonts w:cs="Times New Roman"/>
          <w:lang w:val="en-GB"/>
        </w:rPr>
        <w:t>in order to</w:t>
      </w:r>
      <w:proofErr w:type="gramEnd"/>
      <w:r w:rsidR="00531719" w:rsidRPr="002D79FD">
        <w:rPr>
          <w:rFonts w:cs="Times New Roman"/>
          <w:lang w:val="en-GB"/>
        </w:rPr>
        <w:t xml:space="preserve"> </w:t>
      </w:r>
      <w:r w:rsidR="00BF5505" w:rsidRPr="002D79FD">
        <w:rPr>
          <w:rFonts w:cs="Times New Roman"/>
          <w:lang w:val="en-GB"/>
        </w:rPr>
        <w:t>b</w:t>
      </w:r>
      <w:r w:rsidR="00531719" w:rsidRPr="002D79FD">
        <w:rPr>
          <w:rFonts w:cs="Times New Roman"/>
          <w:lang w:val="en-GB"/>
        </w:rPr>
        <w:t xml:space="preserve">uild a resilient and rights-based digital framework. </w:t>
      </w:r>
      <w:r w:rsidRPr="002D79FD">
        <w:rPr>
          <w:rFonts w:cs="Times New Roman"/>
          <w:lang w:val="en-GB"/>
        </w:rPr>
        <w:t>Collaboration with EU initiatives like the DSA and EMFA is essential.</w:t>
      </w:r>
      <w:r w:rsidR="00C84A94" w:rsidRPr="002D79FD">
        <w:rPr>
          <w:rFonts w:cs="Times New Roman"/>
          <w:lang w:val="en-GB"/>
        </w:rPr>
        <w:t xml:space="preserve"> </w:t>
      </w:r>
    </w:p>
    <w:p w14:paraId="351D8924" w14:textId="269E588A" w:rsidR="006402BE" w:rsidRPr="00794340" w:rsidRDefault="00C84A94" w:rsidP="00172A3B">
      <w:pPr>
        <w:spacing w:line="480" w:lineRule="auto"/>
        <w:jc w:val="both"/>
        <w:rPr>
          <w:rFonts w:cs="Times New Roman"/>
          <w:lang w:val="en-GB"/>
        </w:rPr>
      </w:pPr>
      <w:r w:rsidRPr="009A03C0">
        <w:rPr>
          <w:rFonts w:cs="Times New Roman"/>
          <w:lang w:val="en-GB"/>
        </w:rPr>
        <w:t xml:space="preserve">Furthermore, </w:t>
      </w:r>
      <w:r w:rsidR="009A03C0" w:rsidRPr="009A03C0">
        <w:rPr>
          <w:rFonts w:cs="Times New Roman"/>
          <w:lang w:val="en-GB"/>
        </w:rPr>
        <w:t xml:space="preserve">we are witnessing the widespread use of certain types of AI in the media. While its use can contribute to promoting innovation in content creation, personalization, and investigative journalism, it nevertheless requires special care </w:t>
      </w:r>
      <w:proofErr w:type="gramStart"/>
      <w:r w:rsidR="009A03C0" w:rsidRPr="009A03C0">
        <w:rPr>
          <w:rFonts w:cs="Times New Roman"/>
          <w:lang w:val="en-GB"/>
        </w:rPr>
        <w:t>with regard to</w:t>
      </w:r>
      <w:proofErr w:type="gramEnd"/>
      <w:r w:rsidR="009A03C0" w:rsidRPr="009A03C0">
        <w:rPr>
          <w:rFonts w:cs="Times New Roman"/>
          <w:lang w:val="en-GB"/>
        </w:rPr>
        <w:t xml:space="preserve"> human control and supervision and regulatory compliance, particularly </w:t>
      </w:r>
      <w:r w:rsidR="00BC67E5" w:rsidRPr="009A03C0">
        <w:rPr>
          <w:rFonts w:cs="Times New Roman"/>
          <w:lang w:val="en-GB"/>
        </w:rPr>
        <w:t>about</w:t>
      </w:r>
      <w:r w:rsidR="009A03C0" w:rsidRPr="009A03C0">
        <w:rPr>
          <w:rFonts w:cs="Times New Roman"/>
          <w:lang w:val="en-GB"/>
        </w:rPr>
        <w:t xml:space="preserve"> the violation of fundamental rights.</w:t>
      </w:r>
      <w:r w:rsidR="002976CF">
        <w:rPr>
          <w:rFonts w:cs="Times New Roman"/>
          <w:lang w:val="en-GB"/>
        </w:rPr>
        <w:t xml:space="preserve"> </w:t>
      </w:r>
      <w:r w:rsidR="006353BD" w:rsidRPr="00794340">
        <w:rPr>
          <w:rFonts w:cs="Times New Roman"/>
          <w:lang w:val="en-GB"/>
        </w:rPr>
        <w:t xml:space="preserve">The </w:t>
      </w:r>
      <w:r w:rsidRPr="00794340">
        <w:rPr>
          <w:rFonts w:cs="Times New Roman"/>
          <w:lang w:val="en-GB"/>
        </w:rPr>
        <w:t>AI Act</w:t>
      </w:r>
      <w:r w:rsidR="006353BD" w:rsidRPr="002D79FD">
        <w:rPr>
          <w:rStyle w:val="FootnoteReference"/>
          <w:rFonts w:cs="Times New Roman"/>
        </w:rPr>
        <w:footnoteReference w:id="273"/>
      </w:r>
      <w:r w:rsidR="00794340" w:rsidRPr="00794340">
        <w:rPr>
          <w:rFonts w:cs="Times New Roman"/>
          <w:lang w:val="en-GB"/>
        </w:rPr>
        <w:t xml:space="preserve"> adopts a risk management-based approach and stipulates </w:t>
      </w:r>
      <w:r w:rsidR="00794340" w:rsidRPr="00794340">
        <w:rPr>
          <w:rFonts w:cs="Times New Roman"/>
          <w:lang w:val="en-GB"/>
        </w:rPr>
        <w:lastRenderedPageBreak/>
        <w:t>that AI systems must be used responsibly and transparently. In this regard, some media organizations have been publishing their letters of principles for the use of AI or approaches to generative AI, resulting in a self-regulatory effort to ensure the quality and accuracy of information, as well as to impose new ethical duties on media professionals.</w:t>
      </w:r>
    </w:p>
    <w:p w14:paraId="60A7910A" w14:textId="77777777" w:rsidR="006402BE" w:rsidRPr="00794340" w:rsidRDefault="006402BE" w:rsidP="00172A3B">
      <w:pPr>
        <w:spacing w:line="480" w:lineRule="auto"/>
        <w:jc w:val="both"/>
        <w:rPr>
          <w:rFonts w:cs="Times New Roman"/>
          <w:lang w:val="en-GB"/>
        </w:rPr>
      </w:pPr>
    </w:p>
    <w:p w14:paraId="079F56A5" w14:textId="140509F8" w:rsidR="00A43FA9" w:rsidRPr="002D79FD" w:rsidRDefault="00CB5257" w:rsidP="00172A3B">
      <w:pPr>
        <w:spacing w:line="480" w:lineRule="auto"/>
        <w:jc w:val="both"/>
        <w:rPr>
          <w:rFonts w:cs="Times New Roman"/>
          <w:b/>
          <w:bCs/>
          <w:lang w:val="en-GB"/>
        </w:rPr>
      </w:pPr>
      <w:r w:rsidRPr="002D79FD">
        <w:rPr>
          <w:rFonts w:cs="Times New Roman"/>
          <w:b/>
          <w:bCs/>
          <w:lang w:val="en-GB"/>
        </w:rPr>
        <w:t>7</w:t>
      </w:r>
      <w:r w:rsidR="00A43FA9" w:rsidRPr="002D79FD">
        <w:rPr>
          <w:rFonts w:cs="Times New Roman"/>
          <w:b/>
          <w:bCs/>
          <w:lang w:val="en-GB"/>
        </w:rPr>
        <w:t>. Conclusion</w:t>
      </w:r>
      <w:r w:rsidR="00173DC8" w:rsidRPr="002D79FD">
        <w:rPr>
          <w:rFonts w:cs="Times New Roman"/>
          <w:b/>
          <w:bCs/>
          <w:lang w:val="en-GB"/>
        </w:rPr>
        <w:t>s</w:t>
      </w:r>
    </w:p>
    <w:p w14:paraId="71D9A2AE" w14:textId="78531071" w:rsidR="009A27C0" w:rsidRPr="002D79FD" w:rsidRDefault="00CB5257" w:rsidP="00172A3B">
      <w:pPr>
        <w:spacing w:line="480" w:lineRule="auto"/>
        <w:jc w:val="both"/>
        <w:rPr>
          <w:rFonts w:cs="Times New Roman"/>
          <w:b/>
          <w:bCs/>
          <w:lang w:val="en-GB"/>
        </w:rPr>
      </w:pPr>
      <w:r w:rsidRPr="002D79FD">
        <w:rPr>
          <w:rFonts w:cs="Times New Roman"/>
          <w:b/>
          <w:bCs/>
          <w:lang w:val="en-GB"/>
        </w:rPr>
        <w:t>7</w:t>
      </w:r>
      <w:r w:rsidR="009A27C0" w:rsidRPr="002D79FD">
        <w:rPr>
          <w:rFonts w:cs="Times New Roman"/>
          <w:b/>
          <w:bCs/>
          <w:lang w:val="en-GB"/>
        </w:rPr>
        <w:t>.1. Synthesis of Legal and Institutional Analysis</w:t>
      </w:r>
    </w:p>
    <w:p w14:paraId="1B6206C0" w14:textId="77777777" w:rsidR="000654E4" w:rsidRPr="002D79FD" w:rsidRDefault="000654E4" w:rsidP="00172A3B">
      <w:pPr>
        <w:spacing w:line="480" w:lineRule="auto"/>
        <w:jc w:val="both"/>
        <w:rPr>
          <w:rFonts w:cs="Times New Roman"/>
          <w:lang w:val="en-GB"/>
        </w:rPr>
      </w:pPr>
      <w:r w:rsidRPr="002D79FD">
        <w:rPr>
          <w:rFonts w:cs="Times New Roman"/>
          <w:lang w:val="en-GB"/>
        </w:rPr>
        <w:t xml:space="preserve">This paper critically investigates the legal architecture and institutional dynamics underpinning journalistic responsibility in Portugal. It asks whether the current balance between self-regulation and state regulation </w:t>
      </w:r>
      <w:proofErr w:type="spellStart"/>
      <w:r w:rsidRPr="002D79FD">
        <w:rPr>
          <w:rFonts w:cs="Times New Roman"/>
          <w:lang w:val="en-GB"/>
        </w:rPr>
        <w:t>honors</w:t>
      </w:r>
      <w:proofErr w:type="spellEnd"/>
      <w:r w:rsidRPr="002D79FD">
        <w:rPr>
          <w:rFonts w:cs="Times New Roman"/>
          <w:lang w:val="en-GB"/>
        </w:rPr>
        <w:t xml:space="preserve"> the post-revolutionary ideals of press freedom while effectively addressing the risks of misinformation, political capture, and ethical erosion in a digitized media environment.</w:t>
      </w:r>
    </w:p>
    <w:p w14:paraId="50834B55" w14:textId="03BF1A66" w:rsidR="005C357E" w:rsidRPr="002D79FD" w:rsidRDefault="00775F12" w:rsidP="00172A3B">
      <w:pPr>
        <w:spacing w:line="480" w:lineRule="auto"/>
        <w:jc w:val="both"/>
        <w:rPr>
          <w:rFonts w:cs="Times New Roman"/>
          <w:lang w:val="en-GB"/>
        </w:rPr>
      </w:pPr>
      <w:r w:rsidRPr="002D79FD">
        <w:rPr>
          <w:rFonts w:cs="Times New Roman"/>
          <w:lang w:val="en-GB"/>
        </w:rPr>
        <w:t xml:space="preserve">As key findings, we observe a legal evolution toward a balanced framework but with persistent ambiguities, especially with some weaknesses in self-regulation and limited professional autonomy. In fact, self-regulatory mechanisms, while normatively significant, lack institutional force and consistent application. </w:t>
      </w:r>
      <w:r w:rsidRPr="00754E45">
        <w:rPr>
          <w:rFonts w:cs="Times New Roman"/>
          <w:lang w:val="en-GB"/>
        </w:rPr>
        <w:t xml:space="preserve">The </w:t>
      </w:r>
      <w:r w:rsidR="00754E45" w:rsidRPr="00754E45">
        <w:rPr>
          <w:rFonts w:cs="Times New Roman"/>
          <w:lang w:val="en-GB"/>
        </w:rPr>
        <w:t>Code of Ethics</w:t>
      </w:r>
      <w:r w:rsidR="00754E45" w:rsidRPr="00754E45">
        <w:rPr>
          <w:rFonts w:cs="Times New Roman"/>
          <w:i/>
          <w:iCs/>
          <w:lang w:val="en-GB"/>
        </w:rPr>
        <w:t xml:space="preserve"> </w:t>
      </w:r>
      <w:r w:rsidRPr="002D79FD">
        <w:rPr>
          <w:rFonts w:cs="Times New Roman"/>
          <w:lang w:val="en-GB"/>
        </w:rPr>
        <w:t xml:space="preserve">and editorial statutes often operate in a symbolic or declaratory capacity, without external review or </w:t>
      </w:r>
      <w:r w:rsidR="00D20638" w:rsidRPr="002D79FD">
        <w:rPr>
          <w:rFonts w:cs="Times New Roman"/>
          <w:lang w:val="en-GB"/>
        </w:rPr>
        <w:t xml:space="preserve">real </w:t>
      </w:r>
      <w:r w:rsidRPr="002D79FD">
        <w:rPr>
          <w:rFonts w:cs="Times New Roman"/>
          <w:lang w:val="en-GB"/>
        </w:rPr>
        <w:t xml:space="preserve">sanctions. The absence of a national Press Council (which was revoked and substituted by an independent Authority – ERC) with adjudicatory powers reflects the structural limitations of self-governance in a politically sensitive media environment. </w:t>
      </w:r>
    </w:p>
    <w:p w14:paraId="5A048753" w14:textId="7C55131C" w:rsidR="005C357E" w:rsidRPr="002D79FD" w:rsidRDefault="00775F12" w:rsidP="00172A3B">
      <w:pPr>
        <w:spacing w:line="480" w:lineRule="auto"/>
        <w:jc w:val="both"/>
        <w:rPr>
          <w:rFonts w:cs="Times New Roman"/>
          <w:lang w:val="en-GB"/>
        </w:rPr>
      </w:pPr>
      <w:r w:rsidRPr="002D79FD">
        <w:rPr>
          <w:rFonts w:cs="Times New Roman"/>
          <w:lang w:val="en-GB"/>
        </w:rPr>
        <w:lastRenderedPageBreak/>
        <w:t xml:space="preserve">Secondly, we highlight ERC’s ambiguous role between oversight and enforcement, having its legal authority and independence periodically questioned. While ERC provides critical scrutiny and contributes to media pluralism, its capacity to ensure ethical journalism is constrained by limited sanctioning power, </w:t>
      </w:r>
      <w:r w:rsidR="00077B67" w:rsidRPr="002D79FD">
        <w:rPr>
          <w:rFonts w:cs="Times New Roman"/>
          <w:lang w:val="en-GB"/>
        </w:rPr>
        <w:t xml:space="preserve">some </w:t>
      </w:r>
      <w:r w:rsidRPr="002D79FD">
        <w:rPr>
          <w:rFonts w:cs="Times New Roman"/>
          <w:lang w:val="en-GB"/>
        </w:rPr>
        <w:t xml:space="preserve">political pressure, and unclear boundaries between legal regulation and professional ethics. </w:t>
      </w:r>
    </w:p>
    <w:p w14:paraId="7545C55A" w14:textId="11CC0917" w:rsidR="005C357E" w:rsidRPr="002D79FD" w:rsidRDefault="00775F12" w:rsidP="00172A3B">
      <w:pPr>
        <w:spacing w:line="480" w:lineRule="auto"/>
        <w:jc w:val="both"/>
        <w:rPr>
          <w:rFonts w:cs="Times New Roman"/>
          <w:lang w:val="en-GB"/>
        </w:rPr>
      </w:pPr>
      <w:r w:rsidRPr="002D79FD">
        <w:rPr>
          <w:rFonts w:cs="Times New Roman"/>
          <w:lang w:val="en-GB"/>
        </w:rPr>
        <w:t xml:space="preserve">Thirdly, we envision tensions between constitutional guarantees and judicial practice, with Portuguese courts having occasionally upheld disproportionate sanctions against journalists, particularly in cases involving public officials, despite the </w:t>
      </w:r>
      <w:r w:rsidR="00D60D66">
        <w:rPr>
          <w:rFonts w:cs="Times New Roman"/>
          <w:lang w:val="en-GB"/>
        </w:rPr>
        <w:t>EC</w:t>
      </w:r>
      <w:r w:rsidR="007F5834">
        <w:rPr>
          <w:rFonts w:cs="Times New Roman"/>
          <w:lang w:val="en-GB"/>
        </w:rPr>
        <w:t>t</w:t>
      </w:r>
      <w:r w:rsidR="00D60D66">
        <w:rPr>
          <w:rFonts w:cs="Times New Roman"/>
          <w:lang w:val="en-GB"/>
        </w:rPr>
        <w:t>HR</w:t>
      </w:r>
      <w:r w:rsidRPr="002D79FD">
        <w:rPr>
          <w:rFonts w:cs="Times New Roman"/>
          <w:lang w:val="en-GB"/>
        </w:rPr>
        <w:t xml:space="preserve">’s consistent jurisprudence </w:t>
      </w:r>
      <w:proofErr w:type="spellStart"/>
      <w:r w:rsidRPr="002D79FD">
        <w:rPr>
          <w:rFonts w:cs="Times New Roman"/>
          <w:lang w:val="en-GB"/>
        </w:rPr>
        <w:t>favoring</w:t>
      </w:r>
      <w:proofErr w:type="spellEnd"/>
      <w:r w:rsidRPr="002D79FD">
        <w:rPr>
          <w:rFonts w:cs="Times New Roman"/>
          <w:lang w:val="en-GB"/>
        </w:rPr>
        <w:t xml:space="preserve"> broad protections for public-interest speech. This inconsistency generates legal uncertainty and may have a chilling effect on investigative journalism. Fourthly, Portugal has diverged from the Polarized Pluralism Model, through the centripetal force of the EU regulation policy, but, in the last years, there seems to be an inversion that exacerbate regulatory challenges, since its structural factors limit the effectiveness of both legal and self-regulatory models in securing independent, ethical journalism. </w:t>
      </w:r>
    </w:p>
    <w:p w14:paraId="239451B3" w14:textId="7AC867DF" w:rsidR="00775F12" w:rsidRPr="002D79FD" w:rsidRDefault="00775F12" w:rsidP="00172A3B">
      <w:pPr>
        <w:spacing w:line="480" w:lineRule="auto"/>
        <w:jc w:val="both"/>
        <w:rPr>
          <w:rFonts w:cs="Times New Roman"/>
          <w:lang w:val="en-GB"/>
        </w:rPr>
      </w:pPr>
      <w:r w:rsidRPr="002D79FD">
        <w:rPr>
          <w:rFonts w:cs="Times New Roman"/>
          <w:lang w:val="en-GB"/>
        </w:rPr>
        <w:t xml:space="preserve">Finally, the digital disruption and </w:t>
      </w:r>
      <w:proofErr w:type="spellStart"/>
      <w:r w:rsidRPr="002D79FD">
        <w:rPr>
          <w:rFonts w:cs="Times New Roman"/>
          <w:lang w:val="en-GB"/>
        </w:rPr>
        <w:t>platformization</w:t>
      </w:r>
      <w:proofErr w:type="spellEnd"/>
      <w:r w:rsidRPr="002D79FD">
        <w:rPr>
          <w:rFonts w:cs="Times New Roman"/>
          <w:lang w:val="en-GB"/>
        </w:rPr>
        <w:t xml:space="preserve"> have outpaced regulation, with legal framework has struggling to adapt to digital journalism, social media, and platform-driven news consumption. The line between journalistic and non-journalistic content is increasingly blurred, and liability frameworks remain anchored in traditional notions of authorship and editorial control. This creates regulatory gaps and new risks for journalistic accountability and misinformation.</w:t>
      </w:r>
    </w:p>
    <w:p w14:paraId="09FE4DFE" w14:textId="7DE16983" w:rsidR="005C357E" w:rsidRPr="002D79FD" w:rsidRDefault="005C357E" w:rsidP="00172A3B">
      <w:pPr>
        <w:spacing w:line="480" w:lineRule="auto"/>
        <w:jc w:val="both"/>
        <w:rPr>
          <w:rFonts w:cs="Times New Roman"/>
          <w:lang w:val="en-GB"/>
        </w:rPr>
      </w:pPr>
      <w:r w:rsidRPr="002D79FD">
        <w:rPr>
          <w:rFonts w:cs="Times New Roman"/>
          <w:lang w:val="en-GB"/>
        </w:rPr>
        <w:t xml:space="preserve">In </w:t>
      </w:r>
      <w:r w:rsidR="00DD1369" w:rsidRPr="002D79FD">
        <w:rPr>
          <w:rFonts w:cs="Times New Roman"/>
          <w:lang w:val="en-GB"/>
        </w:rPr>
        <w:t>a nutshell</w:t>
      </w:r>
      <w:r w:rsidRPr="002D79FD">
        <w:rPr>
          <w:rFonts w:cs="Times New Roman"/>
          <w:lang w:val="en-GB"/>
        </w:rPr>
        <w:t>, the Portuguese legal regime governing journalistic responsibility has</w:t>
      </w:r>
      <w:r w:rsidR="00173DC8" w:rsidRPr="002D79FD">
        <w:rPr>
          <w:rFonts w:cs="Times New Roman"/>
          <w:lang w:val="en-GB"/>
        </w:rPr>
        <w:t xml:space="preserve"> effectively</w:t>
      </w:r>
      <w:r w:rsidRPr="002D79FD">
        <w:rPr>
          <w:rFonts w:cs="Times New Roman"/>
          <w:lang w:val="en-GB"/>
        </w:rPr>
        <w:t xml:space="preserve"> evolved from authoritarian censorship to a complex and constitutionally embedded model. While significant progress has been made, persistent weaknesses undermine the balance between freedom and accountability. Ambiguities in self-</w:t>
      </w:r>
      <w:r w:rsidRPr="002D79FD">
        <w:rPr>
          <w:rFonts w:cs="Times New Roman"/>
          <w:lang w:val="en-GB"/>
        </w:rPr>
        <w:lastRenderedPageBreak/>
        <w:t xml:space="preserve">regulation, </w:t>
      </w:r>
      <w:r w:rsidR="000C2668" w:rsidRPr="002D79FD">
        <w:rPr>
          <w:rFonts w:cs="Times New Roman"/>
          <w:lang w:val="en-GB"/>
        </w:rPr>
        <w:t xml:space="preserve">poor </w:t>
      </w:r>
      <w:r w:rsidR="00077B67" w:rsidRPr="002D79FD">
        <w:rPr>
          <w:rFonts w:cs="Times New Roman"/>
          <w:lang w:val="en-GB"/>
        </w:rPr>
        <w:t xml:space="preserve">effective </w:t>
      </w:r>
      <w:r w:rsidR="00C12D9C" w:rsidRPr="002D79FD">
        <w:rPr>
          <w:rFonts w:cs="Times New Roman"/>
          <w:lang w:val="en-GB"/>
        </w:rPr>
        <w:t>accountability</w:t>
      </w:r>
      <w:r w:rsidR="00077B67" w:rsidRPr="002D79FD">
        <w:rPr>
          <w:rFonts w:cs="Times New Roman"/>
          <w:lang w:val="en-GB"/>
        </w:rPr>
        <w:t xml:space="preserve"> for breaking deontological duties,</w:t>
      </w:r>
      <w:r w:rsidR="00C12D9C" w:rsidRPr="002D79FD">
        <w:rPr>
          <w:rFonts w:cs="Times New Roman"/>
          <w:lang w:val="en-GB"/>
        </w:rPr>
        <w:t xml:space="preserve"> </w:t>
      </w:r>
      <w:r w:rsidRPr="002D79FD">
        <w:rPr>
          <w:rFonts w:cs="Times New Roman"/>
          <w:lang w:val="en-GB"/>
        </w:rPr>
        <w:t>inconsistent jurisprudence, and digital disruption all demand urgent attention.</w:t>
      </w:r>
    </w:p>
    <w:p w14:paraId="1BD3B35A" w14:textId="6D9F0ABB" w:rsidR="00775F12" w:rsidRPr="002D79FD" w:rsidRDefault="005C357E" w:rsidP="00172A3B">
      <w:pPr>
        <w:spacing w:line="480" w:lineRule="auto"/>
        <w:jc w:val="both"/>
        <w:rPr>
          <w:rFonts w:cs="Times New Roman"/>
          <w:lang w:val="en-GB"/>
        </w:rPr>
      </w:pPr>
      <w:r w:rsidRPr="002D79FD">
        <w:rPr>
          <w:rFonts w:cs="Times New Roman"/>
          <w:lang w:val="en-GB"/>
        </w:rPr>
        <w:t>Portugal stands at a crossroads: either it deepens its commitment to a free, ethical, and pluralistic media system or risks the erosion of public trust and democratic legitimacy. The solutions lie not only in legal reform but in strengthening institutions, promoting media literacy, and safeguarding the normative ideals that journalism is meant to serve.</w:t>
      </w:r>
    </w:p>
    <w:p w14:paraId="1DE2A85F" w14:textId="77777777" w:rsidR="000654E4" w:rsidRPr="002D79FD" w:rsidRDefault="000654E4" w:rsidP="00172A3B">
      <w:pPr>
        <w:spacing w:line="480" w:lineRule="auto"/>
        <w:jc w:val="both"/>
        <w:rPr>
          <w:rFonts w:cs="Times New Roman"/>
          <w:b/>
          <w:bCs/>
          <w:lang w:val="en-GB"/>
        </w:rPr>
      </w:pPr>
    </w:p>
    <w:p w14:paraId="202DDDD1" w14:textId="78767F8C" w:rsidR="00C6296B" w:rsidRPr="002D79FD" w:rsidRDefault="00CB5257" w:rsidP="00172A3B">
      <w:pPr>
        <w:spacing w:line="480" w:lineRule="auto"/>
        <w:jc w:val="both"/>
        <w:rPr>
          <w:rFonts w:cs="Times New Roman"/>
          <w:b/>
          <w:bCs/>
          <w:lang w:val="en-GB"/>
        </w:rPr>
      </w:pPr>
      <w:r w:rsidRPr="002D79FD">
        <w:rPr>
          <w:rFonts w:cs="Times New Roman"/>
          <w:b/>
          <w:bCs/>
          <w:lang w:val="en-GB"/>
        </w:rPr>
        <w:t>7</w:t>
      </w:r>
      <w:r w:rsidR="001239D4" w:rsidRPr="002D79FD">
        <w:rPr>
          <w:rFonts w:cs="Times New Roman"/>
          <w:b/>
          <w:bCs/>
          <w:lang w:val="en-GB"/>
        </w:rPr>
        <w:t>.2. Portugal as a Normative and Strategic Case Study</w:t>
      </w:r>
    </w:p>
    <w:p w14:paraId="1CD6BB6E" w14:textId="5DDF03C1" w:rsidR="00452FA4" w:rsidRPr="002D79FD" w:rsidRDefault="00452FA4" w:rsidP="00172A3B">
      <w:pPr>
        <w:spacing w:line="480" w:lineRule="auto"/>
        <w:jc w:val="both"/>
        <w:rPr>
          <w:rFonts w:cs="Times New Roman"/>
          <w:lang w:val="en-GB"/>
        </w:rPr>
      </w:pPr>
      <w:r w:rsidRPr="002D79FD">
        <w:rPr>
          <w:rFonts w:cs="Times New Roman"/>
          <w:lang w:val="en-GB"/>
        </w:rPr>
        <w:t>The findings of this research have important theoretical, legal, and policy implications, especially attending to the fact that the Portuguese Government recently presented a Plan of Action for the Social Media, based in four axes, very much in line with the European Media Freedom Act (Regulation EU 2024/1083 of the European Parliament and of the Council of 11</w:t>
      </w:r>
      <w:r w:rsidR="00754E45">
        <w:rPr>
          <w:rFonts w:cs="Times New Roman"/>
          <w:lang w:val="en-GB"/>
        </w:rPr>
        <w:t>.04</w:t>
      </w:r>
      <w:r w:rsidRPr="002D79FD">
        <w:rPr>
          <w:rFonts w:cs="Times New Roman"/>
          <w:lang w:val="en-GB"/>
        </w:rPr>
        <w:t xml:space="preserve">2024): </w:t>
      </w:r>
      <w:proofErr w:type="spellStart"/>
      <w:r w:rsidRPr="002D79FD">
        <w:rPr>
          <w:rFonts w:cs="Times New Roman"/>
          <w:lang w:val="en-GB"/>
        </w:rPr>
        <w:t>i</w:t>
      </w:r>
      <w:proofErr w:type="spellEnd"/>
      <w:r w:rsidRPr="002D79FD">
        <w:rPr>
          <w:rFonts w:cs="Times New Roman"/>
          <w:lang w:val="en-GB"/>
        </w:rPr>
        <w:t>) Sector Regulation, that involves reviewing and updating legislation, creating a Social Communication Code that will unify current laws and simplify their use; ii)  Public Service Concession by modernizing RTP (public TV) and strengthening the independence of Lusa (the largest Portuguese news agency); iii) Sector Incentives for hiring journalists and retaining talent, for improving the support system for regional and local press, and promoting discounted digital subscriptions for newspapers and magazines; iv) Combating Disinformation and Media Literacy with the creation of a new National Media Literacy Plan 2025-2029.</w:t>
      </w:r>
    </w:p>
    <w:p w14:paraId="08FBF789" w14:textId="77777777" w:rsidR="00756566" w:rsidRPr="002D79FD" w:rsidRDefault="00452FA4" w:rsidP="00172A3B">
      <w:pPr>
        <w:spacing w:line="480" w:lineRule="auto"/>
        <w:jc w:val="both"/>
        <w:rPr>
          <w:rFonts w:cs="Times New Roman"/>
          <w:lang w:val="en-GB"/>
        </w:rPr>
      </w:pPr>
      <w:r w:rsidRPr="002D79FD">
        <w:rPr>
          <w:rFonts w:cs="Times New Roman"/>
          <w:lang w:val="en-GB"/>
        </w:rPr>
        <w:t xml:space="preserve">On the one hand, this paper makes a theoretical contribution to media law scholarship by bridging constitutional analysis with media system theory, showing how structural and institutional factors condition the effectiveness of legal norms. It highlights the limits of legal formalism in contexts where media systems are politically and economically constrained. </w:t>
      </w:r>
    </w:p>
    <w:p w14:paraId="187BB6D3" w14:textId="77777777" w:rsidR="00CA6B40" w:rsidRPr="002D79FD" w:rsidRDefault="00452FA4" w:rsidP="00172A3B">
      <w:pPr>
        <w:spacing w:line="480" w:lineRule="auto"/>
        <w:jc w:val="both"/>
        <w:rPr>
          <w:rFonts w:cs="Times New Roman"/>
          <w:lang w:val="en-GB"/>
        </w:rPr>
      </w:pPr>
      <w:r w:rsidRPr="002D79FD">
        <w:rPr>
          <w:rFonts w:cs="Times New Roman"/>
          <w:lang w:val="en-GB"/>
        </w:rPr>
        <w:lastRenderedPageBreak/>
        <w:t xml:space="preserve">On the other hand, we propose an institutional reform by advocating for a reconfiguration of the self-regulatory landscape, possibly through the establishment of an independent press council with mediating and adjudicatory functions and an increase of the independence and review of powers of the public regulator. </w:t>
      </w:r>
    </w:p>
    <w:p w14:paraId="3566F7AC" w14:textId="28A81BD2" w:rsidR="000327DF" w:rsidRPr="002D79FD" w:rsidRDefault="00452FA4" w:rsidP="00172A3B">
      <w:pPr>
        <w:spacing w:line="480" w:lineRule="auto"/>
        <w:jc w:val="both"/>
        <w:rPr>
          <w:rFonts w:cs="Times New Roman"/>
          <w:lang w:val="en-GB"/>
        </w:rPr>
      </w:pPr>
      <w:r w:rsidRPr="002D79FD">
        <w:rPr>
          <w:rFonts w:cs="Times New Roman"/>
          <w:lang w:val="en-GB"/>
        </w:rPr>
        <w:t xml:space="preserve">Also, we should account for doctrinal implications with a reflexion around the progressive decriminalization of defamation and a clearer articulation of public interest exceptions in both civil and criminal contexts. Portuguese courts and legislators should further align domestic standards with </w:t>
      </w:r>
      <w:r w:rsidR="007F5834" w:rsidRPr="003839A7">
        <w:rPr>
          <w:rFonts w:cs="Times New Roman"/>
          <w:lang w:val="en-GB"/>
        </w:rPr>
        <w:t xml:space="preserve">ECtHR </w:t>
      </w:r>
      <w:r w:rsidRPr="002D79FD">
        <w:rPr>
          <w:rFonts w:cs="Times New Roman"/>
          <w:lang w:val="en-GB"/>
        </w:rPr>
        <w:t xml:space="preserve">jurisprudence to reduce legal uncertainty, and effective transposition of the anti-SLAPP Directive. </w:t>
      </w:r>
    </w:p>
    <w:p w14:paraId="7078C0C9" w14:textId="3F1FFF85" w:rsidR="000327DF" w:rsidRPr="002D79FD" w:rsidRDefault="00452FA4" w:rsidP="00172A3B">
      <w:pPr>
        <w:spacing w:line="480" w:lineRule="auto"/>
        <w:jc w:val="both"/>
        <w:rPr>
          <w:rFonts w:cs="Times New Roman"/>
          <w:lang w:val="en-GB"/>
        </w:rPr>
      </w:pPr>
      <w:r w:rsidRPr="002D79FD">
        <w:rPr>
          <w:rFonts w:cs="Times New Roman"/>
          <w:lang w:val="en-GB"/>
        </w:rPr>
        <w:t xml:space="preserve">Moreover, we must attend to the Digital Regulation. As media consumption becomes increasingly mediated by digital platforms, Portugal must revise its liability regime to account for algorithmic amplification, content moderation by private actors, and transnational information flows. Coordination with EU-level instruments such as the DSA will be essential. </w:t>
      </w:r>
    </w:p>
    <w:p w14:paraId="74E131B1" w14:textId="4A38649D" w:rsidR="00452FA4" w:rsidRPr="002D79FD" w:rsidRDefault="00452FA4" w:rsidP="00172A3B">
      <w:pPr>
        <w:spacing w:line="480" w:lineRule="auto"/>
        <w:jc w:val="both"/>
        <w:rPr>
          <w:rFonts w:cs="Times New Roman"/>
          <w:lang w:val="en-GB"/>
        </w:rPr>
      </w:pPr>
      <w:r w:rsidRPr="002D79FD">
        <w:rPr>
          <w:rFonts w:cs="Times New Roman"/>
          <w:lang w:val="en-GB"/>
        </w:rPr>
        <w:t xml:space="preserve">Ultimately, the study underscores that journalistic responsibility is not merely a matter of professional ethics or legal doctrine—it is a cornerstone of democratic accountability and governance. Strengthening mechanisms of responsibility must go hand in hand with protecting journalistic freedom, promoting transparency, and restoring public trust in media institutions. The political changes in Europe, but also in the US, with the rise of populism and attacks to the freedom of press make it urgent. For instance, in the US, attending to a recent survey from the Pew Research </w:t>
      </w:r>
      <w:proofErr w:type="spellStart"/>
      <w:r w:rsidRPr="002D79FD">
        <w:rPr>
          <w:rFonts w:cs="Times New Roman"/>
          <w:lang w:val="en-GB"/>
        </w:rPr>
        <w:t>Center</w:t>
      </w:r>
      <w:proofErr w:type="spellEnd"/>
      <w:r w:rsidRPr="002D79FD">
        <w:rPr>
          <w:rFonts w:cs="Times New Roman"/>
          <w:lang w:val="en-GB"/>
        </w:rPr>
        <w:t xml:space="preserve"> (2025)</w:t>
      </w:r>
      <w:r w:rsidRPr="002D79FD">
        <w:rPr>
          <w:rStyle w:val="FootnoteReference"/>
          <w:rFonts w:cs="Times New Roman"/>
          <w:lang w:val="en-GB"/>
        </w:rPr>
        <w:footnoteReference w:id="274"/>
      </w:r>
      <w:r w:rsidRPr="002D79FD">
        <w:rPr>
          <w:rFonts w:cs="Times New Roman"/>
          <w:lang w:val="en-GB"/>
        </w:rPr>
        <w:t xml:space="preserve">, most Americans (especially for Democrats) say the US news media is not completely free to report the news and a large </w:t>
      </w:r>
      <w:r w:rsidRPr="002D79FD">
        <w:rPr>
          <w:rFonts w:cs="Times New Roman"/>
          <w:lang w:val="en-GB"/>
        </w:rPr>
        <w:lastRenderedPageBreak/>
        <w:t>majority believe that US news organizations are at least somewhat influenced by corporations and financial interests (85%) or by the government and political interests (86%). In Europe, confidence in Media varies between countries (with Poles, Hungarians and Greeks largely doubting Media), but overall, there is still high levels of trust, particularly public news services remain the most trusted source of news in Europe (EBU Report 2024).</w:t>
      </w:r>
    </w:p>
    <w:p w14:paraId="55C5BA39" w14:textId="363D23D0" w:rsidR="002206D1" w:rsidRPr="002D79FD" w:rsidRDefault="00452FA4" w:rsidP="00172A3B">
      <w:pPr>
        <w:spacing w:line="480" w:lineRule="auto"/>
        <w:jc w:val="both"/>
        <w:rPr>
          <w:rFonts w:cs="Times New Roman"/>
          <w:lang w:val="en-GB"/>
        </w:rPr>
      </w:pPr>
      <w:r w:rsidRPr="002D79FD">
        <w:rPr>
          <w:rFonts w:cs="Times New Roman"/>
          <w:lang w:val="en-GB"/>
        </w:rPr>
        <w:t xml:space="preserve">This paper positions Portugal as a critical case in understanding how democratic societies can navigate the complex intersection of law, ethics, and media pluralism. By exposing the tensions and proposing normative and institutional solutions, it aims to contribute to the ongoing transformation of media regulation in Europe and the </w:t>
      </w:r>
      <w:proofErr w:type="spellStart"/>
      <w:r w:rsidRPr="002D79FD">
        <w:rPr>
          <w:rFonts w:cs="Times New Roman"/>
          <w:lang w:val="en-GB"/>
        </w:rPr>
        <w:t>defense</w:t>
      </w:r>
      <w:proofErr w:type="spellEnd"/>
      <w:r w:rsidRPr="002D79FD">
        <w:rPr>
          <w:rFonts w:cs="Times New Roman"/>
          <w:lang w:val="en-GB"/>
        </w:rPr>
        <w:t xml:space="preserve"> of a free, responsible, and plural press</w:t>
      </w:r>
      <w:r w:rsidR="004F68CB" w:rsidRPr="002D79FD">
        <w:rPr>
          <w:rFonts w:cs="Times New Roman"/>
          <w:lang w:val="en-GB"/>
        </w:rPr>
        <w:t xml:space="preserve">, </w:t>
      </w:r>
      <w:r w:rsidR="00E61C88" w:rsidRPr="002D79FD">
        <w:rPr>
          <w:rFonts w:cs="Times New Roman"/>
          <w:lang w:val="en-GB"/>
        </w:rPr>
        <w:t xml:space="preserve">with broader </w:t>
      </w:r>
      <w:r w:rsidR="00DF59A5" w:rsidRPr="002D79FD">
        <w:rPr>
          <w:rFonts w:cs="Times New Roman"/>
          <w:lang w:val="en-GB"/>
        </w:rPr>
        <w:t>l</w:t>
      </w:r>
      <w:r w:rsidR="00E61C88" w:rsidRPr="002D79FD">
        <w:rPr>
          <w:rFonts w:cs="Times New Roman"/>
          <w:lang w:val="en-GB"/>
        </w:rPr>
        <w:t xml:space="preserve">essons for European and Global </w:t>
      </w:r>
      <w:r w:rsidR="00DF59A5" w:rsidRPr="002D79FD">
        <w:rPr>
          <w:rFonts w:cs="Times New Roman"/>
          <w:lang w:val="en-GB"/>
        </w:rPr>
        <w:t>m</w:t>
      </w:r>
      <w:r w:rsidR="00E61C88" w:rsidRPr="002D79FD">
        <w:rPr>
          <w:rFonts w:cs="Times New Roman"/>
          <w:lang w:val="en-GB"/>
        </w:rPr>
        <w:t>edia Governance</w:t>
      </w:r>
      <w:r w:rsidR="00DF59A5" w:rsidRPr="002D79FD">
        <w:rPr>
          <w:rFonts w:cs="Times New Roman"/>
          <w:lang w:val="en-GB"/>
        </w:rPr>
        <w:t>.</w:t>
      </w:r>
    </w:p>
    <w:p w14:paraId="7E3C3F1E" w14:textId="3181BF19" w:rsidR="00452FA4" w:rsidRPr="002D79FD" w:rsidRDefault="00452FA4" w:rsidP="00172A3B">
      <w:pPr>
        <w:spacing w:line="480" w:lineRule="auto"/>
        <w:jc w:val="both"/>
        <w:rPr>
          <w:rFonts w:cs="Times New Roman"/>
          <w:lang w:val="en-GB"/>
        </w:rPr>
      </w:pPr>
      <w:r w:rsidRPr="002D79FD">
        <w:rPr>
          <w:rFonts w:cs="Times New Roman"/>
          <w:lang w:val="en-GB"/>
        </w:rPr>
        <w:t xml:space="preserve">In sum, Portugal’s legal regime for journalistic liability has evolved </w:t>
      </w:r>
      <w:r w:rsidR="0029271B" w:rsidRPr="002D79FD">
        <w:rPr>
          <w:rFonts w:cs="Times New Roman"/>
          <w:lang w:val="en-GB"/>
        </w:rPr>
        <w:t>substantially</w:t>
      </w:r>
      <w:r w:rsidRPr="002D79FD">
        <w:rPr>
          <w:rFonts w:cs="Times New Roman"/>
          <w:lang w:val="en-GB"/>
        </w:rPr>
        <w:t xml:space="preserve"> to a system that now seeks to balance competing fundamental rights. Although some challenges remain—especially concerning criminal defamation laws</w:t>
      </w:r>
      <w:r w:rsidR="008F1080" w:rsidRPr="002D79FD">
        <w:rPr>
          <w:rFonts w:cs="Times New Roman"/>
          <w:lang w:val="en-GB"/>
        </w:rPr>
        <w:t xml:space="preserve"> </w:t>
      </w:r>
      <w:r w:rsidRPr="002D79FD">
        <w:rPr>
          <w:rFonts w:cs="Times New Roman"/>
          <w:lang w:val="en-GB"/>
        </w:rPr>
        <w:t>—the overall trend is toward greater protection of press freedom, in line with European standards. When compared with the United States, Portugal offers a more restrictive framework, especially in terms of defamation liability and the right of reply. However, this approach also provides stronger mechanisms for protecting individual rights and ensuring accountability in public discourse. The comparison reveals not only legal divergences, but also deeper cultural and institutional differences in how societies conceive the role of journalism, the limits of expression, and the responsibilities of the press in democratic governance.</w:t>
      </w:r>
    </w:p>
    <w:p w14:paraId="6702F7AC" w14:textId="1669594B" w:rsidR="00DF59A5" w:rsidRPr="002D79FD" w:rsidRDefault="00DF59A5" w:rsidP="00172A3B">
      <w:pPr>
        <w:spacing w:line="480" w:lineRule="auto"/>
        <w:jc w:val="both"/>
        <w:rPr>
          <w:rFonts w:cs="Times New Roman"/>
          <w:lang w:val="en-GB"/>
        </w:rPr>
      </w:pPr>
    </w:p>
    <w:p w14:paraId="53C228AF" w14:textId="212E6A09" w:rsidR="00A43FA9" w:rsidRPr="002D79FD" w:rsidRDefault="00A43FA9" w:rsidP="00172A3B">
      <w:pPr>
        <w:spacing w:line="480" w:lineRule="auto"/>
        <w:jc w:val="both"/>
        <w:rPr>
          <w:rFonts w:cs="Times New Roman"/>
          <w:lang w:val="en-GB"/>
        </w:rPr>
      </w:pPr>
    </w:p>
    <w:p w14:paraId="04DAF435" w14:textId="77777777" w:rsidR="00513B17" w:rsidRPr="002D79FD" w:rsidRDefault="00513B17" w:rsidP="00172A3B">
      <w:pPr>
        <w:spacing w:line="480" w:lineRule="auto"/>
        <w:jc w:val="both"/>
        <w:rPr>
          <w:rFonts w:cs="Times New Roman"/>
          <w:lang w:val="en-GB"/>
        </w:rPr>
      </w:pPr>
    </w:p>
    <w:sectPr w:rsidR="00513B17" w:rsidRPr="002D79F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F9E9" w14:textId="77777777" w:rsidR="0049421B" w:rsidRDefault="0049421B" w:rsidP="00452FA4">
      <w:pPr>
        <w:spacing w:after="0" w:line="240" w:lineRule="auto"/>
      </w:pPr>
      <w:r>
        <w:separator/>
      </w:r>
    </w:p>
  </w:endnote>
  <w:endnote w:type="continuationSeparator" w:id="0">
    <w:p w14:paraId="3CA27F44" w14:textId="77777777" w:rsidR="0049421B" w:rsidRDefault="0049421B" w:rsidP="00452FA4">
      <w:pPr>
        <w:spacing w:after="0" w:line="240" w:lineRule="auto"/>
      </w:pPr>
      <w:r>
        <w:continuationSeparator/>
      </w:r>
    </w:p>
  </w:endnote>
  <w:endnote w:id="1">
    <w:p w14:paraId="1D8AFA2D" w14:textId="738AF9BD" w:rsidR="00592A14" w:rsidRDefault="00592A1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7966" w14:textId="77777777" w:rsidR="0049421B" w:rsidRDefault="0049421B" w:rsidP="00452FA4">
      <w:pPr>
        <w:spacing w:after="0" w:line="240" w:lineRule="auto"/>
      </w:pPr>
      <w:r>
        <w:separator/>
      </w:r>
    </w:p>
  </w:footnote>
  <w:footnote w:type="continuationSeparator" w:id="0">
    <w:p w14:paraId="3EDE7FFD" w14:textId="77777777" w:rsidR="0049421B" w:rsidRDefault="0049421B" w:rsidP="00452FA4">
      <w:pPr>
        <w:spacing w:after="0" w:line="240" w:lineRule="auto"/>
      </w:pPr>
      <w:r>
        <w:continuationSeparator/>
      </w:r>
    </w:p>
  </w:footnote>
  <w:footnote w:id="1">
    <w:p w14:paraId="0C1058BE" w14:textId="2163E6FA" w:rsidR="00C65ADC" w:rsidRPr="002D79FD" w:rsidRDefault="00C65ADC" w:rsidP="00C1129C">
      <w:pPr>
        <w:pStyle w:val="FootnoteText"/>
        <w:spacing w:line="480" w:lineRule="auto"/>
        <w:jc w:val="both"/>
        <w:rPr>
          <w:rFonts w:cs="Times New Roman"/>
        </w:rPr>
      </w:pPr>
      <w:r w:rsidRPr="002D79FD">
        <w:rPr>
          <w:rStyle w:val="FootnoteReference"/>
          <w:rFonts w:cs="Times New Roman"/>
        </w:rPr>
        <w:footnoteRef/>
      </w:r>
      <w:r w:rsidRPr="00CD6410">
        <w:rPr>
          <w:rFonts w:cs="Times New Roman"/>
          <w:lang w:val="en-GB"/>
        </w:rPr>
        <w:t xml:space="preserve"> </w:t>
      </w:r>
      <w:r w:rsidR="00CD6410" w:rsidRPr="00CD6410">
        <w:rPr>
          <w:rFonts w:cs="Times New Roman"/>
          <w:lang w:val="en-GB"/>
        </w:rPr>
        <w:t xml:space="preserve">On the new challenges for journalism, especially in Portugal, </w:t>
      </w:r>
      <w:r w:rsidRPr="00CD6410">
        <w:rPr>
          <w:rFonts w:cs="Times New Roman"/>
          <w:lang w:val="en-GB"/>
        </w:rPr>
        <w:t xml:space="preserve">Fidalgo, J. (2024). </w:t>
      </w:r>
      <w:r w:rsidR="00704FE5" w:rsidRPr="002D79FD">
        <w:rPr>
          <w:rFonts w:cs="Times New Roman"/>
        </w:rPr>
        <w:t xml:space="preserve">As Encruzilhadas do Jornalismo. </w:t>
      </w:r>
      <w:r w:rsidRPr="002D79FD">
        <w:rPr>
          <w:rFonts w:cs="Times New Roman"/>
        </w:rPr>
        <w:t xml:space="preserve">In M. Lameiras &amp; H. Sousa (coord.), </w:t>
      </w:r>
      <w:r w:rsidRPr="002D79FD">
        <w:rPr>
          <w:rFonts w:cs="Times New Roman"/>
          <w:i/>
          <w:iCs/>
        </w:rPr>
        <w:t>Políticas da Comunicação: Hibridismos e Opacidades.</w:t>
      </w:r>
      <w:r w:rsidRPr="002D79FD">
        <w:rPr>
          <w:rFonts w:cs="Times New Roman"/>
        </w:rPr>
        <w:t xml:space="preserve"> Universidade do Minho</w:t>
      </w:r>
      <w:r w:rsidR="00704FE5" w:rsidRPr="002D79FD">
        <w:rPr>
          <w:rFonts w:cs="Times New Roman"/>
        </w:rPr>
        <w:t>.</w:t>
      </w:r>
      <w:r w:rsidRPr="002D79FD">
        <w:rPr>
          <w:rFonts w:cs="Times New Roman"/>
        </w:rPr>
        <w:t xml:space="preserve"> </w:t>
      </w:r>
    </w:p>
  </w:footnote>
  <w:footnote w:id="2">
    <w:p w14:paraId="67AD367E" w14:textId="27E629A1" w:rsidR="0057511C" w:rsidRPr="002D79FD" w:rsidRDefault="0057511C" w:rsidP="00C1129C">
      <w:pPr>
        <w:pStyle w:val="FootnoteText"/>
        <w:spacing w:line="480" w:lineRule="auto"/>
        <w:jc w:val="both"/>
        <w:rPr>
          <w:rFonts w:cs="Times New Roman"/>
          <w:i/>
          <w:iCs/>
        </w:rPr>
      </w:pPr>
      <w:r w:rsidRPr="002D79FD">
        <w:rPr>
          <w:rStyle w:val="FootnoteReference"/>
          <w:rFonts w:cs="Times New Roman"/>
        </w:rPr>
        <w:footnoteRef/>
      </w:r>
      <w:r w:rsidRPr="007A2A78">
        <w:rPr>
          <w:rFonts w:cs="Times New Roman"/>
        </w:rPr>
        <w:t xml:space="preserve"> </w:t>
      </w:r>
      <w:r w:rsidR="00790D27" w:rsidRPr="007A2A78">
        <w:rPr>
          <w:rFonts w:cs="Times New Roman"/>
        </w:rPr>
        <w:t xml:space="preserve">Seeming to follow a similar position, </w:t>
      </w:r>
      <w:r w:rsidRPr="007A2A78">
        <w:rPr>
          <w:rFonts w:cs="Times New Roman"/>
        </w:rPr>
        <w:t xml:space="preserve">Santos de Miranda, J. (2018). </w:t>
      </w:r>
      <w:r w:rsidRPr="002D79FD">
        <w:rPr>
          <w:rFonts w:cs="Times New Roman"/>
          <w:i/>
          <w:iCs/>
        </w:rPr>
        <w:t>O Papel dos Jornalistas na Regulação da Informação: Caraterização Socioprofissional, Accountability e Modelos de Regulação em Portugal e na Europa</w:t>
      </w:r>
      <w:r w:rsidR="00790D27" w:rsidRPr="002D79FD">
        <w:rPr>
          <w:rFonts w:cs="Times New Roman"/>
        </w:rPr>
        <w:t xml:space="preserve">. </w:t>
      </w:r>
      <w:r w:rsidR="00790D27" w:rsidRPr="007A2A78">
        <w:rPr>
          <w:rFonts w:cs="Times New Roman"/>
          <w:lang w:val="en-GB"/>
        </w:rPr>
        <w:t>PhD Thesis</w:t>
      </w:r>
      <w:r w:rsidRPr="007A2A78">
        <w:rPr>
          <w:rFonts w:cs="Times New Roman"/>
          <w:lang w:val="en-GB"/>
        </w:rPr>
        <w:t xml:space="preserve">. </w:t>
      </w:r>
      <w:r w:rsidRPr="007A2A78">
        <w:rPr>
          <w:rFonts w:cs="Times New Roman"/>
          <w:lang w:val="en-GB"/>
        </w:rPr>
        <w:t>Universidade de Coimbra, 249-255</w:t>
      </w:r>
      <w:r w:rsidR="001F228C" w:rsidRPr="007A2A78">
        <w:rPr>
          <w:rFonts w:cs="Times New Roman"/>
          <w:lang w:val="en-GB"/>
        </w:rPr>
        <w:t xml:space="preserve">; </w:t>
      </w:r>
      <w:r w:rsidR="0055634E" w:rsidRPr="007A2A78">
        <w:rPr>
          <w:rFonts w:cs="Times New Roman"/>
          <w:lang w:val="en-GB"/>
        </w:rPr>
        <w:t xml:space="preserve">Sousa, H., &amp; Fidalgo, J. (2007). </w:t>
      </w:r>
      <w:r w:rsidR="0055634E" w:rsidRPr="002D79FD">
        <w:rPr>
          <w:rFonts w:cs="Times New Roman"/>
          <w:i/>
          <w:iCs/>
          <w:lang w:val="en-GB"/>
        </w:rPr>
        <w:t>The role of the state and self-regulation in journalism: the balance of power in Portugal</w:t>
      </w:r>
      <w:r w:rsidR="0055634E" w:rsidRPr="002D79FD">
        <w:rPr>
          <w:rFonts w:cs="Times New Roman"/>
          <w:lang w:val="en-GB"/>
        </w:rPr>
        <w:t xml:space="preserve">. </w:t>
      </w:r>
      <w:r w:rsidR="0055634E" w:rsidRPr="002D79FD">
        <w:rPr>
          <w:rFonts w:cs="Times New Roman"/>
        </w:rPr>
        <w:t>Universidade do Minho. Centro de Estudos de Comunicação e Sociedade,</w:t>
      </w:r>
      <w:r w:rsidR="00C51D48" w:rsidRPr="002D79FD">
        <w:rPr>
          <w:rFonts w:cs="Times New Roman"/>
        </w:rPr>
        <w:t xml:space="preserve"> 8; </w:t>
      </w:r>
      <w:r w:rsidR="001F228C" w:rsidRPr="002D79FD">
        <w:rPr>
          <w:rFonts w:cs="Times New Roman"/>
        </w:rPr>
        <w:t xml:space="preserve">Fidalgo, J. (2006). </w:t>
      </w:r>
      <w:r w:rsidR="001F228C" w:rsidRPr="002D79FD">
        <w:rPr>
          <w:rFonts w:cs="Times New Roman"/>
          <w:i/>
          <w:iCs/>
        </w:rPr>
        <w:t>O Lugar da Ética e da Auto-Regulação na Identidade Profissional dos Jornalistas</w:t>
      </w:r>
      <w:r w:rsidR="001F228C" w:rsidRPr="002D79FD">
        <w:rPr>
          <w:rFonts w:cs="Times New Roman"/>
        </w:rPr>
        <w:t xml:space="preserve">. </w:t>
      </w:r>
      <w:r w:rsidR="00790D27">
        <w:rPr>
          <w:rFonts w:cs="Times New Roman"/>
        </w:rPr>
        <w:t>PhD Thesis</w:t>
      </w:r>
      <w:r w:rsidR="001F228C" w:rsidRPr="002D79FD">
        <w:rPr>
          <w:rFonts w:cs="Times New Roman"/>
        </w:rPr>
        <w:t xml:space="preserve">. Universidade do Minho, </w:t>
      </w:r>
      <w:r w:rsidR="007F7F6D" w:rsidRPr="002D79FD">
        <w:rPr>
          <w:rFonts w:cs="Times New Roman"/>
        </w:rPr>
        <w:t>419 ss.</w:t>
      </w:r>
    </w:p>
  </w:footnote>
  <w:footnote w:id="3">
    <w:p w14:paraId="3033F4DC" w14:textId="1A3F39B8" w:rsidR="00760C61" w:rsidRDefault="00760C61" w:rsidP="00C1129C">
      <w:pPr>
        <w:pStyle w:val="FootnoteText"/>
        <w:spacing w:line="480" w:lineRule="auto"/>
        <w:jc w:val="both"/>
      </w:pPr>
      <w:r>
        <w:rPr>
          <w:rStyle w:val="FootnoteReference"/>
        </w:rPr>
        <w:footnoteRef/>
      </w:r>
      <w:r>
        <w:t xml:space="preserve"> </w:t>
      </w:r>
      <w:r w:rsidRPr="007167A7">
        <w:rPr>
          <w:i/>
          <w:iCs/>
        </w:rPr>
        <w:t>Tribunal Constitucional</w:t>
      </w:r>
      <w:r>
        <w:t xml:space="preserve"> in Portuguese.</w:t>
      </w:r>
    </w:p>
  </w:footnote>
  <w:footnote w:id="4">
    <w:p w14:paraId="4225127B" w14:textId="4BD65B83" w:rsidR="00760C61" w:rsidRDefault="00760C61" w:rsidP="00C1129C">
      <w:pPr>
        <w:pStyle w:val="FootnoteText"/>
        <w:spacing w:line="480" w:lineRule="auto"/>
        <w:jc w:val="both"/>
      </w:pPr>
      <w:r>
        <w:rPr>
          <w:rStyle w:val="FootnoteReference"/>
        </w:rPr>
        <w:footnoteRef/>
      </w:r>
      <w:r>
        <w:t xml:space="preserve"> </w:t>
      </w:r>
      <w:r w:rsidR="006C0BF3" w:rsidRPr="007167A7">
        <w:rPr>
          <w:i/>
          <w:iCs/>
        </w:rPr>
        <w:t>Supremo Tribunal de Justiça</w:t>
      </w:r>
      <w:r w:rsidR="006C0BF3">
        <w:t xml:space="preserve"> in Portuguese.</w:t>
      </w:r>
    </w:p>
  </w:footnote>
  <w:footnote w:id="5">
    <w:p w14:paraId="09B45605" w14:textId="25553AB1" w:rsidR="00DA48A1" w:rsidRPr="00DA48A1" w:rsidRDefault="00DA48A1" w:rsidP="00C1129C">
      <w:pPr>
        <w:pStyle w:val="FootnoteText"/>
        <w:spacing w:line="480" w:lineRule="auto"/>
        <w:jc w:val="both"/>
      </w:pPr>
      <w:r>
        <w:rPr>
          <w:rStyle w:val="FootnoteReference"/>
        </w:rPr>
        <w:footnoteRef/>
      </w:r>
      <w:r w:rsidRPr="00DA48A1">
        <w:t xml:space="preserve"> </w:t>
      </w:r>
      <w:r w:rsidRPr="007167A7">
        <w:rPr>
          <w:i/>
          <w:iCs/>
        </w:rPr>
        <w:t>Entidade Reguladora para a Comunicação Social</w:t>
      </w:r>
      <w:r>
        <w:t xml:space="preserve"> in Portuguese.</w:t>
      </w:r>
    </w:p>
  </w:footnote>
  <w:footnote w:id="6">
    <w:p w14:paraId="56271A18" w14:textId="0E99C2B6" w:rsidR="0089121A" w:rsidRPr="00DF6F85" w:rsidRDefault="0089121A" w:rsidP="00C1129C">
      <w:pPr>
        <w:pStyle w:val="FootnoteText"/>
        <w:spacing w:line="480" w:lineRule="auto"/>
        <w:jc w:val="both"/>
      </w:pPr>
      <w:r>
        <w:rPr>
          <w:rStyle w:val="FootnoteReference"/>
        </w:rPr>
        <w:footnoteRef/>
      </w:r>
      <w:r>
        <w:t xml:space="preserve"> </w:t>
      </w:r>
      <w:r w:rsidR="00DF6F85" w:rsidRPr="007167A7">
        <w:rPr>
          <w:rFonts w:cs="Times New Roman"/>
          <w:i/>
          <w:iCs/>
        </w:rPr>
        <w:t>Comissão da Carteira Profissional de Jornalista</w:t>
      </w:r>
      <w:r w:rsidR="00DF6F85" w:rsidRPr="00DF6F85">
        <w:rPr>
          <w:rFonts w:cs="Times New Roman"/>
        </w:rPr>
        <w:t xml:space="preserve"> in Portuguese.</w:t>
      </w:r>
    </w:p>
  </w:footnote>
  <w:footnote w:id="7">
    <w:p w14:paraId="7C870F0F" w14:textId="698DD081" w:rsidR="0089121A" w:rsidRPr="0089121A" w:rsidRDefault="0089121A" w:rsidP="00C1129C">
      <w:pPr>
        <w:pStyle w:val="FootnoteText"/>
        <w:spacing w:line="480" w:lineRule="auto"/>
        <w:jc w:val="both"/>
      </w:pPr>
      <w:r>
        <w:rPr>
          <w:rStyle w:val="FootnoteReference"/>
        </w:rPr>
        <w:footnoteRef/>
      </w:r>
      <w:r>
        <w:t xml:space="preserve"> </w:t>
      </w:r>
      <w:r w:rsidRPr="007167A7">
        <w:rPr>
          <w:rFonts w:cs="Times New Roman"/>
          <w:i/>
          <w:iCs/>
        </w:rPr>
        <w:t>Sindicato dos Jornalistas</w:t>
      </w:r>
      <w:r w:rsidRPr="0089121A">
        <w:rPr>
          <w:rFonts w:cs="Times New Roman"/>
        </w:rPr>
        <w:t xml:space="preserve"> in Portuguese.</w:t>
      </w:r>
    </w:p>
  </w:footnote>
  <w:footnote w:id="8">
    <w:p w14:paraId="5CCEC193" w14:textId="77777777" w:rsidR="00E65524" w:rsidRPr="002D79FD" w:rsidRDefault="00E65524" w:rsidP="00C1129C">
      <w:pPr>
        <w:pStyle w:val="FootnoteText"/>
        <w:spacing w:line="480" w:lineRule="auto"/>
        <w:jc w:val="both"/>
        <w:rPr>
          <w:rFonts w:cs="Times New Roman"/>
        </w:rPr>
      </w:pPr>
      <w:r w:rsidRPr="002D79FD">
        <w:rPr>
          <w:rStyle w:val="FootnoteReference"/>
          <w:rFonts w:cs="Times New Roman"/>
        </w:rPr>
        <w:footnoteRef/>
      </w:r>
      <w:r w:rsidRPr="0089121A">
        <w:rPr>
          <w:rFonts w:cs="Times New Roman"/>
        </w:rPr>
        <w:t xml:space="preserve"> Coelho, A., et al. </w:t>
      </w:r>
      <w:r w:rsidRPr="002D79FD">
        <w:rPr>
          <w:rFonts w:cs="Times New Roman"/>
        </w:rPr>
        <w:t xml:space="preserve">(2024). Jornalismo, democracia, censura: história e atualidade. </w:t>
      </w:r>
      <w:r w:rsidRPr="002D79FD">
        <w:rPr>
          <w:rFonts w:cs="Times New Roman"/>
          <w:i/>
          <w:iCs/>
        </w:rPr>
        <w:t>Revista Minerva Universitária</w:t>
      </w:r>
      <w:r w:rsidRPr="002D79FD">
        <w:rPr>
          <w:rFonts w:cs="Times New Roman"/>
        </w:rPr>
        <w:t>.</w:t>
      </w:r>
    </w:p>
  </w:footnote>
  <w:footnote w:id="9">
    <w:p w14:paraId="7FFF841E" w14:textId="5453F59C" w:rsidR="007345E8" w:rsidRPr="007A2A78" w:rsidRDefault="007345E8" w:rsidP="00C1129C">
      <w:pPr>
        <w:pStyle w:val="FootnoteText"/>
        <w:spacing w:line="480" w:lineRule="auto"/>
        <w:jc w:val="both"/>
        <w:rPr>
          <w:rFonts w:cs="Times New Roman"/>
          <w:lang w:val="it-IT"/>
        </w:rPr>
      </w:pPr>
      <w:r w:rsidRPr="002D79FD">
        <w:rPr>
          <w:rStyle w:val="FootnoteReference"/>
          <w:rFonts w:cs="Times New Roman"/>
        </w:rPr>
        <w:footnoteRef/>
      </w:r>
      <w:r w:rsidRPr="007A2A78">
        <w:rPr>
          <w:rFonts w:cs="Times New Roman"/>
        </w:rPr>
        <w:t xml:space="preserve"> In </w:t>
      </w:r>
      <w:r w:rsidR="0075141A" w:rsidRPr="007A2A78">
        <w:rPr>
          <w:rFonts w:cs="Times New Roman"/>
        </w:rPr>
        <w:t xml:space="preserve">adaptation of the introductory text of the work </w:t>
      </w:r>
      <w:r w:rsidRPr="007A2A78">
        <w:rPr>
          <w:rFonts w:cs="Times New Roman"/>
          <w:i/>
          <w:iCs/>
        </w:rPr>
        <w:t>Livros proibidos no Estado Novo</w:t>
      </w:r>
      <w:r w:rsidRPr="007A2A78">
        <w:rPr>
          <w:rFonts w:cs="Times New Roman"/>
        </w:rPr>
        <w:t xml:space="preserve">. </w:t>
      </w:r>
      <w:r w:rsidRPr="002D79FD">
        <w:rPr>
          <w:rFonts w:cs="Times New Roman"/>
        </w:rPr>
        <w:t xml:space="preserve">Lisboa, Assembleia da República, 2005 (3.ª edição, 2015). </w:t>
      </w:r>
      <w:hyperlink r:id="rId1" w:history="1">
        <w:r w:rsidRPr="007A2A78">
          <w:rPr>
            <w:rStyle w:val="Hyperlink"/>
            <w:rFonts w:cs="Times New Roman"/>
            <w:lang w:val="it-IT"/>
          </w:rPr>
          <w:t>https://app.parlamento.pt/comunicar/Artigo.aspx?ID=1283</w:t>
        </w:r>
      </w:hyperlink>
      <w:r w:rsidRPr="007A2A78">
        <w:rPr>
          <w:rFonts w:cs="Times New Roman"/>
          <w:lang w:val="it-IT"/>
        </w:rPr>
        <w:t xml:space="preserve"> </w:t>
      </w:r>
    </w:p>
  </w:footnote>
  <w:footnote w:id="10">
    <w:p w14:paraId="2D1202BF" w14:textId="203387D4" w:rsidR="007345E8" w:rsidRPr="002D79FD" w:rsidRDefault="007345E8" w:rsidP="00C1129C">
      <w:pPr>
        <w:pStyle w:val="FootnoteText"/>
        <w:spacing w:line="480" w:lineRule="auto"/>
        <w:jc w:val="both"/>
        <w:rPr>
          <w:rFonts w:cs="Times New Roman"/>
        </w:rPr>
      </w:pPr>
      <w:r w:rsidRPr="002D79FD">
        <w:rPr>
          <w:rStyle w:val="FootnoteReference"/>
          <w:rFonts w:cs="Times New Roman"/>
        </w:rPr>
        <w:footnoteRef/>
      </w:r>
      <w:r w:rsidRPr="007A2A78">
        <w:rPr>
          <w:rFonts w:cs="Times New Roman"/>
          <w:lang w:val="it-IT"/>
        </w:rPr>
        <w:t xml:space="preserve"> Gama, M. (2009). </w:t>
      </w:r>
      <w:r w:rsidRPr="002D79FD">
        <w:rPr>
          <w:rFonts w:cs="Times New Roman"/>
          <w:i/>
          <w:iCs/>
        </w:rPr>
        <w:t>Da censura à autocensura no Estado Novo</w:t>
      </w:r>
      <w:r w:rsidRPr="002D79FD">
        <w:rPr>
          <w:rFonts w:cs="Times New Roman"/>
        </w:rPr>
        <w:t xml:space="preserve">. </w:t>
      </w:r>
      <w:r w:rsidR="004173E7">
        <w:rPr>
          <w:rFonts w:cs="Times New Roman"/>
        </w:rPr>
        <w:t>Paper</w:t>
      </w:r>
      <w:r w:rsidR="004173E7" w:rsidRPr="004173E7">
        <w:rPr>
          <w:rFonts w:cs="Times New Roman"/>
        </w:rPr>
        <w:t xml:space="preserve"> in conference proceedings</w:t>
      </w:r>
      <w:r w:rsidRPr="002D79FD">
        <w:rPr>
          <w:rFonts w:cs="Times New Roman"/>
        </w:rPr>
        <w:t>. CEHUM, Universidade do Minho, 1.</w:t>
      </w:r>
    </w:p>
  </w:footnote>
  <w:footnote w:id="11">
    <w:p w14:paraId="56A31EE8" w14:textId="64BF2BC4" w:rsidR="00827469" w:rsidRDefault="00827469" w:rsidP="00C1129C">
      <w:pPr>
        <w:pStyle w:val="FootnoteText"/>
        <w:spacing w:line="480" w:lineRule="auto"/>
        <w:jc w:val="both"/>
      </w:pPr>
      <w:r>
        <w:rPr>
          <w:rStyle w:val="FootnoteReference"/>
        </w:rPr>
        <w:footnoteRef/>
      </w:r>
      <w:r>
        <w:t xml:space="preserve"> </w:t>
      </w:r>
    </w:p>
  </w:footnote>
  <w:footnote w:id="12">
    <w:p w14:paraId="5B21F5F1" w14:textId="77777777" w:rsidR="00207A04" w:rsidRPr="002D79FD" w:rsidRDefault="00207A04"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Garcia, J. L. (2009). Sobre a Censura em Portugal. </w:t>
      </w:r>
      <w:r w:rsidRPr="002D79FD">
        <w:rPr>
          <w:rFonts w:cs="Times New Roman"/>
          <w:lang w:val="it-IT"/>
        </w:rPr>
        <w:t xml:space="preserve">In J. L. Garcia (ed.) </w:t>
      </w:r>
      <w:r w:rsidRPr="002D79FD">
        <w:rPr>
          <w:rFonts w:cs="Times New Roman"/>
          <w:i/>
          <w:iCs/>
        </w:rPr>
        <w:t>Estudos sobre os jornalistas portugueses</w:t>
      </w:r>
      <w:r w:rsidRPr="002D79FD">
        <w:rPr>
          <w:rFonts w:cs="Times New Roman"/>
        </w:rPr>
        <w:t>, Imprensa de Ciências Sociais, 54.</w:t>
      </w:r>
    </w:p>
  </w:footnote>
  <w:footnote w:id="13">
    <w:p w14:paraId="670773ED" w14:textId="77777777" w:rsidR="00DF3C37" w:rsidRPr="002D79FD" w:rsidRDefault="00DF3C37"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Garcia (2009) 55.</w:t>
      </w:r>
    </w:p>
  </w:footnote>
  <w:footnote w:id="14">
    <w:p w14:paraId="5B28BE1A" w14:textId="77777777" w:rsidR="00DF3C37" w:rsidRPr="002D79FD" w:rsidRDefault="00DF3C37"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Tengarrinha, J. (2016). O Estado Novo em Portugal, o controle da imprensa e a Guerra Colonial. </w:t>
      </w:r>
      <w:r w:rsidRPr="002D79FD">
        <w:rPr>
          <w:rFonts w:cs="Times New Roman"/>
          <w:i/>
          <w:iCs/>
        </w:rPr>
        <w:t>Revista Brasileira de História da Mídia, 5</w:t>
      </w:r>
      <w:r w:rsidRPr="002D79FD">
        <w:rPr>
          <w:rFonts w:cs="Times New Roman"/>
        </w:rPr>
        <w:t>(1), 186.</w:t>
      </w:r>
    </w:p>
  </w:footnote>
  <w:footnote w:id="15">
    <w:p w14:paraId="63FDE975" w14:textId="2EDFDFC9" w:rsidR="00146522" w:rsidRPr="002D79FD" w:rsidRDefault="00146522"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w:t>
      </w:r>
      <w:r w:rsidR="00A465E0" w:rsidRPr="002D79FD">
        <w:rPr>
          <w:rFonts w:cs="Times New Roman"/>
        </w:rPr>
        <w:t>, J.</w:t>
      </w:r>
      <w:r w:rsidRPr="002D79FD">
        <w:rPr>
          <w:rFonts w:cs="Times New Roman"/>
        </w:rPr>
        <w:t xml:space="preserve"> (2008)</w:t>
      </w:r>
      <w:r w:rsidR="00A465E0" w:rsidRPr="002D79FD">
        <w:rPr>
          <w:rFonts w:cs="Times New Roman"/>
        </w:rPr>
        <w:t xml:space="preserve">. </w:t>
      </w:r>
      <w:r w:rsidR="00A465E0" w:rsidRPr="002D79FD">
        <w:rPr>
          <w:rFonts w:cs="Times New Roman"/>
          <w:i/>
          <w:iCs/>
        </w:rPr>
        <w:t>Uma história do jornalismo em Portugal até ao 25 de Abril de 1974</w:t>
      </w:r>
      <w:r w:rsidR="00A465E0" w:rsidRPr="002D79FD">
        <w:rPr>
          <w:rFonts w:cs="Times New Roman"/>
        </w:rPr>
        <w:t>. Disserta</w:t>
      </w:r>
      <w:r w:rsidR="007167A7">
        <w:rPr>
          <w:rFonts w:cs="Times New Roman"/>
        </w:rPr>
        <w:t>tion</w:t>
      </w:r>
      <w:r w:rsidR="00A465E0" w:rsidRPr="002D79FD">
        <w:rPr>
          <w:rFonts w:cs="Times New Roman"/>
        </w:rPr>
        <w:t>. Universidade Fernando Pessoa e Centro de Investigação Media e Jornalismo,</w:t>
      </w:r>
      <w:r w:rsidRPr="002D79FD">
        <w:rPr>
          <w:rFonts w:cs="Times New Roman"/>
        </w:rPr>
        <w:t xml:space="preserve"> </w:t>
      </w:r>
      <w:r w:rsidR="001933DA" w:rsidRPr="002D79FD">
        <w:rPr>
          <w:rFonts w:cs="Times New Roman"/>
        </w:rPr>
        <w:t>82.</w:t>
      </w:r>
    </w:p>
  </w:footnote>
  <w:footnote w:id="16">
    <w:p w14:paraId="32C7FFA4" w14:textId="77777777" w:rsidR="00E41491" w:rsidRPr="002D79FD" w:rsidRDefault="00E41491" w:rsidP="00C1129C">
      <w:pPr>
        <w:pStyle w:val="FootnoteText"/>
        <w:spacing w:line="480" w:lineRule="auto"/>
        <w:jc w:val="both"/>
        <w:rPr>
          <w:rFonts w:cs="Times New Roman"/>
        </w:rPr>
      </w:pPr>
      <w:r w:rsidRPr="002D79FD">
        <w:rPr>
          <w:rStyle w:val="FootnoteReference"/>
          <w:rFonts w:cs="Times New Roman"/>
        </w:rPr>
        <w:footnoteRef/>
      </w:r>
      <w:r w:rsidRPr="0075141A">
        <w:rPr>
          <w:rFonts w:cs="Times New Roman"/>
          <w:lang w:val="en-GB"/>
        </w:rPr>
        <w:t xml:space="preserve"> In adaptation of the introductory text of the work </w:t>
      </w:r>
      <w:r w:rsidRPr="0075141A">
        <w:rPr>
          <w:rFonts w:cs="Times New Roman"/>
          <w:i/>
          <w:iCs/>
          <w:lang w:val="en-GB"/>
        </w:rPr>
        <w:t>Livros proibidos no Estado Novo</w:t>
      </w:r>
      <w:r w:rsidRPr="0075141A">
        <w:rPr>
          <w:rFonts w:cs="Times New Roman"/>
          <w:lang w:val="en-GB"/>
        </w:rPr>
        <w:t xml:space="preserve">. </w:t>
      </w:r>
      <w:r w:rsidRPr="002D79FD">
        <w:rPr>
          <w:rFonts w:cs="Times New Roman"/>
        </w:rPr>
        <w:t xml:space="preserve">Lisboa, Assembleia da República, 2005 (3.ª edição, 2015). </w:t>
      </w:r>
      <w:hyperlink r:id="rId2" w:history="1">
        <w:r w:rsidRPr="002D79FD">
          <w:rPr>
            <w:rStyle w:val="Hyperlink"/>
            <w:rFonts w:cs="Times New Roman"/>
          </w:rPr>
          <w:t>https://app.parlamento.pt/comunicar/Artigo.aspx?ID=1283</w:t>
        </w:r>
      </w:hyperlink>
      <w:r w:rsidRPr="002D79FD">
        <w:rPr>
          <w:rFonts w:cs="Times New Roman"/>
        </w:rPr>
        <w:t>; Gama (2009) 5-6.</w:t>
      </w:r>
    </w:p>
  </w:footnote>
  <w:footnote w:id="17">
    <w:p w14:paraId="485B3958" w14:textId="77777777" w:rsidR="00E41491" w:rsidRPr="007A2A78" w:rsidRDefault="00E41491" w:rsidP="00C1129C">
      <w:pPr>
        <w:pStyle w:val="FootnoteText"/>
        <w:spacing w:line="480" w:lineRule="auto"/>
        <w:jc w:val="both"/>
        <w:rPr>
          <w:rFonts w:cs="Times New Roman"/>
          <w:lang w:val="en-GB"/>
        </w:rPr>
      </w:pPr>
      <w:r w:rsidRPr="002D79FD">
        <w:rPr>
          <w:rStyle w:val="FootnoteReference"/>
          <w:rFonts w:cs="Times New Roman"/>
        </w:rPr>
        <w:footnoteRef/>
      </w:r>
      <w:r w:rsidRPr="007A2A78">
        <w:rPr>
          <w:rFonts w:cs="Times New Roman"/>
          <w:lang w:val="en-GB"/>
        </w:rPr>
        <w:t xml:space="preserve"> </w:t>
      </w:r>
      <w:r w:rsidRPr="007A2A78">
        <w:rPr>
          <w:rFonts w:cs="Times New Roman"/>
          <w:lang w:val="en-GB"/>
        </w:rPr>
        <w:t>Tengarrinha (2016) 187.</w:t>
      </w:r>
    </w:p>
  </w:footnote>
  <w:footnote w:id="18">
    <w:p w14:paraId="2B50E090" w14:textId="3DD4593A" w:rsidR="00400570" w:rsidRPr="004767A8" w:rsidRDefault="00400570" w:rsidP="00C1129C">
      <w:pPr>
        <w:pStyle w:val="FootnoteText"/>
        <w:spacing w:line="480" w:lineRule="auto"/>
        <w:jc w:val="both"/>
        <w:rPr>
          <w:rFonts w:cs="Times New Roman"/>
          <w:lang w:val="en-GB"/>
        </w:rPr>
      </w:pPr>
      <w:r w:rsidRPr="002D79FD">
        <w:rPr>
          <w:rStyle w:val="FootnoteReference"/>
          <w:rFonts w:cs="Times New Roman"/>
        </w:rPr>
        <w:footnoteRef/>
      </w:r>
      <w:r w:rsidRPr="004767A8">
        <w:rPr>
          <w:rFonts w:cs="Times New Roman"/>
          <w:lang w:val="en-GB"/>
        </w:rPr>
        <w:t xml:space="preserve"> </w:t>
      </w:r>
      <w:r w:rsidR="00C80FED" w:rsidRPr="004767A8">
        <w:rPr>
          <w:rFonts w:cs="Times New Roman"/>
          <w:lang w:val="en-GB"/>
        </w:rPr>
        <w:t>See also</w:t>
      </w:r>
      <w:r w:rsidRPr="004767A8">
        <w:rPr>
          <w:rFonts w:cs="Times New Roman"/>
          <w:lang w:val="en-GB"/>
        </w:rPr>
        <w:t xml:space="preserve"> </w:t>
      </w:r>
      <w:r w:rsidR="004767A8" w:rsidRPr="004767A8">
        <w:rPr>
          <w:rFonts w:cs="Times New Roman"/>
          <w:lang w:val="en-GB"/>
        </w:rPr>
        <w:t xml:space="preserve">Decree-Laws No. </w:t>
      </w:r>
      <w:r w:rsidRPr="004767A8">
        <w:rPr>
          <w:rFonts w:cs="Times New Roman"/>
          <w:lang w:val="en-GB"/>
        </w:rPr>
        <w:t xml:space="preserve">22756 </w:t>
      </w:r>
      <w:r w:rsidR="004767A8" w:rsidRPr="004767A8">
        <w:rPr>
          <w:rFonts w:cs="Times New Roman"/>
          <w:lang w:val="en-GB"/>
        </w:rPr>
        <w:t>of</w:t>
      </w:r>
      <w:r w:rsidRPr="004767A8">
        <w:rPr>
          <w:rFonts w:cs="Times New Roman"/>
          <w:lang w:val="en-GB"/>
        </w:rPr>
        <w:t xml:space="preserve"> 29.06.33; 26159 </w:t>
      </w:r>
      <w:r w:rsidR="004767A8">
        <w:rPr>
          <w:rFonts w:cs="Times New Roman"/>
          <w:lang w:val="en-GB"/>
        </w:rPr>
        <w:t>of</w:t>
      </w:r>
      <w:r w:rsidRPr="004767A8">
        <w:rPr>
          <w:rFonts w:cs="Times New Roman"/>
          <w:lang w:val="en-GB"/>
        </w:rPr>
        <w:t xml:space="preserve"> 27.12.35; 26589 </w:t>
      </w:r>
      <w:r w:rsidR="004767A8">
        <w:rPr>
          <w:rFonts w:cs="Times New Roman"/>
          <w:lang w:val="en-GB"/>
        </w:rPr>
        <w:t>of</w:t>
      </w:r>
      <w:r w:rsidRPr="004767A8">
        <w:rPr>
          <w:rFonts w:cs="Times New Roman"/>
          <w:lang w:val="en-GB"/>
        </w:rPr>
        <w:t xml:space="preserve"> 14.05.36; </w:t>
      </w:r>
      <w:r w:rsidRPr="004767A8">
        <w:rPr>
          <w:rFonts w:cs="Times New Roman"/>
          <w:lang w:val="en-GB"/>
        </w:rPr>
        <w:t xml:space="preserve">48686, </w:t>
      </w:r>
      <w:r w:rsidR="004767A8">
        <w:rPr>
          <w:rFonts w:cs="Times New Roman"/>
          <w:lang w:val="en-GB"/>
        </w:rPr>
        <w:t>of</w:t>
      </w:r>
      <w:r w:rsidRPr="004767A8">
        <w:rPr>
          <w:rFonts w:cs="Times New Roman"/>
          <w:lang w:val="en-GB"/>
        </w:rPr>
        <w:t xml:space="preserve"> 14.11.68.</w:t>
      </w:r>
    </w:p>
  </w:footnote>
  <w:footnote w:id="19">
    <w:p w14:paraId="2104208B" w14:textId="77777777" w:rsidR="00943213" w:rsidRPr="004B7ED7" w:rsidRDefault="00943213" w:rsidP="00C1129C">
      <w:pPr>
        <w:pStyle w:val="FootnoteText"/>
        <w:spacing w:line="480" w:lineRule="auto"/>
        <w:jc w:val="both"/>
        <w:rPr>
          <w:rFonts w:cs="Times New Roman"/>
          <w:lang w:val="en-GB"/>
        </w:rPr>
      </w:pPr>
      <w:r w:rsidRPr="002D79FD">
        <w:rPr>
          <w:rStyle w:val="FootnoteReference"/>
          <w:rFonts w:cs="Times New Roman"/>
        </w:rPr>
        <w:footnoteRef/>
      </w:r>
      <w:r w:rsidRPr="004B7ED7">
        <w:rPr>
          <w:rFonts w:cs="Times New Roman"/>
          <w:lang w:val="en-GB"/>
        </w:rPr>
        <w:t xml:space="preserve"> Sousa (2008) 58.  </w:t>
      </w:r>
    </w:p>
  </w:footnote>
  <w:footnote w:id="20">
    <w:p w14:paraId="378EDD28" w14:textId="2E59EC09" w:rsidR="00400570" w:rsidRPr="002D79FD" w:rsidRDefault="00400570" w:rsidP="00C1129C">
      <w:pPr>
        <w:pStyle w:val="FootnoteText"/>
        <w:spacing w:line="480" w:lineRule="auto"/>
        <w:jc w:val="both"/>
        <w:rPr>
          <w:rFonts w:cs="Times New Roman"/>
        </w:rPr>
      </w:pPr>
      <w:r w:rsidRPr="002D79FD">
        <w:rPr>
          <w:rStyle w:val="FootnoteReference"/>
          <w:rFonts w:cs="Times New Roman"/>
        </w:rPr>
        <w:footnoteRef/>
      </w:r>
      <w:r w:rsidRPr="004B7ED7">
        <w:rPr>
          <w:rFonts w:cs="Times New Roman"/>
          <w:lang w:val="en-GB"/>
        </w:rPr>
        <w:t xml:space="preserve"> </w:t>
      </w:r>
      <w:r w:rsidR="004767A8" w:rsidRPr="0075141A">
        <w:rPr>
          <w:rFonts w:cs="Times New Roman"/>
          <w:lang w:val="en-GB"/>
        </w:rPr>
        <w:t xml:space="preserve">In adaptation of the introductory text of the work </w:t>
      </w:r>
      <w:r w:rsidRPr="004B7ED7">
        <w:rPr>
          <w:rFonts w:cs="Times New Roman"/>
          <w:i/>
          <w:iCs/>
          <w:lang w:val="en-GB"/>
        </w:rPr>
        <w:t>Livros proibidos no Estado Novo</w:t>
      </w:r>
      <w:r w:rsidRPr="004B7ED7">
        <w:rPr>
          <w:rFonts w:cs="Times New Roman"/>
          <w:lang w:val="en-GB"/>
        </w:rPr>
        <w:t xml:space="preserve">. </w:t>
      </w:r>
      <w:r w:rsidRPr="002D79FD">
        <w:rPr>
          <w:rFonts w:cs="Times New Roman"/>
        </w:rPr>
        <w:t xml:space="preserve">Lisboa, Assembleia da República, 2005 (3.ª edição, 2015). </w:t>
      </w:r>
      <w:hyperlink r:id="rId3" w:history="1">
        <w:r w:rsidRPr="002D79FD">
          <w:rPr>
            <w:rStyle w:val="Hyperlink"/>
            <w:rFonts w:cs="Times New Roman"/>
          </w:rPr>
          <w:t>https://app.parlamento.pt/comunicar/Artigo.aspx?ID=1283</w:t>
        </w:r>
      </w:hyperlink>
    </w:p>
  </w:footnote>
  <w:footnote w:id="21">
    <w:p w14:paraId="43227B05" w14:textId="77777777" w:rsidR="003013F0" w:rsidRPr="002D79FD" w:rsidRDefault="003013F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Coelho (2024); Gama (2009) 3; Garcia (2009) 56; Sousa (2008) 32; Tengarrinha (2000) 443.</w:t>
      </w:r>
    </w:p>
  </w:footnote>
  <w:footnote w:id="22">
    <w:p w14:paraId="7451D756" w14:textId="1CD8AB78" w:rsidR="00CA6948" w:rsidRPr="002D79FD" w:rsidRDefault="00CA6948"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Gama (2009) </w:t>
      </w:r>
      <w:r w:rsidR="00127AE9" w:rsidRPr="002D79FD">
        <w:rPr>
          <w:rFonts w:cs="Times New Roman"/>
        </w:rPr>
        <w:t>4-5.</w:t>
      </w:r>
    </w:p>
  </w:footnote>
  <w:footnote w:id="23">
    <w:p w14:paraId="751E7299" w14:textId="3AEF1513" w:rsidR="00B20A07" w:rsidRPr="002D79FD" w:rsidRDefault="00B20A07"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8766CE" w:rsidRPr="002D79FD">
        <w:rPr>
          <w:rFonts w:cs="Times New Roman"/>
        </w:rPr>
        <w:t>Tengarrinha, J. (2000).</w:t>
      </w:r>
      <w:r w:rsidR="00B87AC1" w:rsidRPr="002D79FD">
        <w:rPr>
          <w:rFonts w:cs="Times New Roman"/>
        </w:rPr>
        <w:t xml:space="preserve"> </w:t>
      </w:r>
      <w:r w:rsidR="005068E6" w:rsidRPr="002D79FD">
        <w:rPr>
          <w:rFonts w:cs="Times New Roman"/>
        </w:rPr>
        <w:t>Alberto Arons de Carvalho, A Censura à Imprensa na Época Marcelista,2.ª  ed.,  Coimbra,  Minerva, 1999,  148</w:t>
      </w:r>
      <w:r w:rsidR="009E2066" w:rsidRPr="002D79FD">
        <w:rPr>
          <w:rFonts w:cs="Times New Roman"/>
        </w:rPr>
        <w:t xml:space="preserve"> </w:t>
      </w:r>
      <w:r w:rsidR="005068E6" w:rsidRPr="002D79FD">
        <w:rPr>
          <w:rFonts w:cs="Times New Roman"/>
        </w:rPr>
        <w:t>páginas</w:t>
      </w:r>
      <w:r w:rsidR="009E2066" w:rsidRPr="002D79FD">
        <w:rPr>
          <w:rFonts w:cs="Times New Roman"/>
        </w:rPr>
        <w:t xml:space="preserve">. </w:t>
      </w:r>
      <w:r w:rsidR="00B87AC1" w:rsidRPr="002D79FD">
        <w:rPr>
          <w:rFonts w:cs="Times New Roman"/>
          <w:i/>
          <w:iCs/>
        </w:rPr>
        <w:t>Análise  Social, XXXV</w:t>
      </w:r>
      <w:r w:rsidR="00B87AC1" w:rsidRPr="002D79FD">
        <w:rPr>
          <w:rFonts w:cs="Times New Roman"/>
        </w:rPr>
        <w:t>, 443.</w:t>
      </w:r>
    </w:p>
  </w:footnote>
  <w:footnote w:id="24">
    <w:p w14:paraId="04B60616" w14:textId="2EAB34C4" w:rsidR="0073493C" w:rsidRPr="002D79FD" w:rsidRDefault="0073493C"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4811BA" w:rsidRPr="002D79FD">
        <w:rPr>
          <w:rFonts w:cs="Times New Roman"/>
        </w:rPr>
        <w:t>Sousa (2008) 58.</w:t>
      </w:r>
    </w:p>
  </w:footnote>
  <w:footnote w:id="25">
    <w:p w14:paraId="281E82A4" w14:textId="1B8C0242" w:rsidR="009A1EFE" w:rsidRPr="002D79FD" w:rsidRDefault="009A1EFE"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(2008) </w:t>
      </w:r>
      <w:r w:rsidR="0082770D" w:rsidRPr="002D79FD">
        <w:rPr>
          <w:rFonts w:cs="Times New Roman"/>
        </w:rPr>
        <w:t>59.</w:t>
      </w:r>
    </w:p>
  </w:footnote>
  <w:footnote w:id="26">
    <w:p w14:paraId="43ED73F9" w14:textId="77777777" w:rsidR="00E20C07" w:rsidRPr="002D79FD" w:rsidRDefault="00E20C07"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Tengarrinha (2000) 443.</w:t>
      </w:r>
    </w:p>
  </w:footnote>
  <w:footnote w:id="27">
    <w:p w14:paraId="3D05F421" w14:textId="77777777" w:rsidR="0005488D" w:rsidRPr="002D79FD" w:rsidRDefault="0005488D"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Tengarrinha (2016) 192.</w:t>
      </w:r>
    </w:p>
  </w:footnote>
  <w:footnote w:id="28">
    <w:p w14:paraId="5A043DC0" w14:textId="77777777" w:rsidR="0005488D" w:rsidRPr="002D79FD" w:rsidRDefault="0005488D"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Tengarrinha (2016) 188.</w:t>
      </w:r>
    </w:p>
  </w:footnote>
  <w:footnote w:id="29">
    <w:p w14:paraId="1AC9480E" w14:textId="77777777" w:rsidR="0005488D" w:rsidRPr="002D79FD" w:rsidRDefault="0005488D"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Gama (2009) 1, 3; Garcia (2009) 56.</w:t>
      </w:r>
    </w:p>
  </w:footnote>
  <w:footnote w:id="30">
    <w:p w14:paraId="79F2B0EF" w14:textId="77777777" w:rsidR="00646980" w:rsidRPr="002D79FD" w:rsidRDefault="0064698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Cabrera (2022) 274.</w:t>
      </w:r>
    </w:p>
  </w:footnote>
  <w:footnote w:id="31">
    <w:p w14:paraId="507D50DE" w14:textId="77777777" w:rsidR="00646980" w:rsidRPr="002D79FD" w:rsidRDefault="0064698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(2008) 58.</w:t>
      </w:r>
    </w:p>
  </w:footnote>
  <w:footnote w:id="32">
    <w:p w14:paraId="71087633" w14:textId="77777777" w:rsidR="00646980" w:rsidRPr="002D79FD" w:rsidRDefault="0064698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(2008) 60.</w:t>
      </w:r>
    </w:p>
  </w:footnote>
  <w:footnote w:id="33">
    <w:p w14:paraId="20F55497" w14:textId="77777777" w:rsidR="00646980" w:rsidRPr="002D79FD" w:rsidRDefault="0064698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(2008) 58.</w:t>
      </w:r>
    </w:p>
  </w:footnote>
  <w:footnote w:id="34">
    <w:p w14:paraId="12420B84" w14:textId="1E92D1CD" w:rsidR="00405640" w:rsidRPr="002D79FD" w:rsidRDefault="0040564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L</w:t>
      </w:r>
      <w:r w:rsidR="0092488A">
        <w:rPr>
          <w:rFonts w:cs="Times New Roman"/>
        </w:rPr>
        <w:t>aw No.</w:t>
      </w:r>
      <w:r w:rsidRPr="002D79FD">
        <w:rPr>
          <w:rFonts w:cs="Times New Roman"/>
        </w:rPr>
        <w:t xml:space="preserve"> 5/71 de 5.11.71.</w:t>
      </w:r>
    </w:p>
  </w:footnote>
  <w:footnote w:id="35">
    <w:p w14:paraId="265A647F" w14:textId="17F4082C" w:rsidR="007835F3" w:rsidRPr="002D79FD" w:rsidRDefault="007835F3"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Cabrera (</w:t>
      </w:r>
      <w:r w:rsidR="00EF257C" w:rsidRPr="002D79FD">
        <w:rPr>
          <w:rFonts w:cs="Times New Roman"/>
        </w:rPr>
        <w:t>2022</w:t>
      </w:r>
      <w:r w:rsidRPr="002D79FD">
        <w:rPr>
          <w:rFonts w:cs="Times New Roman"/>
        </w:rPr>
        <w:t xml:space="preserve">) </w:t>
      </w:r>
      <w:r w:rsidR="00403A86" w:rsidRPr="002D79FD">
        <w:rPr>
          <w:rFonts w:cs="Times New Roman"/>
        </w:rPr>
        <w:t>308-309.</w:t>
      </w:r>
    </w:p>
  </w:footnote>
  <w:footnote w:id="36">
    <w:p w14:paraId="3893DD63" w14:textId="77777777" w:rsidR="00006C98" w:rsidRPr="002D79FD" w:rsidRDefault="00006C98"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(2008) 82; Cabrera (2022) 308-309.</w:t>
      </w:r>
    </w:p>
  </w:footnote>
  <w:footnote w:id="37">
    <w:p w14:paraId="5337B372" w14:textId="77777777" w:rsidR="00006C98" w:rsidRPr="002D79FD" w:rsidRDefault="00006C98"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Tengarrinha (2016).</w:t>
      </w:r>
    </w:p>
  </w:footnote>
  <w:footnote w:id="38">
    <w:p w14:paraId="7B717653" w14:textId="77777777" w:rsidR="00006C98" w:rsidRPr="002D79FD" w:rsidRDefault="00006C98"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A este propósito, Tengarrinha (2000). </w:t>
      </w:r>
    </w:p>
  </w:footnote>
  <w:footnote w:id="39">
    <w:p w14:paraId="7945F764" w14:textId="77777777" w:rsidR="00006C98" w:rsidRPr="002D79FD" w:rsidRDefault="00006C98"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Cabrera (2022) 309-310.</w:t>
      </w:r>
    </w:p>
  </w:footnote>
  <w:footnote w:id="40">
    <w:p w14:paraId="2BAE752C" w14:textId="77777777" w:rsidR="00006C98" w:rsidRPr="002D79FD" w:rsidRDefault="00006C98"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(2008) 62; Tengarrinha (2000) 444.</w:t>
      </w:r>
    </w:p>
  </w:footnote>
  <w:footnote w:id="41">
    <w:p w14:paraId="49552AE9" w14:textId="77777777" w:rsidR="001B1981" w:rsidRPr="002D79FD" w:rsidRDefault="001B1981"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Garcia (2009) 56.</w:t>
      </w:r>
    </w:p>
  </w:footnote>
  <w:footnote w:id="42">
    <w:p w14:paraId="1106D308" w14:textId="77777777" w:rsidR="001B1981" w:rsidRPr="002D79FD" w:rsidRDefault="001B1981"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Tengarrinha (2016) 186.</w:t>
      </w:r>
    </w:p>
  </w:footnote>
  <w:footnote w:id="43">
    <w:p w14:paraId="2F66A0D4" w14:textId="77777777" w:rsidR="001B1981" w:rsidRPr="002D79FD" w:rsidRDefault="001B1981"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Cabrera (2022) 308; Baptista, C. (2021). Os jornalistas amigos do Estado Novo: uma relação duradoura e não linear. </w:t>
      </w:r>
      <w:r w:rsidRPr="002D79FD">
        <w:rPr>
          <w:rFonts w:cs="Times New Roman"/>
          <w:i/>
          <w:iCs/>
        </w:rPr>
        <w:t>Mediapolis,</w:t>
      </w:r>
      <w:r w:rsidRPr="002D79FD">
        <w:rPr>
          <w:rFonts w:cs="Times New Roman"/>
        </w:rPr>
        <w:t> </w:t>
      </w:r>
      <w:r w:rsidRPr="002D79FD">
        <w:rPr>
          <w:rFonts w:cs="Times New Roman"/>
          <w:i/>
          <w:iCs/>
        </w:rPr>
        <w:t>13</w:t>
      </w:r>
      <w:r w:rsidRPr="002D79FD">
        <w:rPr>
          <w:rFonts w:cs="Times New Roman"/>
        </w:rPr>
        <w:t>, 48; Cádima, F. R. (2019). Da invisibilidade de Salazar à presencialidade de Caetano: sobre os media, a televisão e a ditadura em Portugal. </w:t>
      </w:r>
      <w:r w:rsidRPr="002D79FD">
        <w:rPr>
          <w:rFonts w:cs="Times New Roman"/>
          <w:i/>
          <w:iCs/>
        </w:rPr>
        <w:t>Media &amp; Jornalismo</w:t>
      </w:r>
      <w:r w:rsidRPr="002D79FD">
        <w:rPr>
          <w:rFonts w:cs="Times New Roman"/>
        </w:rPr>
        <w:t>, </w:t>
      </w:r>
      <w:r w:rsidRPr="002D79FD">
        <w:rPr>
          <w:rFonts w:cs="Times New Roman"/>
          <w:i/>
          <w:iCs/>
        </w:rPr>
        <w:t>19</w:t>
      </w:r>
      <w:r w:rsidRPr="002D79FD">
        <w:rPr>
          <w:rFonts w:cs="Times New Roman"/>
        </w:rPr>
        <w:t>(35), 197-209.</w:t>
      </w:r>
    </w:p>
  </w:footnote>
  <w:footnote w:id="44">
    <w:p w14:paraId="206F3677" w14:textId="77777777" w:rsidR="001B1981" w:rsidRPr="002D79FD" w:rsidRDefault="001B1981"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Coelho, et al. (2024).</w:t>
      </w:r>
    </w:p>
  </w:footnote>
  <w:footnote w:id="45">
    <w:p w14:paraId="55907C16" w14:textId="3EC7F153" w:rsidR="001B5CB7" w:rsidRPr="002D79FD" w:rsidRDefault="001B5CB7"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D744AE" w:rsidRPr="002D79FD">
        <w:rPr>
          <w:rFonts w:cs="Times New Roman"/>
        </w:rPr>
        <w:t>Baptista (2021) 50</w:t>
      </w:r>
      <w:r w:rsidR="00D54BA8" w:rsidRPr="002D79FD">
        <w:rPr>
          <w:rFonts w:cs="Times New Roman"/>
        </w:rPr>
        <w:t xml:space="preserve"> ss</w:t>
      </w:r>
      <w:r w:rsidR="00D744AE" w:rsidRPr="002D79FD">
        <w:rPr>
          <w:rFonts w:cs="Times New Roman"/>
        </w:rPr>
        <w:t>.</w:t>
      </w:r>
    </w:p>
  </w:footnote>
  <w:footnote w:id="46">
    <w:p w14:paraId="413E3B80" w14:textId="771D8F48" w:rsidR="005D718D" w:rsidRDefault="005D718D" w:rsidP="00C1129C">
      <w:pPr>
        <w:pStyle w:val="FootnoteText"/>
        <w:spacing w:line="480" w:lineRule="auto"/>
        <w:jc w:val="both"/>
      </w:pPr>
      <w:r>
        <w:rPr>
          <w:rStyle w:val="FootnoteReference"/>
        </w:rPr>
        <w:footnoteRef/>
      </w:r>
      <w:r>
        <w:t xml:space="preserve"> </w:t>
      </w:r>
      <w:r w:rsidRPr="00F971F8">
        <w:rPr>
          <w:i/>
          <w:iCs/>
        </w:rPr>
        <w:t>Constituição da República Portuguesa</w:t>
      </w:r>
      <w:r>
        <w:t xml:space="preserve"> in Portuguese.</w:t>
      </w:r>
    </w:p>
  </w:footnote>
  <w:footnote w:id="47">
    <w:p w14:paraId="683E4C7E" w14:textId="554B013A" w:rsidR="00EA092D" w:rsidRPr="002D79FD" w:rsidRDefault="00EA092D"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Franco, A. (1995). </w:t>
      </w:r>
      <w:r w:rsidR="00217950" w:rsidRPr="002D79FD">
        <w:rPr>
          <w:rFonts w:cs="Times New Roman"/>
        </w:rPr>
        <w:t>Um caso de estabilidade legislativa: 20 anos d</w:t>
      </w:r>
      <w:r w:rsidR="005C159A" w:rsidRPr="002D79FD">
        <w:rPr>
          <w:rFonts w:cs="Times New Roman"/>
        </w:rPr>
        <w:t xml:space="preserve">e </w:t>
      </w:r>
      <w:r w:rsidR="00217950" w:rsidRPr="002D79FD">
        <w:rPr>
          <w:rFonts w:cs="Times New Roman"/>
        </w:rPr>
        <w:t>Lei d</w:t>
      </w:r>
      <w:r w:rsidR="005C159A" w:rsidRPr="002D79FD">
        <w:rPr>
          <w:rFonts w:cs="Times New Roman"/>
        </w:rPr>
        <w:t>e</w:t>
      </w:r>
      <w:r w:rsidR="00217950" w:rsidRPr="002D79FD">
        <w:rPr>
          <w:rFonts w:cs="Times New Roman"/>
        </w:rPr>
        <w:t xml:space="preserve"> Imprensa. </w:t>
      </w:r>
      <w:r w:rsidR="005A7B89" w:rsidRPr="002D79FD">
        <w:rPr>
          <w:rFonts w:cs="Times New Roman"/>
          <w:i/>
          <w:iCs/>
        </w:rPr>
        <w:t>Polis, 04-05</w:t>
      </w:r>
      <w:r w:rsidR="005A7B89" w:rsidRPr="002D79FD">
        <w:rPr>
          <w:rFonts w:cs="Times New Roman"/>
        </w:rPr>
        <w:t xml:space="preserve">, </w:t>
      </w:r>
      <w:r w:rsidR="00217950" w:rsidRPr="002D79FD">
        <w:rPr>
          <w:rFonts w:cs="Times New Roman"/>
        </w:rPr>
        <w:t>43.</w:t>
      </w:r>
    </w:p>
  </w:footnote>
  <w:footnote w:id="48">
    <w:p w14:paraId="48B77117" w14:textId="72790E74" w:rsidR="005F5C98" w:rsidRPr="002D79FD" w:rsidRDefault="005F5C98"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Franco (1995) 43-44.</w:t>
      </w:r>
    </w:p>
  </w:footnote>
  <w:footnote w:id="49">
    <w:p w14:paraId="2E141BEE" w14:textId="4C1ECF3E" w:rsidR="003E57D0" w:rsidRPr="002D79FD" w:rsidRDefault="003E57D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282, no</w:t>
      </w:r>
      <w:r w:rsidR="006C083F">
        <w:rPr>
          <w:rFonts w:cs="Times New Roman"/>
        </w:rPr>
        <w:t>te</w:t>
      </w:r>
      <w:r w:rsidRPr="002D79FD">
        <w:rPr>
          <w:rFonts w:cs="Times New Roman"/>
        </w:rPr>
        <w:t xml:space="preserve"> 286.</w:t>
      </w:r>
    </w:p>
  </w:footnote>
  <w:footnote w:id="50">
    <w:p w14:paraId="7655C974" w14:textId="77777777" w:rsidR="003E57D0" w:rsidRPr="002D79FD" w:rsidRDefault="003E57D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Franco (1995) 45.</w:t>
      </w:r>
    </w:p>
  </w:footnote>
  <w:footnote w:id="51">
    <w:p w14:paraId="7D607DA8" w14:textId="1143C66A" w:rsidR="00B0555F" w:rsidRPr="007A2A78" w:rsidRDefault="00B0555F"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Gomes Canotilho, J. &amp; Moreira</w:t>
      </w:r>
      <w:r w:rsidRPr="0096061D">
        <w:rPr>
          <w:rFonts w:cs="Times New Roman"/>
        </w:rPr>
        <w:t>, V. (</w:t>
      </w:r>
      <w:r w:rsidR="0096061D" w:rsidRPr="0096061D">
        <w:rPr>
          <w:rFonts w:cs="Times New Roman"/>
        </w:rPr>
        <w:t>2007-2010</w:t>
      </w:r>
      <w:r w:rsidRPr="0096061D">
        <w:rPr>
          <w:rFonts w:cs="Times New Roman"/>
        </w:rPr>
        <w:t xml:space="preserve">). </w:t>
      </w:r>
      <w:r w:rsidRPr="002D79FD">
        <w:rPr>
          <w:rFonts w:cs="Times New Roman"/>
          <w:i/>
          <w:iCs/>
        </w:rPr>
        <w:t>Constituição da República Portuguesa Anotada</w:t>
      </w:r>
      <w:r w:rsidRPr="002D79FD">
        <w:rPr>
          <w:rFonts w:cs="Times New Roman"/>
        </w:rPr>
        <w:t xml:space="preserve">, </w:t>
      </w:r>
      <w:r w:rsidR="0096061D">
        <w:rPr>
          <w:rFonts w:cs="Times New Roman"/>
        </w:rPr>
        <w:t>4</w:t>
      </w:r>
      <w:r w:rsidRPr="002D79FD">
        <w:rPr>
          <w:rFonts w:cs="Times New Roman"/>
        </w:rPr>
        <w:t xml:space="preserve">ª edição, Coimbra Editora, </w:t>
      </w:r>
      <w:r w:rsidR="003A3884">
        <w:rPr>
          <w:rFonts w:cs="Times New Roman"/>
        </w:rPr>
        <w:t>572</w:t>
      </w:r>
      <w:r w:rsidR="00B66F10">
        <w:rPr>
          <w:rFonts w:cs="Times New Roman"/>
        </w:rPr>
        <w:t>-573</w:t>
      </w:r>
      <w:r w:rsidRPr="002D79FD">
        <w:rPr>
          <w:rFonts w:cs="Times New Roman"/>
        </w:rPr>
        <w:t xml:space="preserve">. </w:t>
      </w:r>
      <w:r>
        <w:rPr>
          <w:rFonts w:cs="Times New Roman"/>
        </w:rPr>
        <w:t>Also</w:t>
      </w:r>
      <w:r w:rsidRPr="002D79FD">
        <w:rPr>
          <w:rFonts w:cs="Times New Roman"/>
        </w:rPr>
        <w:t xml:space="preserve">, Leite Pinto, R. (1994). Liberdade de imprensa e vida privada. </w:t>
      </w:r>
      <w:r w:rsidRPr="007A2A78">
        <w:rPr>
          <w:rFonts w:cs="Times New Roman"/>
          <w:i/>
          <w:iCs/>
          <w:lang w:val="en-GB"/>
        </w:rPr>
        <w:t>Revista da Ordem dos Advogados, 54 I</w:t>
      </w:r>
      <w:r w:rsidRPr="007A2A78">
        <w:rPr>
          <w:rFonts w:cs="Times New Roman"/>
          <w:lang w:val="en-GB"/>
        </w:rPr>
        <w:t>, 54.</w:t>
      </w:r>
    </w:p>
  </w:footnote>
  <w:footnote w:id="52">
    <w:p w14:paraId="76278DEF" w14:textId="3720CCDB" w:rsidR="00B0555F" w:rsidRPr="002D79FD" w:rsidRDefault="00B0555F" w:rsidP="00C1129C">
      <w:pPr>
        <w:pStyle w:val="FootnoteText"/>
        <w:spacing w:line="480" w:lineRule="auto"/>
        <w:jc w:val="both"/>
        <w:rPr>
          <w:rFonts w:cs="Times New Roman"/>
        </w:rPr>
      </w:pPr>
      <w:r w:rsidRPr="002D79FD">
        <w:rPr>
          <w:rStyle w:val="FootnoteReference"/>
          <w:rFonts w:cs="Times New Roman"/>
        </w:rPr>
        <w:footnoteRef/>
      </w:r>
      <w:r w:rsidRPr="00497473">
        <w:rPr>
          <w:rFonts w:cs="Times New Roman"/>
          <w:lang w:val="en-GB"/>
        </w:rPr>
        <w:t xml:space="preserve"> </w:t>
      </w:r>
      <w:r w:rsidR="00497473" w:rsidRPr="00497473">
        <w:rPr>
          <w:rFonts w:cs="Times New Roman"/>
          <w:lang w:val="en-GB"/>
        </w:rPr>
        <w:t>On distinctions between freedom of expression and the right to information, and within these various subtypes,</w:t>
      </w:r>
      <w:r w:rsidR="00497473">
        <w:rPr>
          <w:rFonts w:cs="Times New Roman"/>
          <w:lang w:val="en-GB"/>
        </w:rPr>
        <w:t xml:space="preserve"> </w:t>
      </w:r>
      <w:r w:rsidRPr="00497473">
        <w:rPr>
          <w:rFonts w:cs="Times New Roman"/>
          <w:lang w:val="en-GB"/>
        </w:rPr>
        <w:t xml:space="preserve">Rodrigues da Costa, A. (1989). </w:t>
      </w:r>
      <w:r w:rsidRPr="002D79FD">
        <w:rPr>
          <w:rFonts w:cs="Times New Roman"/>
        </w:rPr>
        <w:t>A liberdade de imprensa e as limitações decorrentes da sua função. </w:t>
      </w:r>
      <w:r w:rsidRPr="002D79FD">
        <w:rPr>
          <w:rFonts w:cs="Times New Roman"/>
          <w:i/>
          <w:iCs/>
        </w:rPr>
        <w:t>Revista do Ministério Público</w:t>
      </w:r>
      <w:r w:rsidRPr="002D79FD">
        <w:rPr>
          <w:rFonts w:cs="Times New Roman"/>
        </w:rPr>
        <w:t>, Ano 10, 37, 15 ss.</w:t>
      </w:r>
    </w:p>
  </w:footnote>
  <w:footnote w:id="53">
    <w:p w14:paraId="7A15DBD9" w14:textId="4AC64500" w:rsidR="00B42500" w:rsidRPr="002D79FD" w:rsidRDefault="00B42500" w:rsidP="00C1129C">
      <w:pPr>
        <w:pStyle w:val="FootnoteText"/>
        <w:spacing w:line="480" w:lineRule="auto"/>
        <w:jc w:val="both"/>
        <w:rPr>
          <w:rFonts w:cs="Times New Roman"/>
        </w:rPr>
      </w:pPr>
      <w:r w:rsidRPr="002D79FD">
        <w:rPr>
          <w:rStyle w:val="FootnoteReference"/>
          <w:rFonts w:cs="Times New Roman"/>
        </w:rPr>
        <w:footnoteRef/>
      </w:r>
      <w:r>
        <w:rPr>
          <w:rFonts w:cs="Times New Roman"/>
        </w:rPr>
        <w:t xml:space="preserve"> </w:t>
      </w:r>
      <w:r w:rsidR="00B33C41" w:rsidRPr="002D79FD">
        <w:rPr>
          <w:rFonts w:cs="Times New Roman"/>
        </w:rPr>
        <w:t>Gomes Canotil</w:t>
      </w:r>
      <w:r w:rsidR="00837366">
        <w:rPr>
          <w:rFonts w:cs="Times New Roman"/>
        </w:rPr>
        <w:t>ho</w:t>
      </w:r>
      <w:r w:rsidR="00B33C41" w:rsidRPr="002D79FD">
        <w:rPr>
          <w:rFonts w:cs="Times New Roman"/>
        </w:rPr>
        <w:t xml:space="preserve"> &amp; Moreira</w:t>
      </w:r>
      <w:r w:rsidR="00B33C41" w:rsidRPr="0096061D">
        <w:rPr>
          <w:rFonts w:cs="Times New Roman"/>
        </w:rPr>
        <w:t xml:space="preserve"> (2007-2010)</w:t>
      </w:r>
      <w:r w:rsidR="00B33C41">
        <w:rPr>
          <w:rFonts w:cs="Times New Roman"/>
        </w:rPr>
        <w:t xml:space="preserve"> </w:t>
      </w:r>
      <w:r w:rsidR="00837366">
        <w:rPr>
          <w:rFonts w:cs="Times New Roman"/>
        </w:rPr>
        <w:t xml:space="preserve">572; </w:t>
      </w:r>
      <w:r w:rsidRPr="002D79FD">
        <w:rPr>
          <w:rFonts w:cs="Times New Roman"/>
        </w:rPr>
        <w:t xml:space="preserve">Costa Andrade, M. (1996). </w:t>
      </w:r>
      <w:r w:rsidRPr="002D79FD">
        <w:rPr>
          <w:rFonts w:cs="Times New Roman"/>
          <w:i/>
          <w:iCs/>
        </w:rPr>
        <w:t>Liberdade de Imprensa e Inviolabilidade Pessoal: Uma perspectiva jurídico-criminal</w:t>
      </w:r>
      <w:r w:rsidRPr="002D79FD">
        <w:rPr>
          <w:rFonts w:cs="Times New Roman"/>
        </w:rPr>
        <w:t>. Coimbra Editora, 45.</w:t>
      </w:r>
    </w:p>
  </w:footnote>
  <w:footnote w:id="54">
    <w:p w14:paraId="7C7906A4" w14:textId="3C6E84B4" w:rsidR="00325993" w:rsidRPr="00BF5B44" w:rsidRDefault="00325993"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DE5CC2" w:rsidRPr="002D79FD">
        <w:rPr>
          <w:rFonts w:cs="Times New Roman"/>
        </w:rPr>
        <w:t xml:space="preserve">Gomes Canotilho &amp; </w:t>
      </w:r>
      <w:r w:rsidR="00DE5CC2" w:rsidRPr="00BF5B44">
        <w:rPr>
          <w:rFonts w:cs="Times New Roman"/>
        </w:rPr>
        <w:t xml:space="preserve">Moreira </w:t>
      </w:r>
      <w:r w:rsidR="00837366" w:rsidRPr="00BF5B44">
        <w:rPr>
          <w:rFonts w:cs="Times New Roman"/>
        </w:rPr>
        <w:t>(2007-2010)</w:t>
      </w:r>
      <w:r w:rsidR="00DE5CC2" w:rsidRPr="00BF5B44">
        <w:rPr>
          <w:rFonts w:cs="Times New Roman"/>
        </w:rPr>
        <w:t xml:space="preserve"> </w:t>
      </w:r>
      <w:r w:rsidR="00375EDC" w:rsidRPr="00BF5B44">
        <w:rPr>
          <w:rFonts w:cs="Times New Roman"/>
        </w:rPr>
        <w:t>573</w:t>
      </w:r>
      <w:r w:rsidR="00DE5CC2" w:rsidRPr="00BF5B44">
        <w:rPr>
          <w:rFonts w:cs="Times New Roman"/>
        </w:rPr>
        <w:t>.</w:t>
      </w:r>
    </w:p>
  </w:footnote>
  <w:footnote w:id="55">
    <w:p w14:paraId="6091CEAD" w14:textId="6E58A5D6" w:rsidR="009A270A" w:rsidRPr="00BF5B44" w:rsidRDefault="009A270A" w:rsidP="00C1129C">
      <w:pPr>
        <w:pStyle w:val="FootnoteText"/>
        <w:spacing w:line="480" w:lineRule="auto"/>
        <w:jc w:val="both"/>
        <w:rPr>
          <w:rFonts w:cs="Times New Roman"/>
        </w:rPr>
      </w:pPr>
      <w:r w:rsidRPr="00BF5B44">
        <w:rPr>
          <w:rStyle w:val="FootnoteReference"/>
          <w:rFonts w:cs="Times New Roman"/>
        </w:rPr>
        <w:footnoteRef/>
      </w:r>
      <w:r w:rsidRPr="00BF5B44">
        <w:rPr>
          <w:rFonts w:cs="Times New Roman"/>
        </w:rPr>
        <w:t xml:space="preserve"> </w:t>
      </w:r>
      <w:r w:rsidR="00D96879" w:rsidRPr="00BF5B44">
        <w:rPr>
          <w:rFonts w:cs="Times New Roman"/>
        </w:rPr>
        <w:t>Cf.</w:t>
      </w:r>
      <w:r w:rsidR="002A644E" w:rsidRPr="00BF5B44">
        <w:rPr>
          <w:rFonts w:cs="Times New Roman"/>
        </w:rPr>
        <w:t xml:space="preserve"> A</w:t>
      </w:r>
      <w:r w:rsidR="00A37D9B" w:rsidRPr="00BF5B44">
        <w:rPr>
          <w:rFonts w:cs="Times New Roman"/>
        </w:rPr>
        <w:t>córdão</w:t>
      </w:r>
      <w:r w:rsidR="00F64560" w:rsidRPr="00BF5B44">
        <w:rPr>
          <w:rFonts w:cs="Times New Roman"/>
        </w:rPr>
        <w:t xml:space="preserve"> (Ruling</w:t>
      </w:r>
      <w:r w:rsidR="00A37D9B" w:rsidRPr="00BF5B44">
        <w:rPr>
          <w:rFonts w:cs="Times New Roman"/>
        </w:rPr>
        <w:t>)</w:t>
      </w:r>
      <w:r w:rsidR="00C26130" w:rsidRPr="00BF5B44">
        <w:rPr>
          <w:rFonts w:cs="Times New Roman"/>
        </w:rPr>
        <w:t xml:space="preserve"> of the</w:t>
      </w:r>
      <w:r w:rsidR="00D96879" w:rsidRPr="00BF5B44">
        <w:rPr>
          <w:rFonts w:cs="Times New Roman"/>
        </w:rPr>
        <w:t xml:space="preserve"> TC </w:t>
      </w:r>
      <w:r w:rsidR="00A37D9B" w:rsidRPr="00BF5B44">
        <w:rPr>
          <w:rFonts w:cs="Times New Roman"/>
        </w:rPr>
        <w:t>No.</w:t>
      </w:r>
      <w:r w:rsidR="00D96879" w:rsidRPr="00BF5B44">
        <w:rPr>
          <w:rFonts w:cs="Times New Roman"/>
        </w:rPr>
        <w:t xml:space="preserve"> </w:t>
      </w:r>
      <w:r w:rsidR="0085354D" w:rsidRPr="00BF5B44">
        <w:rPr>
          <w:rFonts w:cs="Times New Roman"/>
        </w:rPr>
        <w:t>292/2008.</w:t>
      </w:r>
    </w:p>
  </w:footnote>
  <w:footnote w:id="56">
    <w:p w14:paraId="02D92AAE" w14:textId="66B11D6A" w:rsidR="007F4B32" w:rsidRPr="002D79FD" w:rsidRDefault="007F4B32" w:rsidP="00C1129C">
      <w:pPr>
        <w:pStyle w:val="FootnoteText"/>
        <w:spacing w:line="480" w:lineRule="auto"/>
        <w:jc w:val="both"/>
        <w:rPr>
          <w:rFonts w:cs="Times New Roman"/>
        </w:rPr>
      </w:pPr>
      <w:r w:rsidRPr="00BF5B44">
        <w:rPr>
          <w:rStyle w:val="FootnoteReference"/>
          <w:rFonts w:cs="Times New Roman"/>
        </w:rPr>
        <w:footnoteRef/>
      </w:r>
      <w:r w:rsidRPr="00BF5B44">
        <w:rPr>
          <w:rFonts w:cs="Times New Roman"/>
        </w:rPr>
        <w:t xml:space="preserve"> </w:t>
      </w:r>
      <w:r w:rsidR="008E527B" w:rsidRPr="00BF5B44">
        <w:rPr>
          <w:rFonts w:cs="Times New Roman"/>
        </w:rPr>
        <w:t xml:space="preserve">Gomes Canotilho &amp; Moreira </w:t>
      </w:r>
      <w:r w:rsidR="00BF5B44" w:rsidRPr="00BF5B44">
        <w:rPr>
          <w:rFonts w:cs="Times New Roman"/>
        </w:rPr>
        <w:t xml:space="preserve">(2007-2010) </w:t>
      </w:r>
      <w:r w:rsidR="008E527B" w:rsidRPr="00BF5B44">
        <w:rPr>
          <w:rFonts w:cs="Times New Roman"/>
        </w:rPr>
        <w:t>580-581.</w:t>
      </w:r>
    </w:p>
  </w:footnote>
  <w:footnote w:id="57">
    <w:p w14:paraId="5F545AA5" w14:textId="0F4A34E5" w:rsidR="00174A68" w:rsidRPr="002D79FD" w:rsidRDefault="00174A68"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7A2FBC" w:rsidRPr="002D79FD">
        <w:rPr>
          <w:rFonts w:cs="Times New Roman"/>
        </w:rPr>
        <w:t>Santos Silva (2007) 17.</w:t>
      </w:r>
    </w:p>
  </w:footnote>
  <w:footnote w:id="58">
    <w:p w14:paraId="6907821C" w14:textId="77777777" w:rsidR="009B0BB3" w:rsidRPr="002D79FD" w:rsidRDefault="009B0BB3"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Silva, A. (2007). A hetero-regulação dos meios de comunicação social. </w:t>
      </w:r>
      <w:r w:rsidRPr="002D79FD">
        <w:rPr>
          <w:rFonts w:cs="Times New Roman"/>
          <w:i/>
          <w:iCs/>
        </w:rPr>
        <w:t>Comunicação e Sociedade, 11</w:t>
      </w:r>
      <w:r w:rsidRPr="002D79FD">
        <w:rPr>
          <w:rFonts w:cs="Times New Roman"/>
        </w:rPr>
        <w:t>, 16; Sousa &amp; Fidalgo (2007) 5-6.</w:t>
      </w:r>
    </w:p>
  </w:footnote>
  <w:footnote w:id="59">
    <w:p w14:paraId="5B0C1D5F" w14:textId="7961F71B" w:rsidR="007D5794" w:rsidRPr="002D79FD" w:rsidRDefault="007D5794"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Silva (2007) </w:t>
      </w:r>
      <w:r w:rsidR="00C76152" w:rsidRPr="002D79FD">
        <w:rPr>
          <w:rFonts w:cs="Times New Roman"/>
        </w:rPr>
        <w:t>19-20.</w:t>
      </w:r>
    </w:p>
  </w:footnote>
  <w:footnote w:id="60">
    <w:p w14:paraId="42E49229" w14:textId="77777777" w:rsidR="0066171A" w:rsidRPr="002D79FD" w:rsidRDefault="0066171A"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Franco (1995) 45.</w:t>
      </w:r>
    </w:p>
  </w:footnote>
  <w:footnote w:id="61">
    <w:p w14:paraId="23E39040" w14:textId="1FF507CE" w:rsidR="00064899" w:rsidRPr="007A2A78" w:rsidRDefault="00064899" w:rsidP="00C1129C">
      <w:pPr>
        <w:pStyle w:val="FootnoteText"/>
        <w:spacing w:line="480" w:lineRule="auto"/>
        <w:jc w:val="both"/>
        <w:rPr>
          <w:rFonts w:cs="Times New Roman"/>
        </w:rPr>
      </w:pPr>
      <w:r w:rsidRPr="002D79FD">
        <w:rPr>
          <w:rStyle w:val="FootnoteReference"/>
          <w:rFonts w:cs="Times New Roman"/>
        </w:rPr>
        <w:footnoteRef/>
      </w:r>
      <w:r w:rsidRPr="007A2A78">
        <w:rPr>
          <w:rFonts w:cs="Times New Roman"/>
        </w:rPr>
        <w:t xml:space="preserve"> </w:t>
      </w:r>
      <w:r w:rsidR="00287C93" w:rsidRPr="007A2A78">
        <w:rPr>
          <w:rFonts w:cs="Times New Roman"/>
        </w:rPr>
        <w:t xml:space="preserve">About this entire process, and in the first person, </w:t>
      </w:r>
      <w:r w:rsidRPr="007A2A78">
        <w:rPr>
          <w:rFonts w:cs="Times New Roman"/>
        </w:rPr>
        <w:t>Sousa Franco (1995) 45 ss (50).</w:t>
      </w:r>
    </w:p>
  </w:footnote>
  <w:footnote w:id="62">
    <w:p w14:paraId="0B567D5E" w14:textId="29C5987E" w:rsidR="00CC46FA" w:rsidRPr="002D79FD" w:rsidRDefault="00CC46FA"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BB10CA" w:rsidRPr="002D79FD">
        <w:rPr>
          <w:rFonts w:cs="Times New Roman"/>
        </w:rPr>
        <w:t>Sousa Franco (1995) 50-51.</w:t>
      </w:r>
    </w:p>
  </w:footnote>
  <w:footnote w:id="63">
    <w:p w14:paraId="3AC252E7" w14:textId="77777777" w:rsidR="00EB46B4" w:rsidRPr="002D79FD" w:rsidRDefault="00EB46B4"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283-284.</w:t>
      </w:r>
    </w:p>
  </w:footnote>
  <w:footnote w:id="64">
    <w:p w14:paraId="1D79654F" w14:textId="77777777" w:rsidR="006305E1" w:rsidRDefault="006305E1" w:rsidP="00C1129C">
      <w:pPr>
        <w:pStyle w:val="FootnoteText"/>
        <w:spacing w:line="480" w:lineRule="auto"/>
        <w:jc w:val="both"/>
      </w:pPr>
      <w:r>
        <w:rPr>
          <w:rStyle w:val="FootnoteReference"/>
        </w:rPr>
        <w:footnoteRef/>
      </w:r>
      <w:r>
        <w:t xml:space="preserve"> </w:t>
      </w:r>
      <w:r w:rsidRPr="006305E1">
        <w:rPr>
          <w:rFonts w:cs="Times New Roman"/>
          <w:i/>
          <w:iCs/>
        </w:rPr>
        <w:t>Alta Autoridade para a Comunicação Social</w:t>
      </w:r>
      <w:r>
        <w:rPr>
          <w:rFonts w:cs="Times New Roman"/>
        </w:rPr>
        <w:t xml:space="preserve"> in Portuguese.</w:t>
      </w:r>
    </w:p>
  </w:footnote>
  <w:footnote w:id="65">
    <w:p w14:paraId="4D970C56" w14:textId="77777777" w:rsidR="006A5786" w:rsidRPr="002D79FD" w:rsidRDefault="006A5786"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Leite Pinto (1994).</w:t>
      </w:r>
    </w:p>
  </w:footnote>
  <w:footnote w:id="66">
    <w:p w14:paraId="67B34983" w14:textId="77777777" w:rsidR="006A5786" w:rsidRPr="002D79FD" w:rsidRDefault="006A5786"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Franco (1995) 56.</w:t>
      </w:r>
    </w:p>
  </w:footnote>
  <w:footnote w:id="67">
    <w:p w14:paraId="33EC69CE" w14:textId="5E619718" w:rsidR="000A7784" w:rsidRPr="002D79FD" w:rsidRDefault="000A7784"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502205" w:rsidRPr="002D79FD">
        <w:rPr>
          <w:rFonts w:cs="Times New Roman"/>
        </w:rPr>
        <w:t xml:space="preserve">Couraceiro, P., &amp; Lopes, F. (2025). Continuidades e ruturas no Sistema Mediático Português (1974-2024): o regresso do Pluralismo Polarizado? </w:t>
      </w:r>
      <w:r w:rsidR="00502205" w:rsidRPr="002D79FD">
        <w:rPr>
          <w:rFonts w:cs="Times New Roman"/>
          <w:i/>
          <w:iCs/>
        </w:rPr>
        <w:t>Estudos em Comunicação, 40</w:t>
      </w:r>
      <w:r w:rsidR="00502205" w:rsidRPr="002D79FD">
        <w:rPr>
          <w:rFonts w:cs="Times New Roman"/>
        </w:rPr>
        <w:t xml:space="preserve">, </w:t>
      </w:r>
      <w:r w:rsidR="0081540B" w:rsidRPr="002D79FD">
        <w:rPr>
          <w:rFonts w:cs="Times New Roman"/>
        </w:rPr>
        <w:t>71.</w:t>
      </w:r>
    </w:p>
  </w:footnote>
  <w:footnote w:id="68">
    <w:p w14:paraId="4FAFC2A1" w14:textId="5DC39F46" w:rsidR="0008612A" w:rsidRPr="002D79FD" w:rsidRDefault="0008612A"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For all,</w:t>
      </w:r>
      <w:r w:rsidR="008B0431" w:rsidRPr="002D79FD">
        <w:rPr>
          <w:rFonts w:cs="Times New Roman"/>
        </w:rPr>
        <w:t xml:space="preserve"> Costa, I. (</w:t>
      </w:r>
      <w:r w:rsidR="001C2BF9" w:rsidRPr="002D79FD">
        <w:rPr>
          <w:rFonts w:cs="Times New Roman"/>
        </w:rPr>
        <w:t>2020</w:t>
      </w:r>
      <w:r w:rsidR="008B0431" w:rsidRPr="002D79FD">
        <w:rPr>
          <w:rFonts w:cs="Times New Roman"/>
        </w:rPr>
        <w:t>). Direitos de autor e direitos conexos para a actividade jornalística no contexto digital  a transposição do artigo 15.º da directiva 2019/790 para o ordenamento jurídico português. Dissertação de Mestrado. Faculdade de Direito da Universidade de Coimbra</w:t>
      </w:r>
      <w:r w:rsidRPr="002D79FD">
        <w:rPr>
          <w:rFonts w:cs="Times New Roman"/>
        </w:rPr>
        <w:t xml:space="preserve">. </w:t>
      </w:r>
      <w:r w:rsidR="008B0431" w:rsidRPr="002D79FD">
        <w:rPr>
          <w:rFonts w:cs="Times New Roman"/>
          <w:lang w:val="en-GB"/>
        </w:rPr>
        <w:t xml:space="preserve">Also, </w:t>
      </w:r>
      <w:hyperlink r:id="rId4" w:history="1">
        <w:r w:rsidR="008B0431" w:rsidRPr="002D79FD">
          <w:rPr>
            <w:rStyle w:val="Hyperlink"/>
            <w:rFonts w:cs="Times New Roman"/>
            <w:lang w:val="en-GB"/>
          </w:rPr>
          <w:t>https://digital-strategy.ec.europa.eu/en/policies/copyright-legislation</w:t>
        </w:r>
      </w:hyperlink>
      <w:r w:rsidRPr="002D79FD">
        <w:rPr>
          <w:rFonts w:cs="Times New Roman"/>
          <w:lang w:val="en-GB"/>
        </w:rPr>
        <w:t xml:space="preserve"> </w:t>
      </w:r>
    </w:p>
  </w:footnote>
  <w:footnote w:id="69">
    <w:p w14:paraId="2A4B4671" w14:textId="77777777" w:rsidR="00CA25BF" w:rsidRPr="002D79FD" w:rsidRDefault="00CA25BF"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See: </w:t>
      </w:r>
      <w:hyperlink r:id="rId5" w:history="1">
        <w:r w:rsidRPr="002D79FD">
          <w:rPr>
            <w:rStyle w:val="Hyperlink"/>
            <w:rFonts w:cs="Times New Roman"/>
            <w:lang w:val="en-GB"/>
          </w:rPr>
          <w:t>https://data.consilium.europa.eu/doc/document/ST-10505-2022-INIT/pt/pdf</w:t>
        </w:r>
      </w:hyperlink>
      <w:r w:rsidRPr="002D79FD">
        <w:rPr>
          <w:rFonts w:cs="Times New Roman"/>
          <w:lang w:val="en-GB"/>
        </w:rPr>
        <w:t xml:space="preserve"> ; </w:t>
      </w:r>
      <w:hyperlink r:id="rId6" w:history="1">
        <w:r w:rsidRPr="002D79FD">
          <w:rPr>
            <w:rStyle w:val="Hyperlink"/>
            <w:rFonts w:cs="Times New Roman"/>
            <w:lang w:val="en-GB"/>
          </w:rPr>
          <w:t>https://digital-strategy.ec.europa.eu/pt/policies/media-freedom</w:t>
        </w:r>
      </w:hyperlink>
      <w:r w:rsidRPr="002D79FD">
        <w:rPr>
          <w:rFonts w:cs="Times New Roman"/>
          <w:lang w:val="en-GB"/>
        </w:rPr>
        <w:t xml:space="preserve"> ; </w:t>
      </w:r>
      <w:hyperlink r:id="rId7" w:history="1">
        <w:r w:rsidRPr="002D79FD">
          <w:rPr>
            <w:rStyle w:val="Hyperlink"/>
            <w:rFonts w:cs="Times New Roman"/>
            <w:lang w:val="en-GB"/>
          </w:rPr>
          <w:t>https://ec.europa.eu/commission/presscorner/detail/en/ip_20_2250</w:t>
        </w:r>
      </w:hyperlink>
      <w:r w:rsidRPr="002D79FD">
        <w:rPr>
          <w:rFonts w:cs="Times New Roman"/>
          <w:lang w:val="en-GB"/>
        </w:rPr>
        <w:t xml:space="preserve"> ; </w:t>
      </w:r>
      <w:hyperlink r:id="rId8" w:history="1">
        <w:r w:rsidRPr="002D79FD">
          <w:rPr>
            <w:rStyle w:val="Hyperlink"/>
            <w:rFonts w:cs="Times New Roman"/>
            <w:lang w:val="en-GB"/>
          </w:rPr>
          <w:t>https://digital-strategy.ec.europa.eu/en/library/recommendation-protection-safety-and-empowerment-journalists</w:t>
        </w:r>
      </w:hyperlink>
      <w:r w:rsidRPr="002D79FD">
        <w:rPr>
          <w:rFonts w:cs="Times New Roman"/>
          <w:lang w:val="en-GB"/>
        </w:rPr>
        <w:t xml:space="preserve"> </w:t>
      </w:r>
    </w:p>
  </w:footnote>
  <w:footnote w:id="70">
    <w:p w14:paraId="67119E6F" w14:textId="51BBF545" w:rsidR="001919BB" w:rsidRPr="002D79FD" w:rsidRDefault="001919BB"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w:t>
      </w:r>
      <w:r w:rsidR="00DE4C3B" w:rsidRPr="002D79FD">
        <w:rPr>
          <w:rFonts w:cs="Times New Roman"/>
        </w:rPr>
        <w:t xml:space="preserve">Lameiras, M., &amp; Sousa, H. (2024). Introdução. Informação Como Bem Público: A Regulação Mediática e a Defesa dos Direitos Humanos. In </w:t>
      </w:r>
      <w:r w:rsidR="009941FC" w:rsidRPr="002D79FD">
        <w:rPr>
          <w:rFonts w:cs="Times New Roman"/>
        </w:rPr>
        <w:t xml:space="preserve">M. Lameiras &amp; H. Sousa (coord.), </w:t>
      </w:r>
      <w:r w:rsidR="009941FC" w:rsidRPr="002D79FD">
        <w:rPr>
          <w:rFonts w:cs="Times New Roman"/>
          <w:i/>
          <w:iCs/>
        </w:rPr>
        <w:t>Políticas da Comunicação: Hibridismos e Opacidades.</w:t>
      </w:r>
      <w:r w:rsidR="009941FC" w:rsidRPr="002D79FD">
        <w:rPr>
          <w:rFonts w:cs="Times New Roman"/>
        </w:rPr>
        <w:t xml:space="preserve"> </w:t>
      </w:r>
      <w:r w:rsidR="009941FC" w:rsidRPr="002D79FD">
        <w:rPr>
          <w:rFonts w:cs="Times New Roman"/>
          <w:lang w:val="en-GB"/>
        </w:rPr>
        <w:t xml:space="preserve">Universidade do Minho, </w:t>
      </w:r>
      <w:r w:rsidR="003D2C15" w:rsidRPr="002D79FD">
        <w:rPr>
          <w:rFonts w:cs="Times New Roman"/>
          <w:lang w:val="en-GB"/>
        </w:rPr>
        <w:t>15-19.</w:t>
      </w:r>
    </w:p>
  </w:footnote>
  <w:footnote w:id="71">
    <w:p w14:paraId="73250EE4" w14:textId="1D0177A9" w:rsidR="00521C9C" w:rsidRPr="002D79FD" w:rsidRDefault="00521C9C"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r w:rsidR="00BB5850" w:rsidRPr="002D79FD">
        <w:rPr>
          <w:rFonts w:cs="Times New Roman"/>
          <w:lang w:val="en-GB"/>
        </w:rPr>
        <w:t xml:space="preserve">Directive (EU) 2010/13/UE of the European Parliament and of the Council, </w:t>
      </w:r>
      <w:r w:rsidR="00ED57BC" w:rsidRPr="002D79FD">
        <w:rPr>
          <w:rFonts w:cs="Times New Roman"/>
          <w:lang w:val="en-GB"/>
        </w:rPr>
        <w:t>of</w:t>
      </w:r>
      <w:r w:rsidR="00BB5850" w:rsidRPr="002D79FD">
        <w:rPr>
          <w:rFonts w:cs="Times New Roman"/>
          <w:lang w:val="en-GB"/>
        </w:rPr>
        <w:t xml:space="preserve"> 1</w:t>
      </w:r>
      <w:r w:rsidR="008B287A">
        <w:rPr>
          <w:rFonts w:cs="Times New Roman"/>
          <w:lang w:val="en-GB"/>
        </w:rPr>
        <w:t>0.03.</w:t>
      </w:r>
      <w:r w:rsidR="00BB5850" w:rsidRPr="002D79FD">
        <w:rPr>
          <w:rFonts w:cs="Times New Roman"/>
          <w:lang w:val="en-GB"/>
        </w:rPr>
        <w:t>2010</w:t>
      </w:r>
      <w:r w:rsidR="00ED57BC" w:rsidRPr="002D79FD">
        <w:rPr>
          <w:rFonts w:cs="Times New Roman"/>
          <w:lang w:val="en-GB"/>
        </w:rPr>
        <w:t>, altered by</w:t>
      </w:r>
      <w:r w:rsidR="00BB5850" w:rsidRPr="002D79FD">
        <w:rPr>
          <w:rFonts w:cs="Times New Roman"/>
          <w:lang w:val="en-GB"/>
        </w:rPr>
        <w:t xml:space="preserve"> </w:t>
      </w:r>
      <w:r w:rsidR="004B62E1" w:rsidRPr="002D79FD">
        <w:rPr>
          <w:rFonts w:cs="Times New Roman"/>
          <w:lang w:val="en-GB"/>
        </w:rPr>
        <w:t>Directive (EU) 2018/1808 of the European Parliament and of the Council of 14</w:t>
      </w:r>
      <w:r w:rsidR="008B287A">
        <w:rPr>
          <w:rFonts w:cs="Times New Roman"/>
          <w:lang w:val="en-GB"/>
        </w:rPr>
        <w:t>.11.</w:t>
      </w:r>
      <w:r w:rsidR="004B62E1" w:rsidRPr="002D79FD">
        <w:rPr>
          <w:rFonts w:cs="Times New Roman"/>
          <w:lang w:val="en-GB"/>
        </w:rPr>
        <w:t>2018</w:t>
      </w:r>
      <w:r w:rsidR="00BB5850" w:rsidRPr="002D79FD">
        <w:rPr>
          <w:rFonts w:cs="Times New Roman"/>
          <w:lang w:val="en-GB"/>
        </w:rPr>
        <w:t>.</w:t>
      </w:r>
    </w:p>
  </w:footnote>
  <w:footnote w:id="72">
    <w:p w14:paraId="7A90FD3E" w14:textId="4407D6F4" w:rsidR="00A57695" w:rsidRPr="002D79FD" w:rsidRDefault="00A57695"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r w:rsidR="00A44485" w:rsidRPr="002D79FD">
        <w:rPr>
          <w:rFonts w:cs="Times New Roman"/>
          <w:lang w:val="en-GB"/>
        </w:rPr>
        <w:t>Directive (EU) 2024/1069 of the European Parliament and of the Council of 11</w:t>
      </w:r>
      <w:r w:rsidR="008B287A">
        <w:rPr>
          <w:rFonts w:cs="Times New Roman"/>
          <w:lang w:val="en-GB"/>
        </w:rPr>
        <w:t>.04.</w:t>
      </w:r>
      <w:r w:rsidR="00A44485" w:rsidRPr="002D79FD">
        <w:rPr>
          <w:rFonts w:cs="Times New Roman"/>
          <w:lang w:val="en-GB"/>
        </w:rPr>
        <w:t>2024.</w:t>
      </w:r>
    </w:p>
  </w:footnote>
  <w:footnote w:id="73">
    <w:p w14:paraId="6118E4DC" w14:textId="58BDA755" w:rsidR="0010371C" w:rsidRPr="002D79FD" w:rsidRDefault="0010371C"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r w:rsidR="00521C9C" w:rsidRPr="002D79FD">
        <w:rPr>
          <w:rFonts w:cs="Times New Roman"/>
          <w:lang w:val="en-GB"/>
        </w:rPr>
        <w:t>Regulation (EU) 2022/2065 of the European Parliament and of the Council of 19</w:t>
      </w:r>
      <w:r w:rsidR="008B287A">
        <w:rPr>
          <w:rFonts w:cs="Times New Roman"/>
          <w:lang w:val="en-GB"/>
        </w:rPr>
        <w:t>.10.</w:t>
      </w:r>
      <w:r w:rsidR="00521C9C" w:rsidRPr="002D79FD">
        <w:rPr>
          <w:rFonts w:cs="Times New Roman"/>
          <w:lang w:val="en-GB"/>
        </w:rPr>
        <w:t>2022.</w:t>
      </w:r>
    </w:p>
  </w:footnote>
  <w:footnote w:id="74">
    <w:p w14:paraId="23992F65" w14:textId="409AD455" w:rsidR="00A57695" w:rsidRPr="002D79FD" w:rsidRDefault="00A57695"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r w:rsidR="00562095" w:rsidRPr="002D79FD">
        <w:rPr>
          <w:rFonts w:cs="Times New Roman"/>
          <w:lang w:val="en-GB"/>
        </w:rPr>
        <w:t>Regulation (EU) 2024/1083 of the European Parliament and of the Council of 11</w:t>
      </w:r>
      <w:r w:rsidR="00FF2F7B">
        <w:rPr>
          <w:rFonts w:cs="Times New Roman"/>
          <w:lang w:val="en-GB"/>
        </w:rPr>
        <w:t>.04.</w:t>
      </w:r>
      <w:r w:rsidR="00562095" w:rsidRPr="002D79FD">
        <w:rPr>
          <w:rFonts w:cs="Times New Roman"/>
          <w:lang w:val="en-GB"/>
        </w:rPr>
        <w:t>2024.</w:t>
      </w:r>
    </w:p>
  </w:footnote>
  <w:footnote w:id="75">
    <w:p w14:paraId="47205316" w14:textId="77777777" w:rsidR="00703827" w:rsidRPr="002D79FD" w:rsidRDefault="00703827"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Commission Staff Working Document: Reporting on the application of Directive 2010/13/EU “Audiovisual Media Services Directive” as amended by Directive (EU) 2018/1808, for the period 2019-2022, of 05.01.2024.</w:t>
      </w:r>
    </w:p>
  </w:footnote>
  <w:footnote w:id="76">
    <w:p w14:paraId="28BC0100" w14:textId="2FF60F82" w:rsidR="003A3150" w:rsidRPr="00BF4E19" w:rsidRDefault="003A3150"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van Houtert, B.M.W. (2024). </w:t>
      </w:r>
      <w:r w:rsidR="000A6151" w:rsidRPr="002D79FD">
        <w:rPr>
          <w:rFonts w:cs="Times New Roman"/>
          <w:lang w:val="en-GB"/>
        </w:rPr>
        <w:t>The Anti-SLAPP Directive in the Context of EU and Dutch Private International Law: Improvements and (Remaining) Challenges to Protect SLAPP Targets</w:t>
      </w:r>
      <w:r w:rsidR="004A5753" w:rsidRPr="002D79FD">
        <w:rPr>
          <w:rFonts w:cs="Times New Roman"/>
          <w:lang w:val="en-GB"/>
        </w:rPr>
        <w:t>.</w:t>
      </w:r>
      <w:r w:rsidR="004A5753" w:rsidRPr="002D79FD">
        <w:rPr>
          <w:rFonts w:cs="Times New Roman"/>
          <w:i/>
          <w:iCs/>
          <w:lang w:val="en-GB"/>
        </w:rPr>
        <w:t xml:space="preserve"> </w:t>
      </w:r>
      <w:r w:rsidR="004A5753" w:rsidRPr="00BF4E19">
        <w:rPr>
          <w:rFonts w:cs="Times New Roman"/>
          <w:i/>
          <w:iCs/>
          <w:lang w:val="en-GB"/>
        </w:rPr>
        <w:t>Nederlands Internationaal Privaatrecht, 4</w:t>
      </w:r>
      <w:r w:rsidR="005D0278" w:rsidRPr="00BF4E19">
        <w:rPr>
          <w:rFonts w:cs="Times New Roman"/>
          <w:i/>
          <w:iCs/>
          <w:lang w:val="en-GB"/>
        </w:rPr>
        <w:t xml:space="preserve">, </w:t>
      </w:r>
      <w:r w:rsidR="00EA70F0" w:rsidRPr="00BF4E19">
        <w:rPr>
          <w:rFonts w:cs="Times New Roman"/>
          <w:lang w:val="en-GB"/>
        </w:rPr>
        <w:t>657-658.</w:t>
      </w:r>
    </w:p>
  </w:footnote>
  <w:footnote w:id="77">
    <w:p w14:paraId="160F4230" w14:textId="70FEA671" w:rsidR="009B1186" w:rsidRPr="00BF4E19" w:rsidRDefault="009B1186" w:rsidP="00C1129C">
      <w:pPr>
        <w:pStyle w:val="FootnoteText"/>
        <w:spacing w:line="480" w:lineRule="auto"/>
        <w:jc w:val="both"/>
        <w:rPr>
          <w:rFonts w:cs="Times New Roman"/>
          <w:lang w:val="en-GB"/>
        </w:rPr>
      </w:pPr>
      <w:r w:rsidRPr="002D79FD">
        <w:rPr>
          <w:rStyle w:val="FootnoteReference"/>
          <w:rFonts w:cs="Times New Roman"/>
        </w:rPr>
        <w:footnoteRef/>
      </w:r>
      <w:r w:rsidRPr="00BF4E19">
        <w:rPr>
          <w:rFonts w:cs="Times New Roman"/>
          <w:lang w:val="en-GB"/>
        </w:rPr>
        <w:t xml:space="preserve"> van </w:t>
      </w:r>
      <w:r w:rsidRPr="00BF4E19">
        <w:rPr>
          <w:rFonts w:cs="Times New Roman"/>
          <w:lang w:val="en-GB"/>
        </w:rPr>
        <w:t>Houtert (2024) 656-657.</w:t>
      </w:r>
    </w:p>
  </w:footnote>
  <w:footnote w:id="78">
    <w:p w14:paraId="2D1DC719" w14:textId="1C8F1167" w:rsidR="00664309" w:rsidRPr="00BF4E19" w:rsidRDefault="00664309" w:rsidP="00C1129C">
      <w:pPr>
        <w:pStyle w:val="FootnoteText"/>
        <w:spacing w:line="480" w:lineRule="auto"/>
        <w:jc w:val="both"/>
        <w:rPr>
          <w:rFonts w:cs="Times New Roman"/>
          <w:lang w:val="en-GB"/>
        </w:rPr>
      </w:pPr>
      <w:r w:rsidRPr="002D79FD">
        <w:rPr>
          <w:rStyle w:val="FootnoteReference"/>
          <w:rFonts w:cs="Times New Roman"/>
        </w:rPr>
        <w:footnoteRef/>
      </w:r>
      <w:r w:rsidRPr="00BF4E19">
        <w:rPr>
          <w:rFonts w:cs="Times New Roman"/>
          <w:lang w:val="en-GB"/>
        </w:rPr>
        <w:t xml:space="preserve"> van </w:t>
      </w:r>
      <w:r w:rsidRPr="00BF4E19">
        <w:rPr>
          <w:rFonts w:cs="Times New Roman"/>
          <w:lang w:val="en-GB"/>
        </w:rPr>
        <w:t xml:space="preserve">Houtert (2024) </w:t>
      </w:r>
      <w:r w:rsidR="002D6F60" w:rsidRPr="00BF4E19">
        <w:rPr>
          <w:rFonts w:cs="Times New Roman"/>
          <w:lang w:val="en-GB"/>
        </w:rPr>
        <w:t>662 ss.</w:t>
      </w:r>
    </w:p>
  </w:footnote>
  <w:footnote w:id="79">
    <w:p w14:paraId="3959D13B" w14:textId="7C6E98F8" w:rsidR="00EE3712" w:rsidRPr="002D79FD" w:rsidRDefault="00EE3712" w:rsidP="00C1129C">
      <w:pPr>
        <w:pStyle w:val="FootnoteText"/>
        <w:spacing w:line="480" w:lineRule="auto"/>
        <w:jc w:val="both"/>
        <w:rPr>
          <w:rFonts w:cs="Times New Roman"/>
          <w:lang w:val="en-GB"/>
        </w:rPr>
      </w:pPr>
      <w:r w:rsidRPr="002D79FD">
        <w:rPr>
          <w:rStyle w:val="FootnoteReference"/>
          <w:rFonts w:cs="Times New Roman"/>
        </w:rPr>
        <w:footnoteRef/>
      </w:r>
      <w:r w:rsidRPr="008C252C">
        <w:rPr>
          <w:rFonts w:cs="Times New Roman"/>
          <w:lang w:val="en-GB"/>
        </w:rPr>
        <w:t xml:space="preserve"> </w:t>
      </w:r>
      <w:r w:rsidR="004B7C95" w:rsidRPr="008C252C">
        <w:rPr>
          <w:rFonts w:cs="Times New Roman"/>
          <w:lang w:val="en-GB"/>
        </w:rPr>
        <w:t>About media ownership in Portugal</w:t>
      </w:r>
      <w:r w:rsidRPr="008C252C">
        <w:rPr>
          <w:rFonts w:cs="Times New Roman"/>
          <w:lang w:val="en-GB"/>
        </w:rPr>
        <w:t xml:space="preserve">, Costa e Silva, E. (2024). </w:t>
      </w:r>
      <w:r w:rsidRPr="002D79FD">
        <w:rPr>
          <w:rFonts w:cs="Times New Roman"/>
        </w:rPr>
        <w:t xml:space="preserve">A Propriedade dos Média em Portugal. In M. Lameiras &amp; H. Sousa (coord.), </w:t>
      </w:r>
      <w:r w:rsidRPr="002D79FD">
        <w:rPr>
          <w:rFonts w:cs="Times New Roman"/>
          <w:i/>
          <w:iCs/>
        </w:rPr>
        <w:t>Políticas da Comunicação: Hibridismos e Opacidades.</w:t>
      </w:r>
      <w:r w:rsidRPr="002D79FD">
        <w:rPr>
          <w:rFonts w:cs="Times New Roman"/>
        </w:rPr>
        <w:t xml:space="preserve"> </w:t>
      </w:r>
      <w:r w:rsidRPr="002D79FD">
        <w:rPr>
          <w:rFonts w:cs="Times New Roman"/>
          <w:lang w:val="en-GB"/>
        </w:rPr>
        <w:t>Universidade do Minho.</w:t>
      </w:r>
    </w:p>
  </w:footnote>
  <w:footnote w:id="80">
    <w:p w14:paraId="3FF66C4C" w14:textId="5CA3BE15" w:rsidR="00F97AB9" w:rsidRPr="002D79FD" w:rsidRDefault="00F97AB9" w:rsidP="00C1129C">
      <w:pPr>
        <w:pStyle w:val="FootnoteText"/>
        <w:spacing w:line="480" w:lineRule="auto"/>
        <w:jc w:val="both"/>
        <w:rPr>
          <w:rFonts w:cs="Times New Roman"/>
          <w:lang w:val="en-GB"/>
        </w:rPr>
      </w:pPr>
      <w:r w:rsidRPr="002D79FD">
        <w:rPr>
          <w:rStyle w:val="FootnoteReference"/>
          <w:rFonts w:cs="Times New Roman"/>
        </w:rPr>
        <w:footnoteRef/>
      </w:r>
      <w:r w:rsidRPr="00BF4E19">
        <w:rPr>
          <w:rFonts w:cs="Times New Roman"/>
          <w:lang w:val="en-GB"/>
        </w:rPr>
        <w:t xml:space="preserve"> </w:t>
      </w:r>
      <w:r w:rsidR="00F117F4" w:rsidRPr="00BF4E19">
        <w:rPr>
          <w:rFonts w:cs="Times New Roman"/>
          <w:lang w:val="en-GB"/>
        </w:rPr>
        <w:t>Cf.</w:t>
      </w:r>
      <w:r w:rsidR="00507F34" w:rsidRPr="00BF4E19">
        <w:rPr>
          <w:rFonts w:cs="Times New Roman"/>
          <w:lang w:val="en-GB"/>
        </w:rPr>
        <w:t xml:space="preserve"> Cortes, J., &amp; Hoernig, S. (2023). </w:t>
      </w:r>
      <w:r w:rsidR="00507F34" w:rsidRPr="002D79FD">
        <w:rPr>
          <w:rFonts w:cs="Times New Roman"/>
          <w:i/>
          <w:iCs/>
          <w:lang w:val="en-GB"/>
        </w:rPr>
        <w:t>The Media Freedom Act: A Look at Portugal and Southern Europe</w:t>
      </w:r>
      <w:r w:rsidR="00507F34" w:rsidRPr="002D79FD">
        <w:rPr>
          <w:rFonts w:cs="Times New Roman"/>
          <w:lang w:val="en-GB"/>
        </w:rPr>
        <w:t xml:space="preserve">. </w:t>
      </w:r>
      <w:r w:rsidR="00643624" w:rsidRPr="002D79FD">
        <w:rPr>
          <w:rFonts w:cs="Times New Roman"/>
          <w:lang w:val="en-GB"/>
        </w:rPr>
        <w:t xml:space="preserve">Institute of Public Policy. </w:t>
      </w:r>
      <w:r w:rsidR="00507F34" w:rsidRPr="002D79FD">
        <w:rPr>
          <w:rFonts w:cs="Times New Roman"/>
          <w:lang w:val="en-GB"/>
        </w:rPr>
        <w:t>Policy Paper 25.</w:t>
      </w:r>
    </w:p>
  </w:footnote>
  <w:footnote w:id="81">
    <w:p w14:paraId="7AA4FC4D" w14:textId="77777777" w:rsidR="008C252C" w:rsidRPr="002D79FD" w:rsidRDefault="008C252C"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Dworkin, R. (1996). </w:t>
      </w:r>
      <w:r w:rsidRPr="002D79FD">
        <w:rPr>
          <w:rFonts w:cs="Times New Roman"/>
          <w:i/>
          <w:iCs/>
          <w:lang w:val="en-GB"/>
        </w:rPr>
        <w:t>Freedom’s Laws: The moral reading of the American Constitution</w:t>
      </w:r>
      <w:r w:rsidRPr="002D79FD">
        <w:rPr>
          <w:rFonts w:cs="Times New Roman"/>
          <w:lang w:val="en-GB"/>
        </w:rPr>
        <w:t xml:space="preserve">. Harvard University Press. 167 ss. See also, Levin, A. (2209). Pornography, hate speech, and their challenge to Dworkin’s egalitarian liberalism. </w:t>
      </w:r>
      <w:r w:rsidRPr="002D79FD">
        <w:rPr>
          <w:rFonts w:cs="Times New Roman"/>
          <w:i/>
          <w:iCs/>
          <w:lang w:val="en-GB"/>
        </w:rPr>
        <w:t>Public Affairs Quarterly, 23</w:t>
      </w:r>
      <w:r w:rsidRPr="002D79FD">
        <w:rPr>
          <w:rFonts w:cs="Times New Roman"/>
          <w:lang w:val="en-GB"/>
        </w:rPr>
        <w:t>(4), 357 ss; Gould, R. R. (2019). Is the ‘hate’ in hate speech the ‘hate’ in hate crime? Waldron and Dworkin on political legitimacy. </w:t>
      </w:r>
      <w:r w:rsidRPr="002D79FD">
        <w:rPr>
          <w:rFonts w:cs="Times New Roman"/>
          <w:i/>
          <w:iCs/>
          <w:lang w:val="en-GB"/>
        </w:rPr>
        <w:t>Jurisprudence</w:t>
      </w:r>
      <w:r w:rsidRPr="002D79FD">
        <w:rPr>
          <w:rFonts w:cs="Times New Roman"/>
          <w:lang w:val="en-GB"/>
        </w:rPr>
        <w:t>, </w:t>
      </w:r>
      <w:r w:rsidRPr="002D79FD">
        <w:rPr>
          <w:rFonts w:cs="Times New Roman"/>
          <w:i/>
          <w:iCs/>
          <w:lang w:val="en-GB"/>
        </w:rPr>
        <w:t>10</w:t>
      </w:r>
      <w:r w:rsidRPr="002D79FD">
        <w:rPr>
          <w:rFonts w:cs="Times New Roman"/>
          <w:lang w:val="en-GB"/>
        </w:rPr>
        <w:t>(2), 171–187; Reiff, M. R. (2024). The liberal conception of free speech and its limits. </w:t>
      </w:r>
      <w:r w:rsidRPr="002D79FD">
        <w:rPr>
          <w:rFonts w:cs="Times New Roman"/>
          <w:i/>
          <w:iCs/>
          <w:lang w:val="en-GB"/>
        </w:rPr>
        <w:t>Jurisprudence</w:t>
      </w:r>
      <w:r w:rsidRPr="002D79FD">
        <w:rPr>
          <w:rFonts w:cs="Times New Roman"/>
          <w:lang w:val="en-GB"/>
        </w:rPr>
        <w:t>, </w:t>
      </w:r>
      <w:r w:rsidRPr="002D79FD">
        <w:rPr>
          <w:rFonts w:cs="Times New Roman"/>
          <w:i/>
          <w:iCs/>
          <w:lang w:val="en-GB"/>
        </w:rPr>
        <w:t>16</w:t>
      </w:r>
      <w:r w:rsidRPr="002D79FD">
        <w:rPr>
          <w:rFonts w:cs="Times New Roman"/>
          <w:lang w:val="en-GB"/>
        </w:rPr>
        <w:t>(1), 62–100.</w:t>
      </w:r>
    </w:p>
  </w:footnote>
  <w:footnote w:id="82">
    <w:p w14:paraId="2724B838" w14:textId="77777777" w:rsidR="00B500D7" w:rsidRPr="002D79FD" w:rsidRDefault="00B500D7"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r w:rsidRPr="002D79FD">
        <w:rPr>
          <w:rFonts w:cs="Times New Roman"/>
          <w:i/>
          <w:iCs/>
          <w:lang w:val="en-GB"/>
        </w:rPr>
        <w:t>Von Hannover v. Germany (no. 1)</w:t>
      </w:r>
      <w:r w:rsidRPr="002D79FD">
        <w:rPr>
          <w:rFonts w:cs="Times New Roman"/>
          <w:lang w:val="en-GB"/>
        </w:rPr>
        <w:t xml:space="preserve">, n. 59320/00, 24.06.2004; </w:t>
      </w:r>
      <w:r w:rsidRPr="002D79FD">
        <w:rPr>
          <w:rFonts w:cs="Times New Roman"/>
          <w:i/>
          <w:iCs/>
          <w:lang w:val="en-GB"/>
        </w:rPr>
        <w:t>Von Hannover v. Germany (no. 2)</w:t>
      </w:r>
      <w:r w:rsidRPr="002D79FD">
        <w:rPr>
          <w:rFonts w:cs="Times New Roman"/>
          <w:lang w:val="en-GB"/>
        </w:rPr>
        <w:t xml:space="preserve">, n. 40660/08 e 60641/08, 07.02.2012: Von Hannover v. Germany refers to a series of landmark cases brought by Princess Caroline of Monaco against Germany before the ECtHR, arguing that German courts' rulings and laws allowed the publication of paparazzi photographs of her private life without sufficient justification, thereby violating her right to privacy under Article 8 of the European Convention on Human Rights. In the initial 2004 judgment, the ECtHR found in </w:t>
      </w:r>
      <w:r w:rsidRPr="002D79FD">
        <w:rPr>
          <w:rFonts w:cs="Times New Roman"/>
          <w:lang w:val="en-GB"/>
        </w:rPr>
        <w:t>favor of the Princess, ruling that the publications did not serve a public interest and therefore infringed her right to private life. In the subsequent 2012 Von Hannover v. Germany (No. 2) judgment, the Court developed a four-factor test to help domestic courts balance the right to privacy with the freedom of expression when considering the publication of images of public figures</w:t>
      </w:r>
    </w:p>
  </w:footnote>
  <w:footnote w:id="83">
    <w:p w14:paraId="47E20E10" w14:textId="37418ED5" w:rsidR="00B500D7" w:rsidRPr="002D79FD" w:rsidRDefault="00B500D7"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r w:rsidRPr="002D79FD">
        <w:rPr>
          <w:rFonts w:cs="Times New Roman"/>
          <w:i/>
          <w:iCs/>
          <w:lang w:val="en-GB"/>
        </w:rPr>
        <w:t>Axel Springer AG v. Germany</w:t>
      </w:r>
      <w:r w:rsidRPr="002D79FD">
        <w:rPr>
          <w:rFonts w:cs="Times New Roman"/>
          <w:lang w:val="en-GB"/>
        </w:rPr>
        <w:t>, n. 39954/08, 07.02.2012: In Axel Springer AG v. Germany (2012), the EC</w:t>
      </w:r>
      <w:r w:rsidR="007F5834">
        <w:rPr>
          <w:rFonts w:cs="Times New Roman"/>
          <w:lang w:val="en-GB"/>
        </w:rPr>
        <w:t>t</w:t>
      </w:r>
      <w:r w:rsidRPr="002D79FD">
        <w:rPr>
          <w:rFonts w:cs="Times New Roman"/>
          <w:lang w:val="en-GB"/>
        </w:rPr>
        <w:t xml:space="preserve">HR ruled that German courts had violated the press freedom rights of the publisher of the tabloid "Bild" by preventing the publication of articles about a famous television actor's arrest and conviction for drug possession. The Court found that the injunctions against the publisher were an unjustifiable interference with freedom of expression under Article 10 of the </w:t>
      </w:r>
      <w:r w:rsidR="00827E07">
        <w:rPr>
          <w:rFonts w:cs="Times New Roman"/>
          <w:lang w:val="en-GB"/>
        </w:rPr>
        <w:t>ECHR</w:t>
      </w:r>
      <w:r w:rsidRPr="002D79FD">
        <w:rPr>
          <w:rFonts w:cs="Times New Roman"/>
          <w:lang w:val="en-GB"/>
        </w:rPr>
        <w:t>, emphasizing the press's role as a "public watchdog" and holding that the need to protect the actor's reputation did not outweigh the public's right to receive information in this case.</w:t>
      </w:r>
    </w:p>
  </w:footnote>
  <w:footnote w:id="84">
    <w:p w14:paraId="39B2CC78" w14:textId="77777777" w:rsidR="00BB53CC" w:rsidRPr="003F4B82" w:rsidRDefault="00BB53CC"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Alexy, R. (2010). </w:t>
      </w:r>
      <w:r w:rsidRPr="002D79FD">
        <w:rPr>
          <w:rFonts w:cs="Times New Roman"/>
          <w:i/>
          <w:iCs/>
          <w:lang w:val="en-GB"/>
        </w:rPr>
        <w:t>A Theory of Constitutional Rights</w:t>
      </w:r>
      <w:r w:rsidRPr="002D79FD">
        <w:rPr>
          <w:rFonts w:cs="Times New Roman"/>
          <w:lang w:val="en-GB"/>
        </w:rPr>
        <w:t xml:space="preserve">. </w:t>
      </w:r>
      <w:r w:rsidRPr="003F4B82">
        <w:rPr>
          <w:rFonts w:cs="Times New Roman"/>
          <w:lang w:val="en-GB"/>
        </w:rPr>
        <w:t>Oxford University Press.</w:t>
      </w:r>
    </w:p>
  </w:footnote>
  <w:footnote w:id="85">
    <w:p w14:paraId="035CE12D" w14:textId="5C52C539" w:rsidR="00C9792C" w:rsidRPr="00E6118F" w:rsidRDefault="00C9792C" w:rsidP="00C1129C">
      <w:pPr>
        <w:pStyle w:val="FootnoteText"/>
        <w:spacing w:line="480" w:lineRule="auto"/>
        <w:jc w:val="both"/>
        <w:rPr>
          <w:rFonts w:cs="Times New Roman"/>
          <w:lang w:val="en-GB"/>
        </w:rPr>
      </w:pPr>
      <w:r w:rsidRPr="002D79FD">
        <w:rPr>
          <w:rStyle w:val="FootnoteReference"/>
          <w:rFonts w:cs="Times New Roman"/>
        </w:rPr>
        <w:footnoteRef/>
      </w:r>
      <w:r w:rsidRPr="00AE34DC">
        <w:rPr>
          <w:rFonts w:cs="Times New Roman"/>
          <w:lang w:val="en-GB"/>
        </w:rPr>
        <w:t xml:space="preserve"> </w:t>
      </w:r>
      <w:r w:rsidR="006C083F" w:rsidRPr="00AE34DC">
        <w:rPr>
          <w:rFonts w:cs="Times New Roman"/>
          <w:lang w:val="en-GB"/>
        </w:rPr>
        <w:t>Ruling</w:t>
      </w:r>
      <w:r w:rsidRPr="00AE34DC">
        <w:rPr>
          <w:rFonts w:cs="Times New Roman"/>
          <w:lang w:val="en-GB"/>
        </w:rPr>
        <w:t xml:space="preserve"> No</w:t>
      </w:r>
      <w:r w:rsidR="006C083F" w:rsidRPr="00AE34DC">
        <w:rPr>
          <w:rFonts w:cs="Times New Roman"/>
          <w:lang w:val="en-GB"/>
        </w:rPr>
        <w:t>.</w:t>
      </w:r>
      <w:r w:rsidRPr="00AE34DC">
        <w:rPr>
          <w:rFonts w:cs="Times New Roman"/>
          <w:lang w:val="en-GB"/>
        </w:rPr>
        <w:t xml:space="preserve"> 201/2004, Proc. No</w:t>
      </w:r>
      <w:r w:rsidR="006C083F" w:rsidRPr="00AE34DC">
        <w:rPr>
          <w:rFonts w:cs="Times New Roman"/>
          <w:lang w:val="en-GB"/>
        </w:rPr>
        <w:t>.</w:t>
      </w:r>
      <w:r w:rsidRPr="00AE34DC">
        <w:rPr>
          <w:rFonts w:cs="Times New Roman"/>
          <w:lang w:val="en-GB"/>
        </w:rPr>
        <w:t xml:space="preserve"> 361/03, TC </w:t>
      </w:r>
      <w:r w:rsidR="006C083F" w:rsidRPr="00AE34DC">
        <w:rPr>
          <w:rFonts w:cs="Times New Roman"/>
          <w:lang w:val="en-GB"/>
        </w:rPr>
        <w:t>–</w:t>
      </w:r>
      <w:r w:rsidRPr="00AE34DC">
        <w:rPr>
          <w:rFonts w:cs="Times New Roman"/>
          <w:lang w:val="en-GB"/>
        </w:rPr>
        <w:t xml:space="preserve"> 1</w:t>
      </w:r>
      <w:r w:rsidR="006C083F" w:rsidRPr="00AE34DC">
        <w:rPr>
          <w:rFonts w:cs="Times New Roman"/>
          <w:lang w:val="en-GB"/>
        </w:rPr>
        <w:t>st</w:t>
      </w:r>
      <w:r w:rsidRPr="00AE34DC">
        <w:rPr>
          <w:rFonts w:cs="Times New Roman"/>
          <w:lang w:val="en-GB"/>
        </w:rPr>
        <w:t xml:space="preserve"> Sec</w:t>
      </w:r>
      <w:r w:rsidR="006C083F" w:rsidRPr="00AE34DC">
        <w:rPr>
          <w:rFonts w:cs="Times New Roman"/>
          <w:lang w:val="en-GB"/>
        </w:rPr>
        <w:t>tion</w:t>
      </w:r>
      <w:r w:rsidR="00E6118F">
        <w:rPr>
          <w:rFonts w:cs="Times New Roman"/>
          <w:lang w:val="en-GB"/>
        </w:rPr>
        <w:t xml:space="preserve"> </w:t>
      </w:r>
      <w:r w:rsidR="00E6118F" w:rsidRPr="00E6118F">
        <w:rPr>
          <w:rFonts w:cs="Times New Roman"/>
          <w:lang w:val="en-GB"/>
        </w:rPr>
        <w:t xml:space="preserve">Rapporteur: </w:t>
      </w:r>
      <w:r w:rsidR="00E6118F" w:rsidRPr="00E6118F">
        <w:rPr>
          <w:rFonts w:cs="Times New Roman"/>
          <w:lang w:val="en-GB"/>
        </w:rPr>
        <w:t>Counselor</w:t>
      </w:r>
      <w:r w:rsidR="00E6118F">
        <w:rPr>
          <w:rFonts w:cs="Times New Roman"/>
          <w:lang w:val="en-GB"/>
        </w:rPr>
        <w:t xml:space="preserve"> </w:t>
      </w:r>
      <w:r w:rsidRPr="00E6118F">
        <w:rPr>
          <w:rFonts w:cs="Times New Roman"/>
          <w:lang w:val="en-GB"/>
        </w:rPr>
        <w:t>Artur Maurício.</w:t>
      </w:r>
    </w:p>
  </w:footnote>
  <w:footnote w:id="86">
    <w:p w14:paraId="6D3A0629" w14:textId="6E64FD1C" w:rsidR="00C60050" w:rsidRPr="002D79FD" w:rsidRDefault="00C60050" w:rsidP="00C1129C">
      <w:pPr>
        <w:pStyle w:val="FootnoteText"/>
        <w:spacing w:line="480" w:lineRule="auto"/>
        <w:jc w:val="both"/>
        <w:rPr>
          <w:rFonts w:cs="Times New Roman"/>
        </w:rPr>
      </w:pPr>
      <w:r w:rsidRPr="002D79FD">
        <w:rPr>
          <w:rStyle w:val="FootnoteReference"/>
          <w:rFonts w:cs="Times New Roman"/>
        </w:rPr>
        <w:footnoteRef/>
      </w:r>
      <w:r w:rsidR="00E6118F" w:rsidRPr="003F4B82">
        <w:rPr>
          <w:rFonts w:cs="Times New Roman"/>
        </w:rPr>
        <w:t xml:space="preserve"> </w:t>
      </w:r>
      <w:r w:rsidRPr="003F4B82">
        <w:rPr>
          <w:rFonts w:cs="Times New Roman"/>
        </w:rPr>
        <w:t xml:space="preserve">Faria Costa, J.  </w:t>
      </w:r>
      <w:r w:rsidRPr="002D79FD">
        <w:rPr>
          <w:rFonts w:cs="Times New Roman"/>
        </w:rPr>
        <w:t xml:space="preserve">(1999). Anotação ao artigo 180º do Código Penal. In </w:t>
      </w:r>
      <w:r w:rsidRPr="002D79FD">
        <w:rPr>
          <w:rFonts w:cs="Times New Roman"/>
          <w:i/>
          <w:iCs/>
        </w:rPr>
        <w:t>Comentário Conimbricense do Código Penal</w:t>
      </w:r>
      <w:r w:rsidRPr="002D79FD">
        <w:rPr>
          <w:rFonts w:cs="Times New Roman"/>
        </w:rPr>
        <w:t>, Tomo I. Coimbra Editora, 609 ss.)</w:t>
      </w:r>
    </w:p>
  </w:footnote>
  <w:footnote w:id="87">
    <w:p w14:paraId="5EFC690E" w14:textId="4E8BE31C" w:rsidR="00DB0BA5" w:rsidRPr="00993684" w:rsidRDefault="00DB0BA5" w:rsidP="00C1129C">
      <w:pPr>
        <w:pStyle w:val="FootnoteText"/>
        <w:spacing w:line="480" w:lineRule="auto"/>
        <w:jc w:val="both"/>
        <w:rPr>
          <w:rFonts w:cs="Times New Roman"/>
          <w:lang w:val="en-GB"/>
        </w:rPr>
      </w:pPr>
      <w:r w:rsidRPr="002D79FD">
        <w:rPr>
          <w:rStyle w:val="FootnoteReference"/>
          <w:rFonts w:cs="Times New Roman"/>
        </w:rPr>
        <w:footnoteRef/>
      </w:r>
      <w:r w:rsidRPr="00993684">
        <w:rPr>
          <w:rFonts w:cs="Times New Roman"/>
          <w:lang w:val="en-GB"/>
        </w:rPr>
        <w:t xml:space="preserve"> </w:t>
      </w:r>
      <w:r w:rsidR="00693432" w:rsidRPr="00993684">
        <w:rPr>
          <w:rFonts w:cs="Times New Roman"/>
          <w:lang w:val="en-GB"/>
        </w:rPr>
        <w:t xml:space="preserve">Case: 459/07, 3rd Panel, Rapporteur: </w:t>
      </w:r>
      <w:r w:rsidR="00693432" w:rsidRPr="00993684">
        <w:rPr>
          <w:rFonts w:cs="Times New Roman"/>
          <w:lang w:val="en-GB"/>
        </w:rPr>
        <w:t xml:space="preserve">Counselor </w:t>
      </w:r>
      <w:r w:rsidRPr="00993684">
        <w:rPr>
          <w:rFonts w:cs="Times New Roman"/>
          <w:lang w:val="en-GB"/>
        </w:rPr>
        <w:t>Ana Guerra Martins.</w:t>
      </w:r>
    </w:p>
  </w:footnote>
  <w:footnote w:id="88">
    <w:p w14:paraId="51E4022C" w14:textId="29C125C9" w:rsidR="00DB0BA5" w:rsidRPr="002D79FD" w:rsidRDefault="00DB0BA5" w:rsidP="00C1129C">
      <w:pPr>
        <w:pStyle w:val="FootnoteText"/>
        <w:spacing w:line="480" w:lineRule="auto"/>
        <w:jc w:val="both"/>
        <w:rPr>
          <w:rFonts w:cs="Times New Roman"/>
        </w:rPr>
      </w:pPr>
      <w:r w:rsidRPr="002D79FD">
        <w:rPr>
          <w:rStyle w:val="FootnoteReference"/>
          <w:rFonts w:cs="Times New Roman"/>
        </w:rPr>
        <w:footnoteRef/>
      </w:r>
      <w:r w:rsidRPr="00993684">
        <w:rPr>
          <w:rFonts w:cs="Times New Roman"/>
          <w:lang w:val="en-GB"/>
        </w:rPr>
        <w:t xml:space="preserve"> </w:t>
      </w:r>
      <w:r w:rsidR="00993684" w:rsidRPr="00993684">
        <w:rPr>
          <w:rFonts w:cs="Times New Roman"/>
          <w:lang w:val="en-GB"/>
        </w:rPr>
        <w:t>Namely, according to the TC</w:t>
      </w:r>
      <w:r w:rsidRPr="00993684">
        <w:rPr>
          <w:rFonts w:cs="Times New Roman"/>
          <w:lang w:val="en-GB"/>
        </w:rPr>
        <w:t>, Pessoa Jorge, F. (1975). </w:t>
      </w:r>
      <w:r w:rsidRPr="002D79FD">
        <w:rPr>
          <w:rFonts w:cs="Times New Roman"/>
          <w:i/>
          <w:iCs/>
        </w:rPr>
        <w:t>Lições de Direito das Obrigações</w:t>
      </w:r>
      <w:r w:rsidRPr="002D79FD">
        <w:rPr>
          <w:rFonts w:cs="Times New Roman"/>
        </w:rPr>
        <w:t xml:space="preserve">. Associação Académica, 562; Ribeiro Faria, J. (1990). </w:t>
      </w:r>
      <w:r w:rsidRPr="002D79FD">
        <w:rPr>
          <w:rFonts w:cs="Times New Roman"/>
          <w:i/>
          <w:iCs/>
        </w:rPr>
        <w:t xml:space="preserve">Direito das Obrigações. </w:t>
      </w:r>
      <w:r w:rsidRPr="002D79FD">
        <w:rPr>
          <w:rFonts w:cs="Times New Roman"/>
        </w:rPr>
        <w:t>Almedina, 461; Antunes Varela, J. (1991). </w:t>
      </w:r>
      <w:r w:rsidRPr="002D79FD">
        <w:rPr>
          <w:rFonts w:cs="Times New Roman"/>
          <w:i/>
          <w:iCs/>
        </w:rPr>
        <w:t>Das Obrigações em Geral</w:t>
      </w:r>
      <w:r w:rsidRPr="002D79FD">
        <w:rPr>
          <w:rFonts w:cs="Times New Roman"/>
        </w:rPr>
        <w:t>, Vol. I, 7ª edição. Almedina, 565 e 566; Menezes Leitão, L. (2007). </w:t>
      </w:r>
      <w:r w:rsidRPr="002D79FD">
        <w:rPr>
          <w:rFonts w:cs="Times New Roman"/>
          <w:i/>
          <w:iCs/>
        </w:rPr>
        <w:t>Direito das Obrigações</w:t>
      </w:r>
      <w:r w:rsidRPr="002D79FD">
        <w:rPr>
          <w:rFonts w:cs="Times New Roman"/>
        </w:rPr>
        <w:t>, Vol. I, 6ª ed. Almedina, 315.</w:t>
      </w:r>
    </w:p>
  </w:footnote>
  <w:footnote w:id="89">
    <w:p w14:paraId="4567EA4B" w14:textId="1DB06AE5" w:rsidR="00DB0BA5" w:rsidRPr="00BF4E19" w:rsidRDefault="00DB0BA5"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w:t>
      </w:r>
      <w:r w:rsidR="006F1F1F" w:rsidRPr="00BF4E19">
        <w:rPr>
          <w:rFonts w:cs="Times New Roman"/>
        </w:rPr>
        <w:t xml:space="preserve">Namely, according to the TC, </w:t>
      </w:r>
      <w:r w:rsidRPr="002D79FD">
        <w:rPr>
          <w:rFonts w:cs="Times New Roman"/>
        </w:rPr>
        <w:t>Vieira de Andrade, J. (2004). </w:t>
      </w:r>
      <w:r w:rsidRPr="002D79FD">
        <w:rPr>
          <w:rFonts w:cs="Times New Roman"/>
          <w:i/>
          <w:iCs/>
        </w:rPr>
        <w:t xml:space="preserve">Os direitos fundamentais na Constituição portuguesa de 1976. </w:t>
      </w:r>
      <w:r w:rsidRPr="002D79FD">
        <w:rPr>
          <w:rFonts w:cs="Times New Roman"/>
        </w:rPr>
        <w:t xml:space="preserve">Coimbra Editora; Gomes Canotilho, J. J. (1993). </w:t>
      </w:r>
      <w:r w:rsidRPr="002D79FD">
        <w:rPr>
          <w:rFonts w:cs="Times New Roman"/>
          <w:i/>
          <w:iCs/>
        </w:rPr>
        <w:t>Direito Constitucional</w:t>
      </w:r>
      <w:r w:rsidRPr="002D79FD">
        <w:rPr>
          <w:rFonts w:cs="Times New Roman"/>
        </w:rPr>
        <w:t xml:space="preserve">, 6ª ed. </w:t>
      </w:r>
      <w:r w:rsidRPr="00BF4E19">
        <w:rPr>
          <w:rFonts w:cs="Times New Roman"/>
          <w:lang w:val="en-GB"/>
        </w:rPr>
        <w:t>Almedina.</w:t>
      </w:r>
    </w:p>
  </w:footnote>
  <w:footnote w:id="90">
    <w:p w14:paraId="20DDE798" w14:textId="612901B2" w:rsidR="00C03673" w:rsidRPr="00993684" w:rsidRDefault="00C03673" w:rsidP="00C1129C">
      <w:pPr>
        <w:pStyle w:val="FootnoteText"/>
        <w:spacing w:line="480" w:lineRule="auto"/>
        <w:jc w:val="both"/>
        <w:rPr>
          <w:rFonts w:cs="Times New Roman"/>
          <w:lang w:val="en-GB"/>
        </w:rPr>
      </w:pPr>
      <w:r w:rsidRPr="002D79FD">
        <w:rPr>
          <w:rStyle w:val="FootnoteReference"/>
          <w:rFonts w:cs="Times New Roman"/>
        </w:rPr>
        <w:footnoteRef/>
      </w:r>
      <w:r w:rsidRPr="00993684">
        <w:rPr>
          <w:rFonts w:cs="Times New Roman"/>
          <w:lang w:val="en-GB"/>
        </w:rPr>
        <w:t xml:space="preserve"> </w:t>
      </w:r>
      <w:r w:rsidR="00993684" w:rsidRPr="00993684">
        <w:rPr>
          <w:rFonts w:cs="Times New Roman"/>
          <w:lang w:val="en-GB"/>
        </w:rPr>
        <w:t>Namely</w:t>
      </w:r>
      <w:r w:rsidRPr="00993684">
        <w:rPr>
          <w:rFonts w:cs="Times New Roman"/>
          <w:lang w:val="en-GB"/>
        </w:rPr>
        <w:t xml:space="preserve">, </w:t>
      </w:r>
      <w:r w:rsidR="00AA748C">
        <w:rPr>
          <w:rFonts w:cs="Times New Roman"/>
          <w:lang w:val="en-GB"/>
        </w:rPr>
        <w:t>t</w:t>
      </w:r>
      <w:r w:rsidR="00993684" w:rsidRPr="00993684">
        <w:rPr>
          <w:rFonts w:cs="Times New Roman"/>
          <w:lang w:val="en-GB"/>
        </w:rPr>
        <w:t>he R</w:t>
      </w:r>
      <w:r w:rsidR="00993684">
        <w:rPr>
          <w:rFonts w:cs="Times New Roman"/>
          <w:lang w:val="en-GB"/>
        </w:rPr>
        <w:t>ulings of the</w:t>
      </w:r>
      <w:r w:rsidRPr="00993684">
        <w:rPr>
          <w:rFonts w:cs="Times New Roman"/>
          <w:lang w:val="en-GB"/>
        </w:rPr>
        <w:t xml:space="preserve"> TC </w:t>
      </w:r>
      <w:r w:rsidR="00993684">
        <w:rPr>
          <w:rFonts w:cs="Times New Roman"/>
          <w:lang w:val="en-GB"/>
        </w:rPr>
        <w:t>No.</w:t>
      </w:r>
      <w:r w:rsidRPr="00993684">
        <w:rPr>
          <w:rFonts w:cs="Times New Roman"/>
          <w:lang w:val="en-GB"/>
        </w:rPr>
        <w:t xml:space="preserve"> 113/97; </w:t>
      </w:r>
      <w:r w:rsidR="00993684">
        <w:rPr>
          <w:rFonts w:cs="Times New Roman"/>
          <w:lang w:val="en-GB"/>
        </w:rPr>
        <w:t>No.</w:t>
      </w:r>
      <w:r w:rsidR="00993684" w:rsidRPr="00993684">
        <w:rPr>
          <w:rFonts w:cs="Times New Roman"/>
          <w:lang w:val="en-GB"/>
        </w:rPr>
        <w:t xml:space="preserve"> </w:t>
      </w:r>
      <w:r w:rsidRPr="00993684">
        <w:rPr>
          <w:rFonts w:cs="Times New Roman"/>
          <w:lang w:val="en-GB"/>
        </w:rPr>
        <w:t xml:space="preserve">178/99; nº 201/04; </w:t>
      </w:r>
      <w:r w:rsidR="00993684">
        <w:rPr>
          <w:rFonts w:cs="Times New Roman"/>
          <w:lang w:val="en-GB"/>
        </w:rPr>
        <w:t>No.</w:t>
      </w:r>
      <w:r w:rsidR="00993684" w:rsidRPr="00993684">
        <w:rPr>
          <w:rFonts w:cs="Times New Roman"/>
          <w:lang w:val="en-GB"/>
        </w:rPr>
        <w:t xml:space="preserve"> </w:t>
      </w:r>
      <w:r w:rsidRPr="00993684">
        <w:rPr>
          <w:rFonts w:cs="Times New Roman"/>
          <w:lang w:val="en-GB"/>
        </w:rPr>
        <w:t>407/07.</w:t>
      </w:r>
    </w:p>
  </w:footnote>
  <w:footnote w:id="91">
    <w:p w14:paraId="7745A136" w14:textId="1471C506" w:rsidR="00C03673" w:rsidRPr="006F1F1F" w:rsidRDefault="00C03673" w:rsidP="00C1129C">
      <w:pPr>
        <w:pStyle w:val="FootnoteText"/>
        <w:spacing w:line="480" w:lineRule="auto"/>
        <w:jc w:val="both"/>
        <w:rPr>
          <w:rFonts w:cs="Times New Roman"/>
          <w:lang w:val="en-GB"/>
        </w:rPr>
      </w:pPr>
      <w:r w:rsidRPr="002D79FD">
        <w:rPr>
          <w:rStyle w:val="FootnoteReference"/>
          <w:rFonts w:cs="Times New Roman"/>
        </w:rPr>
        <w:footnoteRef/>
      </w:r>
      <w:r w:rsidRPr="00993684">
        <w:rPr>
          <w:rFonts w:cs="Times New Roman"/>
          <w:lang w:val="en-GB"/>
        </w:rPr>
        <w:t xml:space="preserve"> </w:t>
      </w:r>
      <w:r w:rsidR="00993684" w:rsidRPr="00993684">
        <w:rPr>
          <w:rFonts w:cs="Times New Roman"/>
          <w:lang w:val="en-GB"/>
        </w:rPr>
        <w:t>Namely, according to the TC</w:t>
      </w:r>
      <w:r w:rsidRPr="00993684">
        <w:rPr>
          <w:rFonts w:cs="Times New Roman"/>
          <w:lang w:val="en-GB"/>
        </w:rPr>
        <w:t>, Pessoa Jorge, F. (1975). </w:t>
      </w:r>
      <w:r w:rsidRPr="002D79FD">
        <w:rPr>
          <w:rFonts w:cs="Times New Roman"/>
          <w:i/>
          <w:iCs/>
        </w:rPr>
        <w:t>Lições de Direito das Obrigações</w:t>
      </w:r>
      <w:r w:rsidRPr="002D79FD">
        <w:rPr>
          <w:rFonts w:cs="Times New Roman"/>
        </w:rPr>
        <w:t xml:space="preserve">. Associação Académica, 562; Ribeiro Faria, J. (1990). </w:t>
      </w:r>
      <w:r w:rsidRPr="002D79FD">
        <w:rPr>
          <w:rFonts w:cs="Times New Roman"/>
          <w:i/>
          <w:iCs/>
        </w:rPr>
        <w:t xml:space="preserve">Direito das Obrigações. </w:t>
      </w:r>
      <w:r w:rsidRPr="002D79FD">
        <w:rPr>
          <w:rFonts w:cs="Times New Roman"/>
        </w:rPr>
        <w:t>Almedina, 461; Antunes Varela, J. (1991). </w:t>
      </w:r>
      <w:r w:rsidRPr="002D79FD">
        <w:rPr>
          <w:rFonts w:cs="Times New Roman"/>
          <w:i/>
          <w:iCs/>
        </w:rPr>
        <w:t>Das Obrigações em Geral</w:t>
      </w:r>
      <w:r w:rsidRPr="002D79FD">
        <w:rPr>
          <w:rFonts w:cs="Times New Roman"/>
        </w:rPr>
        <w:t>, Vol. I, 7ª edição. Almedina, 565 e 566; Menezes Leitão, L. (2007). </w:t>
      </w:r>
      <w:r w:rsidRPr="00BF4E19">
        <w:rPr>
          <w:rFonts w:cs="Times New Roman"/>
          <w:i/>
          <w:iCs/>
          <w:lang w:val="en-GB"/>
        </w:rPr>
        <w:t>Direito das Obrigações</w:t>
      </w:r>
      <w:r w:rsidRPr="00BF4E19">
        <w:rPr>
          <w:rFonts w:cs="Times New Roman"/>
          <w:lang w:val="en-GB"/>
        </w:rPr>
        <w:t xml:space="preserve">, Vol. </w:t>
      </w:r>
      <w:r w:rsidRPr="006F1F1F">
        <w:rPr>
          <w:rFonts w:cs="Times New Roman"/>
          <w:lang w:val="en-GB"/>
        </w:rPr>
        <w:t>I, 6ª ed. Almedina, 315.</w:t>
      </w:r>
    </w:p>
  </w:footnote>
  <w:footnote w:id="92">
    <w:p w14:paraId="2CEC927F" w14:textId="2182A5AB" w:rsidR="00F457C9" w:rsidRPr="00281B57" w:rsidRDefault="00F457C9" w:rsidP="00C1129C">
      <w:pPr>
        <w:pStyle w:val="FootnoteText"/>
        <w:spacing w:line="480" w:lineRule="auto"/>
        <w:jc w:val="both"/>
        <w:rPr>
          <w:rFonts w:cs="Times New Roman"/>
          <w:lang w:val="en-GB"/>
        </w:rPr>
      </w:pPr>
      <w:r w:rsidRPr="002D79FD">
        <w:rPr>
          <w:rStyle w:val="FootnoteReference"/>
          <w:rFonts w:cs="Times New Roman"/>
        </w:rPr>
        <w:footnoteRef/>
      </w:r>
      <w:r w:rsidRPr="00281B57">
        <w:rPr>
          <w:rFonts w:cs="Times New Roman"/>
          <w:lang w:val="en-GB"/>
        </w:rPr>
        <w:t xml:space="preserve"> </w:t>
      </w:r>
      <w:r w:rsidR="006F1F1F" w:rsidRPr="00281B57">
        <w:rPr>
          <w:rFonts w:cs="Times New Roman"/>
          <w:lang w:val="en-GB"/>
        </w:rPr>
        <w:t>Namely, according to the TC, Cases</w:t>
      </w:r>
      <w:r w:rsidRPr="00281B57">
        <w:rPr>
          <w:rFonts w:cs="Times New Roman"/>
          <w:lang w:val="en-GB"/>
        </w:rPr>
        <w:t> </w:t>
      </w:r>
      <w:r w:rsidRPr="00281B57">
        <w:rPr>
          <w:rFonts w:cs="Times New Roman"/>
          <w:i/>
          <w:iCs/>
          <w:lang w:val="en-GB"/>
        </w:rPr>
        <w:t>Observer e Guardian</w:t>
      </w:r>
      <w:r w:rsidRPr="00281B57">
        <w:rPr>
          <w:rFonts w:cs="Times New Roman"/>
          <w:lang w:val="en-GB"/>
        </w:rPr>
        <w:t> </w:t>
      </w:r>
      <w:r w:rsidRPr="00281B57">
        <w:rPr>
          <w:rFonts w:cs="Times New Roman"/>
          <w:i/>
          <w:iCs/>
          <w:lang w:val="en-GB"/>
        </w:rPr>
        <w:t>v. The United Kingdom</w:t>
      </w:r>
      <w:r w:rsidRPr="00281B57">
        <w:rPr>
          <w:rFonts w:cs="Times New Roman"/>
          <w:lang w:val="en-GB"/>
        </w:rPr>
        <w:t xml:space="preserve">, </w:t>
      </w:r>
      <w:r w:rsidR="00281B57" w:rsidRPr="00281B57">
        <w:rPr>
          <w:rFonts w:cs="Times New Roman"/>
          <w:lang w:val="en-GB"/>
        </w:rPr>
        <w:t xml:space="preserve">Case No. </w:t>
      </w:r>
      <w:r w:rsidRPr="00281B57">
        <w:rPr>
          <w:rFonts w:cs="Times New Roman"/>
          <w:lang w:val="en-GB"/>
        </w:rPr>
        <w:t xml:space="preserve">13585/88, </w:t>
      </w:r>
      <w:r w:rsidR="00281B57" w:rsidRPr="00281B57">
        <w:rPr>
          <w:rFonts w:cs="Times New Roman"/>
          <w:lang w:val="en-GB"/>
        </w:rPr>
        <w:t>of</w:t>
      </w:r>
      <w:r w:rsidRPr="00281B57">
        <w:rPr>
          <w:rFonts w:cs="Times New Roman"/>
          <w:lang w:val="en-GB"/>
        </w:rPr>
        <w:t xml:space="preserve"> 26</w:t>
      </w:r>
      <w:r w:rsidR="00281B57" w:rsidRPr="00281B57">
        <w:rPr>
          <w:rFonts w:cs="Times New Roman"/>
          <w:lang w:val="en-GB"/>
        </w:rPr>
        <w:t>.</w:t>
      </w:r>
      <w:r w:rsidRPr="00281B57">
        <w:rPr>
          <w:rFonts w:cs="Times New Roman"/>
          <w:lang w:val="en-GB"/>
        </w:rPr>
        <w:t>11</w:t>
      </w:r>
      <w:r w:rsidR="00281B57" w:rsidRPr="00281B57">
        <w:rPr>
          <w:rFonts w:cs="Times New Roman"/>
          <w:lang w:val="en-GB"/>
        </w:rPr>
        <w:t>.</w:t>
      </w:r>
      <w:r w:rsidRPr="00281B57">
        <w:rPr>
          <w:rFonts w:cs="Times New Roman"/>
          <w:lang w:val="en-GB"/>
        </w:rPr>
        <w:t xml:space="preserve">1991; </w:t>
      </w:r>
      <w:r w:rsidRPr="00281B57">
        <w:rPr>
          <w:rFonts w:cs="Times New Roman"/>
          <w:i/>
          <w:iCs/>
          <w:lang w:val="en-GB"/>
        </w:rPr>
        <w:t>Castells v. Spain</w:t>
      </w:r>
      <w:r w:rsidRPr="00281B57">
        <w:rPr>
          <w:rFonts w:cs="Times New Roman"/>
          <w:lang w:val="en-GB"/>
        </w:rPr>
        <w:t xml:space="preserve">, </w:t>
      </w:r>
      <w:r w:rsidR="00281B57" w:rsidRPr="00281B57">
        <w:rPr>
          <w:rFonts w:cs="Times New Roman"/>
          <w:lang w:val="en-GB"/>
        </w:rPr>
        <w:t xml:space="preserve">Case No. </w:t>
      </w:r>
      <w:r w:rsidRPr="00281B57">
        <w:rPr>
          <w:rFonts w:cs="Times New Roman"/>
          <w:lang w:val="en-GB"/>
        </w:rPr>
        <w:t xml:space="preserve">11798/85, </w:t>
      </w:r>
      <w:r w:rsidR="00281B57">
        <w:rPr>
          <w:rFonts w:cs="Times New Roman"/>
          <w:lang w:val="en-GB"/>
        </w:rPr>
        <w:t>of</w:t>
      </w:r>
      <w:r w:rsidRPr="00281B57">
        <w:rPr>
          <w:rFonts w:cs="Times New Roman"/>
          <w:lang w:val="en-GB"/>
        </w:rPr>
        <w:t xml:space="preserve"> 23</w:t>
      </w:r>
      <w:r w:rsidR="00281B57">
        <w:rPr>
          <w:rFonts w:cs="Times New Roman"/>
          <w:lang w:val="en-GB"/>
        </w:rPr>
        <w:t>.</w:t>
      </w:r>
      <w:r w:rsidRPr="00281B57">
        <w:rPr>
          <w:rFonts w:cs="Times New Roman"/>
          <w:lang w:val="en-GB"/>
        </w:rPr>
        <w:t>04</w:t>
      </w:r>
      <w:r w:rsidR="00281B57">
        <w:rPr>
          <w:rFonts w:cs="Times New Roman"/>
          <w:lang w:val="en-GB"/>
        </w:rPr>
        <w:t>.</w:t>
      </w:r>
      <w:r w:rsidRPr="00281B57">
        <w:rPr>
          <w:rFonts w:cs="Times New Roman"/>
          <w:lang w:val="en-GB"/>
        </w:rPr>
        <w:t xml:space="preserve">1992; </w:t>
      </w:r>
      <w:r w:rsidRPr="00281B57">
        <w:rPr>
          <w:rFonts w:cs="Times New Roman"/>
          <w:i/>
          <w:iCs/>
          <w:lang w:val="en-GB"/>
        </w:rPr>
        <w:t xml:space="preserve">Prager e </w:t>
      </w:r>
      <w:r w:rsidRPr="00281B57">
        <w:rPr>
          <w:rFonts w:cs="Times New Roman"/>
          <w:i/>
          <w:iCs/>
          <w:lang w:val="en-GB"/>
        </w:rPr>
        <w:t>Oberschlick v. Áustria</w:t>
      </w:r>
      <w:r w:rsidRPr="00281B57">
        <w:rPr>
          <w:rFonts w:cs="Times New Roman"/>
          <w:lang w:val="en-GB"/>
        </w:rPr>
        <w:t xml:space="preserve">, </w:t>
      </w:r>
      <w:r w:rsidR="00281B57" w:rsidRPr="00281B57">
        <w:rPr>
          <w:rFonts w:cs="Times New Roman"/>
          <w:lang w:val="en-GB"/>
        </w:rPr>
        <w:t xml:space="preserve">Case No. </w:t>
      </w:r>
      <w:r w:rsidRPr="00281B57">
        <w:rPr>
          <w:rFonts w:cs="Times New Roman"/>
          <w:lang w:val="en-GB"/>
        </w:rPr>
        <w:t xml:space="preserve">15974/90, </w:t>
      </w:r>
      <w:r w:rsidR="00281B57">
        <w:rPr>
          <w:rFonts w:cs="Times New Roman"/>
          <w:lang w:val="en-GB"/>
        </w:rPr>
        <w:t>of</w:t>
      </w:r>
      <w:r w:rsidRPr="00281B57">
        <w:rPr>
          <w:rFonts w:cs="Times New Roman"/>
          <w:lang w:val="en-GB"/>
        </w:rPr>
        <w:t xml:space="preserve"> 26</w:t>
      </w:r>
      <w:r w:rsidR="00281B57">
        <w:rPr>
          <w:rFonts w:cs="Times New Roman"/>
          <w:lang w:val="en-GB"/>
        </w:rPr>
        <w:t>.</w:t>
      </w:r>
      <w:r w:rsidRPr="00281B57">
        <w:rPr>
          <w:rFonts w:cs="Times New Roman"/>
          <w:lang w:val="en-GB"/>
        </w:rPr>
        <w:t>04</w:t>
      </w:r>
      <w:r w:rsidR="00281B57">
        <w:rPr>
          <w:rFonts w:cs="Times New Roman"/>
          <w:lang w:val="en-GB"/>
        </w:rPr>
        <w:t>.</w:t>
      </w:r>
      <w:r w:rsidRPr="00281B57">
        <w:rPr>
          <w:rFonts w:cs="Times New Roman"/>
          <w:lang w:val="en-GB"/>
        </w:rPr>
        <w:t xml:space="preserve">1995; </w:t>
      </w:r>
      <w:r w:rsidRPr="00281B57">
        <w:rPr>
          <w:rFonts w:cs="Times New Roman"/>
          <w:i/>
          <w:iCs/>
          <w:lang w:val="en-GB"/>
        </w:rPr>
        <w:t>Lopes Gomes da Silva v. Portugal</w:t>
      </w:r>
      <w:r w:rsidRPr="00281B57">
        <w:rPr>
          <w:rFonts w:cs="Times New Roman"/>
          <w:lang w:val="en-GB"/>
        </w:rPr>
        <w:t xml:space="preserve">, </w:t>
      </w:r>
      <w:r w:rsidR="00281B57" w:rsidRPr="00281B57">
        <w:rPr>
          <w:rFonts w:cs="Times New Roman"/>
          <w:lang w:val="en-GB"/>
        </w:rPr>
        <w:t xml:space="preserve">Case No. </w:t>
      </w:r>
      <w:r w:rsidRPr="00281B57">
        <w:rPr>
          <w:rFonts w:cs="Times New Roman"/>
          <w:lang w:val="en-GB"/>
        </w:rPr>
        <w:t xml:space="preserve">37698/97, </w:t>
      </w:r>
      <w:r w:rsidR="00281B57">
        <w:rPr>
          <w:rFonts w:cs="Times New Roman"/>
          <w:lang w:val="en-GB"/>
        </w:rPr>
        <w:t>of</w:t>
      </w:r>
      <w:r w:rsidRPr="00281B57">
        <w:rPr>
          <w:rFonts w:cs="Times New Roman"/>
          <w:lang w:val="en-GB"/>
        </w:rPr>
        <w:t xml:space="preserve"> 28</w:t>
      </w:r>
      <w:r w:rsidR="00281B57">
        <w:rPr>
          <w:rFonts w:cs="Times New Roman"/>
          <w:lang w:val="en-GB"/>
        </w:rPr>
        <w:t>.</w:t>
      </w:r>
      <w:r w:rsidRPr="00281B57">
        <w:rPr>
          <w:rFonts w:cs="Times New Roman"/>
          <w:lang w:val="en-GB"/>
        </w:rPr>
        <w:t>09</w:t>
      </w:r>
      <w:r w:rsidR="00281B57">
        <w:rPr>
          <w:rFonts w:cs="Times New Roman"/>
          <w:lang w:val="en-GB"/>
        </w:rPr>
        <w:t>.</w:t>
      </w:r>
      <w:r w:rsidRPr="00281B57">
        <w:rPr>
          <w:rFonts w:cs="Times New Roman"/>
          <w:lang w:val="en-GB"/>
        </w:rPr>
        <w:t>2000;</w:t>
      </w:r>
      <w:r w:rsidRPr="00281B57">
        <w:rPr>
          <w:rFonts w:cs="Times New Roman"/>
          <w:i/>
          <w:iCs/>
          <w:lang w:val="en-GB"/>
        </w:rPr>
        <w:t> Özgür Radyo-Ses Radyo Televizyon Yayin Yapim Ve Tanitim A.S. v. Turquie</w:t>
      </w:r>
      <w:r w:rsidRPr="00281B57">
        <w:rPr>
          <w:rFonts w:cs="Times New Roman"/>
          <w:lang w:val="en-GB"/>
        </w:rPr>
        <w:t xml:space="preserve">, </w:t>
      </w:r>
      <w:r w:rsidR="00281B57" w:rsidRPr="00281B57">
        <w:rPr>
          <w:rFonts w:cs="Times New Roman"/>
          <w:lang w:val="en-GB"/>
        </w:rPr>
        <w:t xml:space="preserve">Case No. </w:t>
      </w:r>
      <w:r w:rsidRPr="00281B57">
        <w:rPr>
          <w:rFonts w:cs="Times New Roman"/>
          <w:lang w:val="en-GB"/>
        </w:rPr>
        <w:t xml:space="preserve">64178/00, 64179/00, 64181/00, 64183/00, 64184/00, </w:t>
      </w:r>
      <w:r w:rsidR="00281B57">
        <w:rPr>
          <w:rFonts w:cs="Times New Roman"/>
          <w:lang w:val="en-GB"/>
        </w:rPr>
        <w:t>of</w:t>
      </w:r>
      <w:r w:rsidRPr="00281B57">
        <w:rPr>
          <w:rFonts w:cs="Times New Roman"/>
          <w:lang w:val="en-GB"/>
        </w:rPr>
        <w:t xml:space="preserve"> 30</w:t>
      </w:r>
      <w:r w:rsidR="00281B57">
        <w:rPr>
          <w:rFonts w:cs="Times New Roman"/>
          <w:lang w:val="en-GB"/>
        </w:rPr>
        <w:t>.</w:t>
      </w:r>
      <w:r w:rsidRPr="00281B57">
        <w:rPr>
          <w:rFonts w:cs="Times New Roman"/>
          <w:lang w:val="en-GB"/>
        </w:rPr>
        <w:t>03</w:t>
      </w:r>
      <w:r w:rsidR="00281B57">
        <w:rPr>
          <w:rFonts w:cs="Times New Roman"/>
          <w:lang w:val="en-GB"/>
        </w:rPr>
        <w:t>.</w:t>
      </w:r>
      <w:r w:rsidRPr="00281B57">
        <w:rPr>
          <w:rFonts w:cs="Times New Roman"/>
          <w:lang w:val="en-GB"/>
        </w:rPr>
        <w:t xml:space="preserve">2006; </w:t>
      </w:r>
      <w:r w:rsidRPr="00281B57">
        <w:rPr>
          <w:rFonts w:cs="Times New Roman"/>
          <w:i/>
          <w:iCs/>
          <w:lang w:val="en-GB"/>
        </w:rPr>
        <w:t xml:space="preserve">Kobenter </w:t>
      </w:r>
      <w:r w:rsidR="00281B57">
        <w:rPr>
          <w:rFonts w:cs="Times New Roman"/>
          <w:i/>
          <w:iCs/>
          <w:lang w:val="en-GB"/>
        </w:rPr>
        <w:t>and</w:t>
      </w:r>
      <w:r w:rsidRPr="00281B57">
        <w:rPr>
          <w:rFonts w:cs="Times New Roman"/>
          <w:i/>
          <w:iCs/>
          <w:lang w:val="en-GB"/>
        </w:rPr>
        <w:t xml:space="preserve"> Standard Verlags GMBH v. Áustria</w:t>
      </w:r>
      <w:r w:rsidRPr="00281B57">
        <w:rPr>
          <w:rFonts w:cs="Times New Roman"/>
          <w:lang w:val="en-GB"/>
        </w:rPr>
        <w:t xml:space="preserve">, </w:t>
      </w:r>
      <w:r w:rsidR="00281B57" w:rsidRPr="00281B57">
        <w:rPr>
          <w:rFonts w:cs="Times New Roman"/>
          <w:lang w:val="en-GB"/>
        </w:rPr>
        <w:t xml:space="preserve">Case No. </w:t>
      </w:r>
      <w:r w:rsidRPr="00281B57">
        <w:rPr>
          <w:rFonts w:cs="Times New Roman"/>
          <w:lang w:val="en-GB"/>
        </w:rPr>
        <w:t xml:space="preserve">60899/00, </w:t>
      </w:r>
      <w:r w:rsidR="00281B57">
        <w:rPr>
          <w:rFonts w:cs="Times New Roman"/>
          <w:lang w:val="en-GB"/>
        </w:rPr>
        <w:t>of</w:t>
      </w:r>
      <w:r w:rsidRPr="00281B57">
        <w:rPr>
          <w:rFonts w:cs="Times New Roman"/>
          <w:lang w:val="en-GB"/>
        </w:rPr>
        <w:t xml:space="preserve"> 02</w:t>
      </w:r>
      <w:r w:rsidR="00281B57" w:rsidRPr="00281B57">
        <w:rPr>
          <w:rFonts w:cs="Times New Roman"/>
          <w:lang w:val="en-GB"/>
        </w:rPr>
        <w:t>.</w:t>
      </w:r>
      <w:r w:rsidRPr="00281B57">
        <w:rPr>
          <w:rFonts w:cs="Times New Roman"/>
          <w:lang w:val="en-GB"/>
        </w:rPr>
        <w:t>11</w:t>
      </w:r>
      <w:r w:rsidR="00281B57" w:rsidRPr="00281B57">
        <w:rPr>
          <w:rFonts w:cs="Times New Roman"/>
          <w:lang w:val="en-GB"/>
        </w:rPr>
        <w:t>.</w:t>
      </w:r>
      <w:r w:rsidRPr="00281B57">
        <w:rPr>
          <w:rFonts w:cs="Times New Roman"/>
          <w:lang w:val="en-GB"/>
        </w:rPr>
        <w:t xml:space="preserve">2006; </w:t>
      </w:r>
      <w:r w:rsidRPr="00281B57">
        <w:rPr>
          <w:rFonts w:cs="Times New Roman"/>
          <w:i/>
          <w:iCs/>
          <w:lang w:val="en-GB"/>
        </w:rPr>
        <w:t>Colaço Mestre e SIC Sociedade Independente de Comunicação, S.A. v. Portugal</w:t>
      </w:r>
      <w:r w:rsidRPr="00281B57">
        <w:rPr>
          <w:rFonts w:cs="Times New Roman"/>
          <w:lang w:val="en-GB"/>
        </w:rPr>
        <w:t xml:space="preserve">, </w:t>
      </w:r>
      <w:r w:rsidR="006F1F1F" w:rsidRPr="00281B57">
        <w:rPr>
          <w:rFonts w:cs="Times New Roman"/>
          <w:lang w:val="en-GB"/>
        </w:rPr>
        <w:t>Cas</w:t>
      </w:r>
      <w:r w:rsidR="00281B57" w:rsidRPr="00281B57">
        <w:rPr>
          <w:rFonts w:cs="Times New Roman"/>
          <w:lang w:val="en-GB"/>
        </w:rPr>
        <w:t>e No.</w:t>
      </w:r>
      <w:r w:rsidRPr="00281B57">
        <w:rPr>
          <w:rFonts w:cs="Times New Roman"/>
          <w:lang w:val="en-GB"/>
        </w:rPr>
        <w:t xml:space="preserve"> 11182/03 </w:t>
      </w:r>
      <w:r w:rsidR="00281B57">
        <w:rPr>
          <w:rFonts w:cs="Times New Roman"/>
          <w:lang w:val="en-GB"/>
        </w:rPr>
        <w:t>and</w:t>
      </w:r>
      <w:r w:rsidRPr="00281B57">
        <w:rPr>
          <w:rFonts w:cs="Times New Roman"/>
          <w:lang w:val="en-GB"/>
        </w:rPr>
        <w:t xml:space="preserve"> 11319/03, </w:t>
      </w:r>
      <w:r w:rsidR="00281B57" w:rsidRPr="00281B57">
        <w:rPr>
          <w:rFonts w:cs="Times New Roman"/>
          <w:lang w:val="en-GB"/>
        </w:rPr>
        <w:t>of</w:t>
      </w:r>
      <w:r w:rsidRPr="00281B57">
        <w:rPr>
          <w:rFonts w:cs="Times New Roman"/>
          <w:lang w:val="en-GB"/>
        </w:rPr>
        <w:t xml:space="preserve"> 26</w:t>
      </w:r>
      <w:r w:rsidR="00281B57" w:rsidRPr="00281B57">
        <w:rPr>
          <w:rFonts w:cs="Times New Roman"/>
          <w:lang w:val="en-GB"/>
        </w:rPr>
        <w:t>.</w:t>
      </w:r>
      <w:r w:rsidRPr="00281B57">
        <w:rPr>
          <w:rFonts w:cs="Times New Roman"/>
          <w:lang w:val="en-GB"/>
        </w:rPr>
        <w:t>04</w:t>
      </w:r>
      <w:r w:rsidR="00281B57" w:rsidRPr="00281B57">
        <w:rPr>
          <w:rFonts w:cs="Times New Roman"/>
          <w:lang w:val="en-GB"/>
        </w:rPr>
        <w:t>.</w:t>
      </w:r>
      <w:r w:rsidRPr="00281B57">
        <w:rPr>
          <w:rFonts w:cs="Times New Roman"/>
          <w:lang w:val="en-GB"/>
        </w:rPr>
        <w:t xml:space="preserve">2007, </w:t>
      </w:r>
      <w:r w:rsidR="00281B57" w:rsidRPr="00281B57">
        <w:rPr>
          <w:rFonts w:cs="Times New Roman"/>
          <w:lang w:val="en-GB"/>
        </w:rPr>
        <w:t>all available at</w:t>
      </w:r>
      <w:r w:rsidRPr="00281B57">
        <w:rPr>
          <w:rFonts w:cs="Times New Roman"/>
          <w:lang w:val="en-GB"/>
        </w:rPr>
        <w:t> </w:t>
      </w:r>
      <w:hyperlink r:id="rId9" w:history="1">
        <w:r w:rsidRPr="00281B57">
          <w:rPr>
            <w:rStyle w:val="Hyperlink"/>
            <w:rFonts w:cs="Times New Roman"/>
            <w:lang w:val="en-GB"/>
          </w:rPr>
          <w:t>http://www.ECtHR.coe.int/ECtHR</w:t>
        </w:r>
      </w:hyperlink>
    </w:p>
  </w:footnote>
  <w:footnote w:id="93">
    <w:p w14:paraId="158B0B32" w14:textId="0BB54286" w:rsidR="0037161A" w:rsidRPr="00702ADC" w:rsidRDefault="0037161A"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w:t>
      </w:r>
      <w:r w:rsidRPr="00464FEA">
        <w:rPr>
          <w:rFonts w:cs="Times New Roman"/>
        </w:rPr>
        <w:t>Vieira de Andrade, J. C. (2</w:t>
      </w:r>
      <w:r w:rsidR="00A103BA" w:rsidRPr="00464FEA">
        <w:rPr>
          <w:rFonts w:cs="Times New Roman"/>
        </w:rPr>
        <w:t>021</w:t>
      </w:r>
      <w:r w:rsidRPr="00464FEA">
        <w:rPr>
          <w:rFonts w:cs="Times New Roman"/>
        </w:rPr>
        <w:t>).  </w:t>
      </w:r>
      <w:r w:rsidRPr="00464FEA">
        <w:rPr>
          <w:rFonts w:cs="Times New Roman"/>
          <w:i/>
          <w:iCs/>
        </w:rPr>
        <w:t>Os Direitos Fundamentais na Constituição Portuguesa de 1976</w:t>
      </w:r>
      <w:r w:rsidRPr="00464FEA">
        <w:rPr>
          <w:rFonts w:cs="Times New Roman"/>
        </w:rPr>
        <w:t xml:space="preserve">, </w:t>
      </w:r>
      <w:r w:rsidR="00110E2F" w:rsidRPr="00464FEA">
        <w:rPr>
          <w:rFonts w:cs="Times New Roman"/>
        </w:rPr>
        <w:t>6</w:t>
      </w:r>
      <w:r w:rsidRPr="00464FEA">
        <w:rPr>
          <w:rFonts w:cs="Times New Roman"/>
        </w:rPr>
        <w:t xml:space="preserve">ª ed. </w:t>
      </w:r>
      <w:r w:rsidRPr="00464FEA">
        <w:rPr>
          <w:rFonts w:cs="Times New Roman"/>
          <w:lang w:val="en-GB"/>
        </w:rPr>
        <w:t xml:space="preserve">Almedina, </w:t>
      </w:r>
      <w:r w:rsidR="005F7BB6" w:rsidRPr="00464FEA">
        <w:rPr>
          <w:rFonts w:cs="Times New Roman"/>
          <w:lang w:val="en-GB"/>
        </w:rPr>
        <w:t>299</w:t>
      </w:r>
      <w:r w:rsidRPr="00464FEA">
        <w:rPr>
          <w:rFonts w:cs="Times New Roman"/>
          <w:lang w:val="en-GB"/>
        </w:rPr>
        <w:t>.</w:t>
      </w:r>
    </w:p>
  </w:footnote>
  <w:footnote w:id="94">
    <w:p w14:paraId="6B37E829" w14:textId="77777777" w:rsidR="00702ADC" w:rsidRPr="00702ADC" w:rsidRDefault="00702ADC" w:rsidP="00C1129C">
      <w:pPr>
        <w:pStyle w:val="FootnoteText"/>
        <w:spacing w:line="480" w:lineRule="auto"/>
        <w:jc w:val="both"/>
        <w:rPr>
          <w:rFonts w:cs="Times New Roman"/>
          <w:lang w:val="en-GB"/>
        </w:rPr>
      </w:pPr>
      <w:r w:rsidRPr="002D79FD">
        <w:rPr>
          <w:rStyle w:val="FootnoteReference"/>
          <w:rFonts w:cs="Times New Roman"/>
        </w:rPr>
        <w:footnoteRef/>
      </w:r>
      <w:r w:rsidRPr="00702ADC">
        <w:rPr>
          <w:rFonts w:cs="Times New Roman"/>
          <w:lang w:val="en-GB"/>
        </w:rPr>
        <w:t xml:space="preserve">  Leite Pinto (1994) 27.</w:t>
      </w:r>
    </w:p>
  </w:footnote>
  <w:footnote w:id="95">
    <w:p w14:paraId="0540EA62" w14:textId="77777777" w:rsidR="00702ADC" w:rsidRPr="005316B6" w:rsidRDefault="00702ADC" w:rsidP="00C1129C">
      <w:pPr>
        <w:pStyle w:val="FootnoteText"/>
        <w:spacing w:line="480" w:lineRule="auto"/>
        <w:jc w:val="both"/>
        <w:rPr>
          <w:rFonts w:cs="Times New Roman"/>
          <w:lang w:val="en-GB"/>
        </w:rPr>
      </w:pPr>
      <w:r w:rsidRPr="002D79FD">
        <w:rPr>
          <w:rStyle w:val="FootnoteReference"/>
          <w:rFonts w:cs="Times New Roman"/>
        </w:rPr>
        <w:footnoteRef/>
      </w:r>
      <w:r w:rsidRPr="005316B6">
        <w:rPr>
          <w:rFonts w:cs="Times New Roman"/>
          <w:lang w:val="en-GB"/>
        </w:rPr>
        <w:t xml:space="preserve"> It should be remembered, for example, that Article 10</w:t>
      </w:r>
      <w:r>
        <w:rPr>
          <w:rFonts w:cs="Times New Roman"/>
          <w:lang w:val="en-GB"/>
        </w:rPr>
        <w:t>(</w:t>
      </w:r>
      <w:r w:rsidRPr="005316B6">
        <w:rPr>
          <w:rFonts w:cs="Times New Roman"/>
          <w:lang w:val="en-GB"/>
        </w:rPr>
        <w:t>2</w:t>
      </w:r>
      <w:r>
        <w:rPr>
          <w:rFonts w:cs="Times New Roman"/>
          <w:lang w:val="en-GB"/>
        </w:rPr>
        <w:t>)</w:t>
      </w:r>
      <w:r w:rsidRPr="005316B6">
        <w:rPr>
          <w:rFonts w:cs="Times New Roman"/>
          <w:lang w:val="en-GB"/>
        </w:rPr>
        <w:t xml:space="preserve"> of the ECHR provides that, precisely because the exercise of the right to freedom of expression "</w:t>
      </w:r>
      <w:r w:rsidRPr="005316B6">
        <w:rPr>
          <w:rFonts w:cs="Times New Roman"/>
          <w:i/>
          <w:iCs/>
          <w:lang w:val="en-GB"/>
        </w:rPr>
        <w:t>entails duties and responsibilities</w:t>
      </w:r>
      <w:r w:rsidRPr="005316B6">
        <w:rPr>
          <w:rFonts w:cs="Times New Roman"/>
          <w:lang w:val="en-GB"/>
        </w:rPr>
        <w:t>", it may be subject to "</w:t>
      </w:r>
      <w:r w:rsidRPr="005316B6">
        <w:rPr>
          <w:rFonts w:cs="Times New Roman"/>
          <w:i/>
          <w:iCs/>
          <w:lang w:val="en-GB"/>
        </w:rPr>
        <w:t>sanctions, provided for by law, which constitute necessary measures in a democratic society for national security, territorial integrity or public safety, for the maintenance of order and the prevention of crime, for the protection of health and morals, or for the protection of the honour or rights of others</w:t>
      </w:r>
      <w:r w:rsidRPr="005316B6">
        <w:rPr>
          <w:rFonts w:cs="Times New Roman"/>
          <w:lang w:val="en-GB"/>
        </w:rPr>
        <w:t>".</w:t>
      </w:r>
    </w:p>
  </w:footnote>
  <w:footnote w:id="96">
    <w:p w14:paraId="4C5E6DC0" w14:textId="7695FBBE" w:rsidR="00C76AAC" w:rsidRPr="00AD5438" w:rsidRDefault="00CE4371" w:rsidP="00C1129C">
      <w:pPr>
        <w:pStyle w:val="FootnoteText"/>
        <w:spacing w:line="480" w:lineRule="auto"/>
        <w:jc w:val="both"/>
        <w:rPr>
          <w:rFonts w:cs="Times New Roman"/>
          <w:lang w:val="en-GB"/>
        </w:rPr>
      </w:pPr>
      <w:r w:rsidRPr="002D79FD">
        <w:rPr>
          <w:rStyle w:val="FootnoteReference"/>
          <w:rFonts w:cs="Times New Roman"/>
        </w:rPr>
        <w:footnoteRef/>
      </w:r>
      <w:r w:rsidRPr="00AD5438">
        <w:rPr>
          <w:rFonts w:cs="Times New Roman"/>
          <w:lang w:val="en-GB"/>
        </w:rPr>
        <w:t xml:space="preserve"> </w:t>
      </w:r>
      <w:r w:rsidR="00AD5438" w:rsidRPr="00AD5438">
        <w:rPr>
          <w:rFonts w:cs="Times New Roman"/>
          <w:lang w:val="en-GB"/>
        </w:rPr>
        <w:t xml:space="preserve">See the dissenting vote of </w:t>
      </w:r>
      <w:r w:rsidR="00AD5438" w:rsidRPr="00AD5438">
        <w:rPr>
          <w:rFonts w:cs="Times New Roman"/>
          <w:lang w:val="en-GB"/>
        </w:rPr>
        <w:t>Coun</w:t>
      </w:r>
      <w:r w:rsidR="00DC5CAC">
        <w:rPr>
          <w:rFonts w:cs="Times New Roman"/>
          <w:lang w:val="en-GB"/>
        </w:rPr>
        <w:t>se</w:t>
      </w:r>
      <w:r w:rsidR="00AD5438" w:rsidRPr="00AD5438">
        <w:rPr>
          <w:rFonts w:cs="Times New Roman"/>
          <w:lang w:val="en-GB"/>
        </w:rPr>
        <w:t>lor Maria Lúcia Amaral, in TC Ruling No. 292/2008.</w:t>
      </w:r>
    </w:p>
  </w:footnote>
  <w:footnote w:id="97">
    <w:p w14:paraId="0176F286" w14:textId="183694A5" w:rsidR="003C588F" w:rsidRPr="00BF4E19" w:rsidRDefault="003C588F"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Santana-Pereira, J. (2016).</w:t>
      </w:r>
      <w:r w:rsidR="000B4F63" w:rsidRPr="002D79FD">
        <w:rPr>
          <w:rFonts w:cs="Times New Roman"/>
          <w:lang w:val="en-GB"/>
        </w:rPr>
        <w:t xml:space="preserve"> The Portuguese media system and the normative roles of the media: a comparative view. </w:t>
      </w:r>
      <w:r w:rsidR="000B4F63" w:rsidRPr="00BF4E19">
        <w:rPr>
          <w:rFonts w:cs="Times New Roman"/>
          <w:i/>
          <w:iCs/>
          <w:lang w:val="en-GB"/>
        </w:rPr>
        <w:t>Análise Social</w:t>
      </w:r>
      <w:r w:rsidR="004627CF" w:rsidRPr="00BF4E19">
        <w:rPr>
          <w:rFonts w:cs="Times New Roman"/>
          <w:i/>
          <w:iCs/>
          <w:lang w:val="en-GB"/>
        </w:rPr>
        <w:t>, 221</w:t>
      </w:r>
      <w:r w:rsidR="004627CF" w:rsidRPr="00BF4E19">
        <w:rPr>
          <w:rFonts w:cs="Times New Roman"/>
          <w:lang w:val="en-GB"/>
        </w:rPr>
        <w:t>, L</w:t>
      </w:r>
      <w:r w:rsidR="008F4B0F" w:rsidRPr="00BF4E19">
        <w:rPr>
          <w:rFonts w:cs="Times New Roman"/>
          <w:lang w:val="en-GB"/>
        </w:rPr>
        <w:t>I</w:t>
      </w:r>
      <w:r w:rsidR="004627CF" w:rsidRPr="00BF4E19">
        <w:rPr>
          <w:rFonts w:cs="Times New Roman"/>
          <w:lang w:val="en-GB"/>
        </w:rPr>
        <w:t>, 4</w:t>
      </w:r>
      <w:r w:rsidR="00F96EF6" w:rsidRPr="00BF4E19">
        <w:rPr>
          <w:rFonts w:cs="Times New Roman"/>
          <w:lang w:val="en-GB"/>
        </w:rPr>
        <w:t>.</w:t>
      </w:r>
      <w:r w:rsidR="004627CF" w:rsidRPr="00BF4E19">
        <w:rPr>
          <w:rFonts w:cs="Times New Roman"/>
          <w:lang w:val="en-GB"/>
        </w:rPr>
        <w:t>º,</w:t>
      </w:r>
      <w:r w:rsidRPr="00BF4E19">
        <w:rPr>
          <w:rFonts w:cs="Times New Roman"/>
          <w:lang w:val="en-GB"/>
        </w:rPr>
        <w:t xml:space="preserve"> 781-782.</w:t>
      </w:r>
    </w:p>
  </w:footnote>
  <w:footnote w:id="98">
    <w:p w14:paraId="1F16E0DB" w14:textId="77777777" w:rsidR="00A4363F" w:rsidRPr="002D79FD" w:rsidRDefault="00A4363F"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Hallin, D. C., &amp; Mancini, P. (2004). </w:t>
      </w:r>
      <w:r w:rsidRPr="002D79FD">
        <w:rPr>
          <w:rFonts w:cs="Times New Roman"/>
          <w:i/>
          <w:iCs/>
          <w:lang w:val="en-GB"/>
        </w:rPr>
        <w:t>Comparing media systems: Three models of media and politics</w:t>
      </w:r>
      <w:r w:rsidRPr="002D79FD">
        <w:rPr>
          <w:rFonts w:cs="Times New Roman"/>
          <w:lang w:val="en-GB"/>
        </w:rPr>
        <w:t xml:space="preserve">. Cambridge University Press; Hallin, D. C., &amp; Mancini, P. (2010). "Comparing Media Systems":  A Response to Critics. </w:t>
      </w:r>
      <w:r w:rsidRPr="002D79FD">
        <w:rPr>
          <w:rFonts w:cs="Times New Roman"/>
          <w:i/>
          <w:iCs/>
          <w:lang w:val="en-GB"/>
        </w:rPr>
        <w:t>Media &amp; Jornalismo,17, 9</w:t>
      </w:r>
      <w:r w:rsidRPr="002D79FD">
        <w:rPr>
          <w:rFonts w:cs="Times New Roman"/>
          <w:lang w:val="en-GB"/>
        </w:rPr>
        <w:t xml:space="preserve">(2); Hallin, D. C., &amp; Mancini, P. (eds.) (2012). </w:t>
      </w:r>
      <w:r w:rsidRPr="002D79FD">
        <w:rPr>
          <w:rFonts w:cs="Times New Roman"/>
          <w:i/>
          <w:iCs/>
          <w:lang w:val="en-GB"/>
        </w:rPr>
        <w:t>Comparing Media Systems Beyond the Western World</w:t>
      </w:r>
      <w:r w:rsidRPr="002D79FD">
        <w:rPr>
          <w:rFonts w:cs="Times New Roman"/>
          <w:lang w:val="en-GB"/>
        </w:rPr>
        <w:t>. Cambridge University Press.</w:t>
      </w:r>
    </w:p>
  </w:footnote>
  <w:footnote w:id="99">
    <w:p w14:paraId="53BB9AB2" w14:textId="77777777" w:rsidR="00A4363F" w:rsidRPr="002D79FD" w:rsidRDefault="00A4363F" w:rsidP="00C1129C">
      <w:pPr>
        <w:pStyle w:val="FootnoteText"/>
        <w:spacing w:line="480" w:lineRule="auto"/>
        <w:jc w:val="both"/>
        <w:rPr>
          <w:rFonts w:cs="Times New Roman"/>
          <w:lang w:val="en-GB"/>
        </w:rPr>
      </w:pPr>
      <w:r w:rsidRPr="002D79FD">
        <w:rPr>
          <w:rStyle w:val="FootnoteReference"/>
          <w:rFonts w:cs="Times New Roman"/>
        </w:rPr>
        <w:footnoteRef/>
      </w:r>
      <w:r w:rsidRPr="00A4363F">
        <w:rPr>
          <w:rFonts w:cs="Times New Roman"/>
          <w:lang w:val="en-GB"/>
        </w:rPr>
        <w:t xml:space="preserve"> Hallin &amp; Mancini (2010) 54; Hallin, D. C., &amp; Mancini, P. (2012a). </w:t>
      </w:r>
      <w:r w:rsidRPr="002D79FD">
        <w:rPr>
          <w:rFonts w:cs="Times New Roman"/>
          <w:lang w:val="en-GB"/>
        </w:rPr>
        <w:t>Introduction. In D. C. Hallin &amp; P. Mancini (Eds.), </w:t>
      </w:r>
      <w:r w:rsidRPr="002D79FD">
        <w:rPr>
          <w:rFonts w:cs="Times New Roman"/>
          <w:i/>
          <w:iCs/>
          <w:lang w:val="en-GB"/>
        </w:rPr>
        <w:t>Comparing Media Systems Beyond the Western World</w:t>
      </w:r>
      <w:r w:rsidRPr="002D79FD">
        <w:rPr>
          <w:rFonts w:cs="Times New Roman"/>
          <w:lang w:val="en-GB"/>
        </w:rPr>
        <w:t> (pp. 1–7). Cambridge University Press, 1.</w:t>
      </w:r>
    </w:p>
  </w:footnote>
  <w:footnote w:id="100">
    <w:p w14:paraId="46C9E223" w14:textId="77777777" w:rsidR="00A4363F" w:rsidRPr="002D79FD" w:rsidRDefault="00A4363F"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Jakubowicz, K. (2010). Introduction. Media Systems Research: An Overview. In B. Dobek-Ostrowska, et al. (eds.), </w:t>
      </w:r>
      <w:r w:rsidRPr="002D79FD">
        <w:rPr>
          <w:rFonts w:cs="Times New Roman"/>
          <w:i/>
          <w:iCs/>
          <w:lang w:val="en-GB"/>
        </w:rPr>
        <w:t>Comparative Media Systems. European and Global Perspective</w:t>
      </w:r>
      <w:r w:rsidRPr="002D79FD">
        <w:rPr>
          <w:rFonts w:cs="Times New Roman"/>
          <w:lang w:val="en-GB"/>
        </w:rPr>
        <w:t> (pp. 1–21). CEU Press, 9.</w:t>
      </w:r>
    </w:p>
  </w:footnote>
  <w:footnote w:id="101">
    <w:p w14:paraId="4A35A36B" w14:textId="1C41905D" w:rsidR="00A4363F" w:rsidRPr="00B63AA3" w:rsidRDefault="00A4363F"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Hallin &amp; Mancini (eds.) (2012). </w:t>
      </w:r>
      <w:r w:rsidR="00264596">
        <w:rPr>
          <w:rFonts w:cs="Times New Roman"/>
          <w:lang w:val="en-GB"/>
        </w:rPr>
        <w:t>However</w:t>
      </w:r>
      <w:r w:rsidR="00054240">
        <w:rPr>
          <w:rFonts w:cs="Times New Roman"/>
          <w:lang w:val="en-GB"/>
        </w:rPr>
        <w:t>, in</w:t>
      </w:r>
      <w:r w:rsidRPr="002D79FD">
        <w:rPr>
          <w:rFonts w:cs="Times New Roman"/>
          <w:lang w:val="en-GB"/>
        </w:rPr>
        <w:t xml:space="preserve"> Hallin, D. C., &amp; Mancini, P. (2012b). Conclusion. In D. C. Hallin &amp; P. Mancini (Eds.), </w:t>
      </w:r>
      <w:r w:rsidRPr="002D79FD">
        <w:rPr>
          <w:rFonts w:cs="Times New Roman"/>
          <w:i/>
          <w:iCs/>
          <w:lang w:val="en-GB"/>
        </w:rPr>
        <w:t>Comparing Media Systems Beyond the Western World</w:t>
      </w:r>
      <w:r w:rsidRPr="002D79FD">
        <w:rPr>
          <w:rFonts w:cs="Times New Roman"/>
          <w:lang w:val="en-GB"/>
        </w:rPr>
        <w:t xml:space="preserve"> (pp. 278–304). </w:t>
      </w:r>
      <w:r w:rsidRPr="00B63AA3">
        <w:rPr>
          <w:rFonts w:cs="Times New Roman"/>
          <w:lang w:val="en-GB"/>
        </w:rPr>
        <w:t xml:space="preserve">Cambridge University Press, 279-280, </w:t>
      </w:r>
      <w:r w:rsidR="00B63AA3">
        <w:rPr>
          <w:rFonts w:cs="Times New Roman"/>
          <w:lang w:val="en-GB"/>
        </w:rPr>
        <w:t>t</w:t>
      </w:r>
      <w:r w:rsidR="00B63AA3" w:rsidRPr="00B63AA3">
        <w:rPr>
          <w:rFonts w:cs="Times New Roman"/>
          <w:lang w:val="en-GB"/>
        </w:rPr>
        <w:t xml:space="preserve">he authors acknowledge that the Polarized Pluralist Model may function as a residual model </w:t>
      </w:r>
      <w:r w:rsidR="00B63AA3" w:rsidRPr="00B63AA3">
        <w:rPr>
          <w:rFonts w:cs="Times New Roman"/>
          <w:lang w:val="en-GB"/>
        </w:rPr>
        <w:t>outside Western countries. It should be noted, however, that some of its variables may be too Eurocentric in their scope and understanding and therefore unsuitable for other realities</w:t>
      </w:r>
      <w:r w:rsidRPr="00B63AA3">
        <w:rPr>
          <w:rFonts w:cs="Times New Roman"/>
          <w:lang w:val="en-GB"/>
        </w:rPr>
        <w:t>.</w:t>
      </w:r>
    </w:p>
  </w:footnote>
  <w:footnote w:id="102">
    <w:p w14:paraId="4E8CB304" w14:textId="77777777" w:rsidR="003D2CEE" w:rsidRPr="00BF4E19" w:rsidRDefault="003D2CEE" w:rsidP="00C1129C">
      <w:pPr>
        <w:pStyle w:val="FootnoteText"/>
        <w:spacing w:line="480" w:lineRule="auto"/>
        <w:jc w:val="both"/>
        <w:rPr>
          <w:rFonts w:cs="Times New Roman"/>
          <w:lang w:val="en-GB"/>
        </w:rPr>
      </w:pPr>
      <w:r w:rsidRPr="002D79FD">
        <w:rPr>
          <w:rStyle w:val="FootnoteReference"/>
          <w:rFonts w:cs="Times New Roman"/>
        </w:rPr>
        <w:footnoteRef/>
      </w:r>
      <w:r w:rsidRPr="00BF4E19">
        <w:rPr>
          <w:rFonts w:cs="Times New Roman"/>
          <w:lang w:val="en-GB"/>
        </w:rPr>
        <w:t xml:space="preserve"> Hallin &amp; Mancini (2012a) 1-2.</w:t>
      </w:r>
    </w:p>
  </w:footnote>
  <w:footnote w:id="103">
    <w:p w14:paraId="763DC958" w14:textId="14CB14BA" w:rsidR="00637670" w:rsidRPr="00BF4E19" w:rsidRDefault="00637670" w:rsidP="00C1129C">
      <w:pPr>
        <w:pStyle w:val="FootnoteText"/>
        <w:spacing w:line="480" w:lineRule="auto"/>
        <w:jc w:val="both"/>
        <w:rPr>
          <w:rFonts w:cs="Times New Roman"/>
          <w:lang w:val="en-GB"/>
        </w:rPr>
      </w:pPr>
      <w:r w:rsidRPr="002D79FD">
        <w:rPr>
          <w:rStyle w:val="FootnoteReference"/>
          <w:rFonts w:cs="Times New Roman"/>
        </w:rPr>
        <w:footnoteRef/>
      </w:r>
      <w:r w:rsidRPr="00BF4E19">
        <w:rPr>
          <w:rFonts w:cs="Times New Roman"/>
          <w:lang w:val="en-GB"/>
        </w:rPr>
        <w:t xml:space="preserve"> </w:t>
      </w:r>
      <w:r w:rsidR="0088636D" w:rsidRPr="00BF4E19">
        <w:rPr>
          <w:rFonts w:cs="Times New Roman"/>
          <w:lang w:val="en-GB"/>
        </w:rPr>
        <w:t>Hallin &amp; Mancini (2012b) 301-304.</w:t>
      </w:r>
    </w:p>
  </w:footnote>
  <w:footnote w:id="104">
    <w:p w14:paraId="0579B74E" w14:textId="3CF2EF69" w:rsidR="00997893" w:rsidRPr="00BF4E19" w:rsidRDefault="00997893" w:rsidP="00C1129C">
      <w:pPr>
        <w:pStyle w:val="FootnoteText"/>
        <w:spacing w:line="480" w:lineRule="auto"/>
        <w:jc w:val="both"/>
        <w:rPr>
          <w:rFonts w:cs="Times New Roman"/>
          <w:lang w:val="en-GB"/>
        </w:rPr>
      </w:pPr>
      <w:r w:rsidRPr="002D79FD">
        <w:rPr>
          <w:rStyle w:val="FootnoteReference"/>
          <w:rFonts w:cs="Times New Roman"/>
        </w:rPr>
        <w:footnoteRef/>
      </w:r>
      <w:r w:rsidRPr="00BF4E19">
        <w:rPr>
          <w:rFonts w:cs="Times New Roman"/>
          <w:lang w:val="en-GB"/>
        </w:rPr>
        <w:t xml:space="preserve"> Hallin &amp; Mancini (2010)</w:t>
      </w:r>
      <w:r w:rsidR="00975913" w:rsidRPr="00BF4E19">
        <w:rPr>
          <w:rFonts w:cs="Times New Roman"/>
          <w:lang w:val="en-GB"/>
        </w:rPr>
        <w:t xml:space="preserve"> </w:t>
      </w:r>
      <w:r w:rsidR="000627EA" w:rsidRPr="00BF4E19">
        <w:rPr>
          <w:rFonts w:cs="Times New Roman"/>
          <w:lang w:val="en-GB"/>
        </w:rPr>
        <w:t>60-63</w:t>
      </w:r>
      <w:r w:rsidR="00975913" w:rsidRPr="00BF4E19">
        <w:rPr>
          <w:rFonts w:cs="Times New Roman"/>
          <w:lang w:val="en-GB"/>
        </w:rPr>
        <w:t xml:space="preserve">; Hallin &amp; Mancini (2012b) </w:t>
      </w:r>
      <w:r w:rsidR="0004452A" w:rsidRPr="00BF4E19">
        <w:rPr>
          <w:rFonts w:cs="Times New Roman"/>
          <w:lang w:val="en-GB"/>
        </w:rPr>
        <w:t>279-280</w:t>
      </w:r>
      <w:r w:rsidR="00975913" w:rsidRPr="00BF4E19">
        <w:rPr>
          <w:rFonts w:cs="Times New Roman"/>
          <w:lang w:val="en-GB"/>
        </w:rPr>
        <w:t>.</w:t>
      </w:r>
    </w:p>
  </w:footnote>
  <w:footnote w:id="105">
    <w:p w14:paraId="49AAE6F7" w14:textId="3CDF1888" w:rsidR="00264596" w:rsidRPr="001F7321" w:rsidRDefault="00264596" w:rsidP="00C1129C">
      <w:pPr>
        <w:pStyle w:val="FootnoteText"/>
        <w:spacing w:line="480" w:lineRule="auto"/>
        <w:jc w:val="both"/>
        <w:rPr>
          <w:rFonts w:cs="Times New Roman"/>
          <w:lang w:val="en-GB"/>
        </w:rPr>
      </w:pPr>
      <w:r w:rsidRPr="002D79FD">
        <w:rPr>
          <w:rStyle w:val="FootnoteReference"/>
          <w:rFonts w:cs="Times New Roman"/>
        </w:rPr>
        <w:footnoteRef/>
      </w:r>
      <w:r w:rsidRPr="001F7321">
        <w:rPr>
          <w:rFonts w:cs="Times New Roman"/>
          <w:lang w:val="en-GB"/>
        </w:rPr>
        <w:t xml:space="preserve"> </w:t>
      </w:r>
      <w:r w:rsidR="001F7321" w:rsidRPr="001F7321">
        <w:rPr>
          <w:rFonts w:cs="Times New Roman"/>
          <w:lang w:val="en-GB"/>
        </w:rPr>
        <w:t>See</w:t>
      </w:r>
      <w:r w:rsidR="001F7321" w:rsidRPr="001F7321">
        <w:rPr>
          <w:rFonts w:cs="Times New Roman"/>
          <w:lang w:val="en-GB"/>
        </w:rPr>
        <w:t xml:space="preserve">, in particular, </w:t>
      </w:r>
      <w:r w:rsidR="001F7321">
        <w:rPr>
          <w:rFonts w:cs="Times New Roman"/>
          <w:lang w:val="en-GB"/>
        </w:rPr>
        <w:t>their</w:t>
      </w:r>
      <w:r w:rsidR="001F7321" w:rsidRPr="001F7321">
        <w:rPr>
          <w:rFonts w:cs="Times New Roman"/>
          <w:lang w:val="en-GB"/>
        </w:rPr>
        <w:t xml:space="preserve"> response to critics in </w:t>
      </w:r>
      <w:r w:rsidRPr="001F7321">
        <w:rPr>
          <w:rFonts w:cs="Times New Roman"/>
          <w:lang w:val="en-GB"/>
        </w:rPr>
        <w:t>Hallin &amp; Mancini (2010).</w:t>
      </w:r>
    </w:p>
  </w:footnote>
  <w:footnote w:id="106">
    <w:p w14:paraId="490B3D4B" w14:textId="77777777" w:rsidR="000425EC" w:rsidRPr="002D79FD" w:rsidRDefault="000425EC"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Jakubowicz (2010) 12.</w:t>
      </w:r>
    </w:p>
  </w:footnote>
  <w:footnote w:id="107">
    <w:p w14:paraId="3F6F3CBE" w14:textId="77777777" w:rsidR="000425EC" w:rsidRPr="002D79FD" w:rsidRDefault="000425EC"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Jakubowicz (2010) 10.</w:t>
      </w:r>
    </w:p>
  </w:footnote>
  <w:footnote w:id="108">
    <w:p w14:paraId="6F4875C1" w14:textId="77777777" w:rsidR="00161317" w:rsidRPr="002D79FD" w:rsidRDefault="00161317"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Hallin &amp; Mancini (2012b) 299-300; Hardy (2008) xvi, 237.</w:t>
      </w:r>
    </w:p>
  </w:footnote>
  <w:footnote w:id="109">
    <w:p w14:paraId="5521A724" w14:textId="459378E1" w:rsidR="00B5264D" w:rsidRPr="002D79FD" w:rsidRDefault="00B5264D"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r w:rsidR="00DC2585" w:rsidRPr="002D79FD">
        <w:rPr>
          <w:rFonts w:cs="Times New Roman"/>
          <w:lang w:val="en-GB"/>
        </w:rPr>
        <w:t>Hallin &amp; Mancini (2004) 251 ss.</w:t>
      </w:r>
    </w:p>
  </w:footnote>
  <w:footnote w:id="110">
    <w:p w14:paraId="0E05492F" w14:textId="77DD3F97" w:rsidR="002660E6" w:rsidRPr="002D79FD" w:rsidRDefault="002660E6"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Hallin &amp; Mancini (2004)</w:t>
      </w:r>
      <w:r w:rsidR="004B40FD" w:rsidRPr="002D79FD">
        <w:rPr>
          <w:rFonts w:cs="Times New Roman"/>
          <w:lang w:val="en-GB"/>
        </w:rPr>
        <w:t xml:space="preserve"> 69.</w:t>
      </w:r>
    </w:p>
  </w:footnote>
  <w:footnote w:id="111">
    <w:p w14:paraId="3EF3B8A9" w14:textId="119DBEC2" w:rsidR="00AD0824" w:rsidRPr="002D79FD" w:rsidRDefault="00AD0824"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r w:rsidR="001553CA" w:rsidRPr="002D79FD">
        <w:rPr>
          <w:rFonts w:cs="Times New Roman"/>
          <w:lang w:val="en-GB"/>
        </w:rPr>
        <w:t>Hallin &amp; Mancini (2010) 64.</w:t>
      </w:r>
    </w:p>
  </w:footnote>
  <w:footnote w:id="112">
    <w:p w14:paraId="6A573372" w14:textId="6795D13E" w:rsidR="007F15D3" w:rsidRPr="002D79FD" w:rsidRDefault="007F15D3"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r w:rsidR="002707F1" w:rsidRPr="002D79FD">
        <w:rPr>
          <w:rFonts w:cs="Times New Roman"/>
          <w:lang w:val="en-GB"/>
        </w:rPr>
        <w:t>Hallin &amp; Mancini (2012b) 2</w:t>
      </w:r>
      <w:r w:rsidR="00ED240C" w:rsidRPr="002D79FD">
        <w:rPr>
          <w:rFonts w:cs="Times New Roman"/>
          <w:lang w:val="en-GB"/>
        </w:rPr>
        <w:t xml:space="preserve">84-287; </w:t>
      </w:r>
      <w:r w:rsidRPr="002D79FD">
        <w:rPr>
          <w:rFonts w:cs="Times New Roman"/>
          <w:lang w:val="en-GB"/>
        </w:rPr>
        <w:t>Hardy, J. (2008). </w:t>
      </w:r>
      <w:r w:rsidRPr="002D79FD">
        <w:rPr>
          <w:rFonts w:cs="Times New Roman"/>
          <w:i/>
          <w:iCs/>
          <w:lang w:val="en-GB"/>
        </w:rPr>
        <w:t>Western Media Systems</w:t>
      </w:r>
      <w:r w:rsidRPr="002D79FD">
        <w:rPr>
          <w:rFonts w:cs="Times New Roman"/>
          <w:lang w:val="en-GB"/>
        </w:rPr>
        <w:t xml:space="preserve">. Routledge, </w:t>
      </w:r>
      <w:r w:rsidR="00703A20" w:rsidRPr="002D79FD">
        <w:rPr>
          <w:rFonts w:cs="Times New Roman"/>
          <w:lang w:val="en-GB"/>
        </w:rPr>
        <w:t>231-232</w:t>
      </w:r>
      <w:r w:rsidR="002707F1" w:rsidRPr="002D79FD">
        <w:rPr>
          <w:rFonts w:cs="Times New Roman"/>
          <w:lang w:val="en-GB"/>
        </w:rPr>
        <w:t xml:space="preserve">. </w:t>
      </w:r>
    </w:p>
  </w:footnote>
  <w:footnote w:id="113">
    <w:p w14:paraId="08C46DE2" w14:textId="48A8CA93" w:rsidR="003D5E75" w:rsidRPr="002D79FD" w:rsidRDefault="003D5E75"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Santana-Pereira (2016) 786.</w:t>
      </w:r>
    </w:p>
  </w:footnote>
  <w:footnote w:id="114">
    <w:p w14:paraId="6E2A5F9C" w14:textId="6D1F9B0B" w:rsidR="005E0CE2" w:rsidRPr="002D79FD" w:rsidRDefault="005E0CE2"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w:t>
      </w:r>
      <w:r w:rsidR="0027646C" w:rsidRPr="002D79FD">
        <w:rPr>
          <w:rFonts w:cs="Times New Roman"/>
        </w:rPr>
        <w:t xml:space="preserve">Álvares, C., &amp; Damásio, M. J. (2013). </w:t>
      </w:r>
      <w:r w:rsidR="0027646C" w:rsidRPr="002D79FD">
        <w:rPr>
          <w:rFonts w:cs="Times New Roman"/>
          <w:lang w:val="en-GB"/>
        </w:rPr>
        <w:t xml:space="preserve">Introducing social capital into the ‘polarized pluralist’ model: the different contexts of press politicization in Portugal and Spain. </w:t>
      </w:r>
      <w:r w:rsidR="00445602" w:rsidRPr="002D79FD">
        <w:rPr>
          <w:rFonts w:cs="Times New Roman"/>
          <w:i/>
          <w:iCs/>
          <w:lang w:val="en-GB"/>
        </w:rPr>
        <w:t>International Journal of Iberian Studies, 26</w:t>
      </w:r>
      <w:r w:rsidR="00445602" w:rsidRPr="002D79FD">
        <w:rPr>
          <w:rFonts w:cs="Times New Roman"/>
          <w:lang w:val="en-GB"/>
        </w:rPr>
        <w:t xml:space="preserve">(3), </w:t>
      </w:r>
      <w:r w:rsidR="007371FE" w:rsidRPr="002D79FD">
        <w:rPr>
          <w:rFonts w:cs="Times New Roman"/>
          <w:lang w:val="en-GB"/>
        </w:rPr>
        <w:t>139.</w:t>
      </w:r>
    </w:p>
  </w:footnote>
  <w:footnote w:id="115">
    <w:p w14:paraId="27BDCFBE" w14:textId="77777777" w:rsidR="008E6258" w:rsidRPr="002D79FD" w:rsidRDefault="008E6258"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Hallin &amp; Mancini (2010) 58-59.</w:t>
      </w:r>
    </w:p>
  </w:footnote>
  <w:footnote w:id="116">
    <w:p w14:paraId="0D3B5AD3" w14:textId="77777777" w:rsidR="008E6258" w:rsidRPr="002D79FD" w:rsidRDefault="008E6258"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Santana-Pereira (2016) 793, 796. </w:t>
      </w:r>
    </w:p>
  </w:footnote>
  <w:footnote w:id="117">
    <w:p w14:paraId="57694077" w14:textId="10D8C307" w:rsidR="00235057" w:rsidRPr="002D79FD" w:rsidRDefault="00235057"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lang w:val="en-GB"/>
        </w:rPr>
        <w:t xml:space="preserve"> </w:t>
      </w:r>
      <w:r w:rsidR="00597827" w:rsidRPr="002D79FD">
        <w:rPr>
          <w:rFonts w:cs="Times New Roman"/>
          <w:lang w:val="en-GB"/>
        </w:rPr>
        <w:t>A survey carried out by a group of researchers from the CECS of the University of Minho and CINTESIS, to 200 journalists, editors, coordinators and directors of the Portuguese media (nationwide and general press, online titles, radio and television), indicate that 92% of respondents expressly assume that they tried to guide citizens towards certain behaviours during the state of emergency, namely towards the lockdown</w:t>
      </w:r>
      <w:r w:rsidR="00FC030C" w:rsidRPr="002D79FD">
        <w:rPr>
          <w:rFonts w:cs="Times New Roman"/>
          <w:lang w:val="en-GB"/>
        </w:rPr>
        <w:t xml:space="preserve"> imposed by the Government.</w:t>
      </w:r>
      <w:r w:rsidR="00BB00BE" w:rsidRPr="002D79FD">
        <w:rPr>
          <w:rFonts w:cs="Times New Roman"/>
          <w:lang w:val="en-GB"/>
        </w:rPr>
        <w:t xml:space="preserve"> </w:t>
      </w:r>
      <w:hyperlink r:id="rId10" w:history="1">
        <w:r w:rsidR="00BB00BE" w:rsidRPr="002D79FD">
          <w:rPr>
            <w:rStyle w:val="Hyperlink"/>
            <w:rFonts w:cs="Times New Roman"/>
          </w:rPr>
          <w:t>http://www.cecs.uminho.pt/investigadores-do-cecs-estudam-mediatizacao-da-covid-19/</w:t>
        </w:r>
      </w:hyperlink>
    </w:p>
  </w:footnote>
  <w:footnote w:id="118">
    <w:p w14:paraId="77EDDA2E" w14:textId="77777777" w:rsidR="00D31C20" w:rsidRPr="002D79FD" w:rsidRDefault="00D31C20"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hyperlink r:id="rId11" w:history="1">
        <w:r w:rsidRPr="002D79FD">
          <w:rPr>
            <w:rStyle w:val="Hyperlink"/>
            <w:rFonts w:cs="Times New Roman"/>
            <w:lang w:val="en-GB"/>
          </w:rPr>
          <w:t>https://www.v-dem.net/media/filer_public/86/3c/863c20b1-05ca-4057-b78b-f3e96110afb5/clean_v2_us.csv</w:t>
        </w:r>
      </w:hyperlink>
      <w:r w:rsidRPr="002D79FD">
        <w:rPr>
          <w:rFonts w:cs="Times New Roman"/>
          <w:lang w:val="en-GB"/>
        </w:rPr>
        <w:t xml:space="preserve"> and </w:t>
      </w:r>
      <w:hyperlink r:id="rId12" w:history="1">
        <w:r w:rsidRPr="002D79FD">
          <w:rPr>
            <w:rStyle w:val="Hyperlink"/>
            <w:rFonts w:cs="Times New Roman"/>
            <w:lang w:val="en-GB"/>
          </w:rPr>
          <w:t>https://www.v-dem.net/media/filer_public/72/20/7220f61e-b4fc-4399-8f12-bee59e1cfd14/pandem_codebook_v2.pdf</w:t>
        </w:r>
      </w:hyperlink>
    </w:p>
  </w:footnote>
  <w:footnote w:id="119">
    <w:p w14:paraId="0DADD01B" w14:textId="202B3C10" w:rsidR="00E654C0" w:rsidRPr="002D79FD" w:rsidRDefault="00E654C0"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Hallin &amp; Mancini (2010) 65.</w:t>
      </w:r>
    </w:p>
  </w:footnote>
  <w:footnote w:id="120">
    <w:p w14:paraId="19BE628A" w14:textId="77777777" w:rsidR="00DC0C65" w:rsidRPr="002D79FD" w:rsidRDefault="00DC0C65"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Hallin &amp; Mancini (2010) 58-59.</w:t>
      </w:r>
    </w:p>
  </w:footnote>
  <w:footnote w:id="121">
    <w:p w14:paraId="6734EC7F" w14:textId="19EAB994" w:rsidR="002E4D91" w:rsidRPr="002D79FD" w:rsidRDefault="002E4D91"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r w:rsidR="00875B2D" w:rsidRPr="002D79FD">
        <w:rPr>
          <w:rFonts w:cs="Times New Roman"/>
          <w:lang w:val="en-GB"/>
        </w:rPr>
        <w:t xml:space="preserve">Hallin, D. C., &amp; Mancini, P. (2016). Ten Years After Comparing Media Systems: What Have We Learned? </w:t>
      </w:r>
      <w:r w:rsidR="00875B2D" w:rsidRPr="002D79FD">
        <w:rPr>
          <w:rFonts w:cs="Times New Roman"/>
          <w:i/>
          <w:iCs/>
          <w:lang w:val="en-GB"/>
        </w:rPr>
        <w:t>Political Communication, 34</w:t>
      </w:r>
      <w:r w:rsidR="00875B2D" w:rsidRPr="002D79FD">
        <w:rPr>
          <w:rFonts w:cs="Times New Roman"/>
          <w:lang w:val="en-GB"/>
        </w:rPr>
        <w:t>(2), 155–171.</w:t>
      </w:r>
    </w:p>
  </w:footnote>
  <w:footnote w:id="122">
    <w:p w14:paraId="2217FD9D" w14:textId="77777777" w:rsidR="00E33563" w:rsidRPr="00BF4E19" w:rsidRDefault="00E33563" w:rsidP="00C1129C">
      <w:pPr>
        <w:pStyle w:val="FootnoteText"/>
        <w:spacing w:line="480" w:lineRule="auto"/>
        <w:jc w:val="both"/>
        <w:rPr>
          <w:rFonts w:cs="Times New Roman"/>
          <w:lang w:val="en-GB"/>
        </w:rPr>
      </w:pPr>
      <w:r w:rsidRPr="002D79FD">
        <w:rPr>
          <w:rStyle w:val="FootnoteReference"/>
          <w:rFonts w:cs="Times New Roman"/>
        </w:rPr>
        <w:footnoteRef/>
      </w:r>
      <w:r w:rsidRPr="00BF4E19">
        <w:rPr>
          <w:rFonts w:cs="Times New Roman"/>
          <w:lang w:val="en-GB"/>
        </w:rPr>
        <w:t xml:space="preserve"> Santana-Pereira (2016) 796.</w:t>
      </w:r>
    </w:p>
  </w:footnote>
  <w:footnote w:id="123">
    <w:p w14:paraId="44B7BDA3" w14:textId="0039923D" w:rsidR="00B36EC7" w:rsidRPr="00BF4E19" w:rsidRDefault="00B36EC7" w:rsidP="00C1129C">
      <w:pPr>
        <w:pStyle w:val="FootnoteText"/>
        <w:spacing w:line="480" w:lineRule="auto"/>
        <w:jc w:val="both"/>
        <w:rPr>
          <w:rFonts w:cs="Times New Roman"/>
          <w:lang w:val="en-GB"/>
        </w:rPr>
      </w:pPr>
      <w:r w:rsidRPr="002D79FD">
        <w:rPr>
          <w:rStyle w:val="FootnoteReference"/>
          <w:rFonts w:cs="Times New Roman"/>
        </w:rPr>
        <w:footnoteRef/>
      </w:r>
      <w:r w:rsidRPr="00BF4E19">
        <w:rPr>
          <w:rFonts w:cs="Times New Roman"/>
          <w:lang w:val="en-GB"/>
        </w:rPr>
        <w:t xml:space="preserve"> Santana-Pereira (2016) 796-797.</w:t>
      </w:r>
    </w:p>
  </w:footnote>
  <w:footnote w:id="124">
    <w:p w14:paraId="795BFF35" w14:textId="77777777" w:rsidR="00B126FF" w:rsidRPr="002D79FD" w:rsidRDefault="00B126FF" w:rsidP="00C1129C">
      <w:pPr>
        <w:pStyle w:val="FootnoteText"/>
        <w:spacing w:line="480" w:lineRule="auto"/>
        <w:jc w:val="both"/>
        <w:rPr>
          <w:rFonts w:cs="Times New Roman"/>
          <w:lang w:val="en-GB"/>
        </w:rPr>
      </w:pPr>
      <w:r w:rsidRPr="002D79FD">
        <w:rPr>
          <w:rStyle w:val="FootnoteReference"/>
          <w:rFonts w:cs="Times New Roman"/>
        </w:rPr>
        <w:footnoteRef/>
      </w:r>
      <w:r w:rsidRPr="00BF4E19">
        <w:rPr>
          <w:rFonts w:cs="Times New Roman"/>
          <w:lang w:val="en-GB"/>
        </w:rPr>
        <w:t xml:space="preserve"> Silva, E. C. e, &amp; Sousa, H. (2017). </w:t>
      </w:r>
      <w:r w:rsidRPr="002D79FD">
        <w:rPr>
          <w:rFonts w:cs="Times New Roman"/>
          <w:lang w:val="en-GB"/>
        </w:rPr>
        <w:t xml:space="preserve">Portugal: The challenges of democratisation. Em P. Bajomi-Lázár (Ed.), Media in </w:t>
      </w:r>
      <w:r w:rsidRPr="002D79FD">
        <w:rPr>
          <w:rFonts w:cs="Times New Roman"/>
          <w:i/>
          <w:iCs/>
          <w:lang w:val="en-GB"/>
        </w:rPr>
        <w:t>Third-Wave Democracies: Southern and Central/Eastern Europe in a Comparative Perspective</w:t>
      </w:r>
      <w:r w:rsidRPr="002D79FD">
        <w:rPr>
          <w:rFonts w:cs="Times New Roman"/>
          <w:lang w:val="en-GB"/>
        </w:rPr>
        <w:t xml:space="preserve"> (pp. 151–180). </w:t>
      </w:r>
      <w:r w:rsidRPr="002D79FD">
        <w:rPr>
          <w:rFonts w:cs="Times New Roman"/>
          <w:lang w:val="en-GB"/>
        </w:rPr>
        <w:t>L’Harmattan.</w:t>
      </w:r>
    </w:p>
  </w:footnote>
  <w:footnote w:id="125">
    <w:p w14:paraId="33D483A9" w14:textId="77777777" w:rsidR="00B126FF" w:rsidRPr="002D79FD" w:rsidRDefault="00B126F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lang w:val="en-GB"/>
        </w:rPr>
        <w:t xml:space="preserve"> </w:t>
      </w:r>
      <w:r w:rsidRPr="002D79FD">
        <w:rPr>
          <w:rFonts w:cs="Times New Roman"/>
          <w:lang w:val="en-GB"/>
        </w:rPr>
        <w:t xml:space="preserve">Humprecht, E., et al. (2022). Media Systems in the Digital Age: An Empirical Comparison of 30 Countries. </w:t>
      </w:r>
      <w:r w:rsidRPr="002D79FD">
        <w:rPr>
          <w:rFonts w:cs="Times New Roman"/>
          <w:i/>
          <w:iCs/>
        </w:rPr>
        <w:t>Journal of Communication</w:t>
      </w:r>
      <w:r w:rsidRPr="002D79FD">
        <w:rPr>
          <w:rFonts w:cs="Times New Roman"/>
        </w:rPr>
        <w:t>, 72(2), 145–164.</w:t>
      </w:r>
    </w:p>
  </w:footnote>
  <w:footnote w:id="126">
    <w:p w14:paraId="63538DE8" w14:textId="77777777" w:rsidR="00C80449" w:rsidRPr="002D79FD" w:rsidRDefault="00C80449"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125 ss.</w:t>
      </w:r>
    </w:p>
  </w:footnote>
  <w:footnote w:id="127">
    <w:p w14:paraId="4CE4B0A9" w14:textId="77777777" w:rsidR="000821C0" w:rsidRPr="002D79FD" w:rsidRDefault="000821C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127.</w:t>
      </w:r>
    </w:p>
  </w:footnote>
  <w:footnote w:id="128">
    <w:p w14:paraId="213DDF56" w14:textId="77777777" w:rsidR="00C616A0" w:rsidRPr="002D79FD" w:rsidRDefault="00C616A0" w:rsidP="00C1129C">
      <w:pPr>
        <w:pStyle w:val="FootnoteText"/>
        <w:spacing w:line="480" w:lineRule="auto"/>
        <w:jc w:val="both"/>
        <w:rPr>
          <w:rFonts w:cs="Times New Roman"/>
          <w:b/>
          <w:bCs/>
        </w:rPr>
      </w:pPr>
      <w:r w:rsidRPr="002D79FD">
        <w:rPr>
          <w:rStyle w:val="FootnoteReference"/>
          <w:rFonts w:cs="Times New Roman"/>
        </w:rPr>
        <w:footnoteRef/>
      </w:r>
      <w:r w:rsidRPr="002D79FD">
        <w:rPr>
          <w:rFonts w:cs="Times New Roman"/>
        </w:rPr>
        <w:t xml:space="preserve"> Couraceiro &amp; Lopes (2025). </w:t>
      </w:r>
    </w:p>
  </w:footnote>
  <w:footnote w:id="129">
    <w:p w14:paraId="2100B073" w14:textId="77777777" w:rsidR="00E845D0" w:rsidRPr="002D79FD" w:rsidRDefault="00E845D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Couraceiro &amp; Lopes (2025) 68, Tabela 2.</w:t>
      </w:r>
    </w:p>
  </w:footnote>
  <w:footnote w:id="130">
    <w:p w14:paraId="25D2B7D3" w14:textId="77777777" w:rsidR="00BA2C60" w:rsidRPr="002D79FD" w:rsidRDefault="00BA2C6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Couraceiro &amp; Lopes (2025) 69-70.</w:t>
      </w:r>
    </w:p>
  </w:footnote>
  <w:footnote w:id="131">
    <w:p w14:paraId="2B75843B" w14:textId="77777777" w:rsidR="00BA2C60" w:rsidRPr="002D79FD" w:rsidRDefault="00BA2C6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Couraceiro &amp; Lopes (2025) 71-75.</w:t>
      </w:r>
    </w:p>
  </w:footnote>
  <w:footnote w:id="132">
    <w:p w14:paraId="1FE39000" w14:textId="77777777" w:rsidR="00A4358D" w:rsidRPr="002D79FD" w:rsidRDefault="00A4358D"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Couraceiro &amp; Lopes (2025) 76-77.</w:t>
      </w:r>
    </w:p>
  </w:footnote>
  <w:footnote w:id="133">
    <w:p w14:paraId="559E635C" w14:textId="77777777" w:rsidR="00C32A8C" w:rsidRPr="002D79FD" w:rsidRDefault="00C32A8C"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Sousa &amp; Fidalgo (2007) 3-4.</w:t>
      </w:r>
    </w:p>
  </w:footnote>
  <w:footnote w:id="134">
    <w:p w14:paraId="23D01E41" w14:textId="77777777" w:rsidR="00C32A8C" w:rsidRPr="002D79FD" w:rsidRDefault="00C32A8C"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Calvete, V. (2011). Entidades administrativas independentes: Smokes &amp; Mirrors. </w:t>
      </w:r>
      <w:r w:rsidRPr="002D79FD">
        <w:rPr>
          <w:rFonts w:cs="Times New Roman"/>
          <w:i/>
          <w:iCs/>
        </w:rPr>
        <w:t>Revista de Concorrência e Regulação,7-8</w:t>
      </w:r>
      <w:r w:rsidRPr="002D79FD">
        <w:rPr>
          <w:rFonts w:cs="Times New Roman"/>
        </w:rPr>
        <w:t> , 72. Também, Fidalgo (2006) 437-438, 464.</w:t>
      </w:r>
    </w:p>
  </w:footnote>
  <w:footnote w:id="135">
    <w:p w14:paraId="6BC77ED3" w14:textId="6D08DB11" w:rsidR="00896445" w:rsidRPr="003F4B82" w:rsidRDefault="00896445" w:rsidP="00C1129C">
      <w:pPr>
        <w:pStyle w:val="FootnoteText"/>
        <w:spacing w:line="480" w:lineRule="auto"/>
        <w:jc w:val="both"/>
        <w:rPr>
          <w:rFonts w:cs="Times New Roman"/>
        </w:rPr>
      </w:pPr>
      <w:r w:rsidRPr="002D79FD">
        <w:rPr>
          <w:rStyle w:val="FootnoteReference"/>
          <w:rFonts w:cs="Times New Roman"/>
        </w:rPr>
        <w:footnoteRef/>
      </w:r>
      <w:r w:rsidRPr="003F4B82">
        <w:rPr>
          <w:rFonts w:cs="Times New Roman"/>
        </w:rPr>
        <w:t xml:space="preserve"> </w:t>
      </w:r>
      <w:r w:rsidR="00C23B74" w:rsidRPr="003F4B82">
        <w:rPr>
          <w:rFonts w:cs="Times New Roman"/>
        </w:rPr>
        <w:t>For example, Articles</w:t>
      </w:r>
      <w:r w:rsidRPr="003F4B82">
        <w:rPr>
          <w:rFonts w:cs="Times New Roman"/>
        </w:rPr>
        <w:t xml:space="preserve"> 8</w:t>
      </w:r>
      <w:r w:rsidR="00C23B74" w:rsidRPr="003F4B82">
        <w:rPr>
          <w:rFonts w:cs="Times New Roman"/>
        </w:rPr>
        <w:t xml:space="preserve"> </w:t>
      </w:r>
      <w:r w:rsidRPr="003F4B82">
        <w:rPr>
          <w:rFonts w:cs="Times New Roman"/>
        </w:rPr>
        <w:t xml:space="preserve">b) </w:t>
      </w:r>
      <w:r w:rsidR="00C23B74" w:rsidRPr="003F4B82">
        <w:rPr>
          <w:rFonts w:cs="Times New Roman"/>
        </w:rPr>
        <w:t>and</w:t>
      </w:r>
      <w:r w:rsidRPr="003F4B82">
        <w:rPr>
          <w:rFonts w:cs="Times New Roman"/>
        </w:rPr>
        <w:t xml:space="preserve"> g), 11</w:t>
      </w:r>
      <w:r w:rsidR="00025CEA" w:rsidRPr="003F4B82">
        <w:rPr>
          <w:rFonts w:cs="Times New Roman"/>
        </w:rPr>
        <w:t>(</w:t>
      </w:r>
      <w:r w:rsidRPr="003F4B82">
        <w:rPr>
          <w:rFonts w:cs="Times New Roman"/>
        </w:rPr>
        <w:t>2</w:t>
      </w:r>
      <w:r w:rsidR="00025CEA" w:rsidRPr="003F4B82">
        <w:rPr>
          <w:rFonts w:cs="Times New Roman"/>
        </w:rPr>
        <w:t>)</w:t>
      </w:r>
      <w:r w:rsidRPr="003F4B82">
        <w:rPr>
          <w:rFonts w:cs="Times New Roman"/>
        </w:rPr>
        <w:t>, 24</w:t>
      </w:r>
      <w:r w:rsidR="00025CEA" w:rsidRPr="003F4B82">
        <w:rPr>
          <w:rFonts w:cs="Times New Roman"/>
        </w:rPr>
        <w:t>(</w:t>
      </w:r>
      <w:r w:rsidRPr="003F4B82">
        <w:rPr>
          <w:rFonts w:cs="Times New Roman"/>
        </w:rPr>
        <w:t>3</w:t>
      </w:r>
      <w:r w:rsidR="00025CEA" w:rsidRPr="003F4B82">
        <w:rPr>
          <w:rFonts w:cs="Times New Roman"/>
        </w:rPr>
        <w:t>)</w:t>
      </w:r>
      <w:r w:rsidRPr="003F4B82">
        <w:rPr>
          <w:rFonts w:cs="Times New Roman"/>
        </w:rPr>
        <w:t xml:space="preserve"> o) </w:t>
      </w:r>
      <w:r w:rsidR="00025CEA" w:rsidRPr="003F4B82">
        <w:rPr>
          <w:rFonts w:cs="Times New Roman"/>
        </w:rPr>
        <w:t>and</w:t>
      </w:r>
      <w:r w:rsidRPr="003F4B82">
        <w:rPr>
          <w:rFonts w:cs="Times New Roman"/>
        </w:rPr>
        <w:t xml:space="preserve"> s) </w:t>
      </w:r>
      <w:r w:rsidR="00025CEA" w:rsidRPr="003F4B82">
        <w:rPr>
          <w:rFonts w:cs="Times New Roman"/>
        </w:rPr>
        <w:t>and</w:t>
      </w:r>
      <w:r w:rsidRPr="003F4B82">
        <w:rPr>
          <w:rFonts w:cs="Times New Roman"/>
        </w:rPr>
        <w:t xml:space="preserve"> 39 a)</w:t>
      </w:r>
      <w:r w:rsidR="00025CEA" w:rsidRPr="003F4B82">
        <w:rPr>
          <w:rFonts w:cs="Times New Roman"/>
        </w:rPr>
        <w:t xml:space="preserve"> </w:t>
      </w:r>
      <w:r w:rsidR="00816A37" w:rsidRPr="003F4B82">
        <w:rPr>
          <w:rFonts w:cs="Times New Roman"/>
        </w:rPr>
        <w:t>of the ERC Statutes.</w:t>
      </w:r>
    </w:p>
  </w:footnote>
  <w:footnote w:id="136">
    <w:p w14:paraId="61395555" w14:textId="66087DF7" w:rsidR="00060DD1" w:rsidRPr="002D79FD" w:rsidRDefault="00060DD1" w:rsidP="00C1129C">
      <w:pPr>
        <w:pStyle w:val="FootnoteText"/>
        <w:spacing w:line="480" w:lineRule="auto"/>
        <w:jc w:val="both"/>
        <w:rPr>
          <w:rFonts w:cs="Times New Roman"/>
        </w:rPr>
      </w:pPr>
      <w:r w:rsidRPr="002D79FD">
        <w:rPr>
          <w:rStyle w:val="FootnoteReference"/>
          <w:rFonts w:cs="Times New Roman"/>
        </w:rPr>
        <w:footnoteRef/>
      </w:r>
      <w:r w:rsidRPr="00816A37">
        <w:rPr>
          <w:rFonts w:cs="Times New Roman"/>
          <w:lang w:val="en-GB"/>
        </w:rPr>
        <w:t xml:space="preserve"> </w:t>
      </w:r>
      <w:r w:rsidR="00816A37" w:rsidRPr="00816A37">
        <w:rPr>
          <w:rFonts w:cs="Times New Roman"/>
          <w:lang w:val="en-GB"/>
        </w:rPr>
        <w:t>On this</w:t>
      </w:r>
      <w:r w:rsidRPr="00816A37">
        <w:rPr>
          <w:rFonts w:cs="Times New Roman"/>
          <w:lang w:val="en-GB"/>
        </w:rPr>
        <w:t xml:space="preserve">, </w:t>
      </w:r>
      <w:r w:rsidRPr="00816A37">
        <w:rPr>
          <w:rFonts w:cs="Times New Roman"/>
          <w:lang w:val="en-GB"/>
        </w:rPr>
        <w:t xml:space="preserve">Bayão Horta, R. (2018). </w:t>
      </w:r>
      <w:r w:rsidRPr="002D79FD">
        <w:rPr>
          <w:rFonts w:cs="Times New Roman"/>
        </w:rPr>
        <w:t xml:space="preserve">Articulação ADC-ERC no âmbito do artigo 55.º do regime jurídico de concorrência: Cenas dos próximos capítulos. </w:t>
      </w:r>
      <w:r w:rsidRPr="002D79FD">
        <w:rPr>
          <w:rFonts w:cs="Times New Roman"/>
          <w:i/>
          <w:iCs/>
        </w:rPr>
        <w:t>Revista de Concorrência e Regulação, 36.</w:t>
      </w:r>
    </w:p>
  </w:footnote>
  <w:footnote w:id="137">
    <w:p w14:paraId="07666183" w14:textId="6ADE13AD" w:rsidR="006237AA" w:rsidRPr="002D79FD" w:rsidRDefault="006237AA"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w:t>
      </w:r>
      <w:r w:rsidR="004F5111" w:rsidRPr="002D79FD">
        <w:rPr>
          <w:rFonts w:cs="Times New Roman"/>
        </w:rPr>
        <w:t xml:space="preserve"> 263-264.</w:t>
      </w:r>
      <w:r w:rsidR="00CE238C">
        <w:rPr>
          <w:rFonts w:cs="Times New Roman"/>
        </w:rPr>
        <w:t xml:space="preserve"> </w:t>
      </w:r>
    </w:p>
  </w:footnote>
  <w:footnote w:id="138">
    <w:p w14:paraId="45A6AB6C" w14:textId="6ABB9CF5" w:rsidR="00E0482E" w:rsidRDefault="00E0482E" w:rsidP="00C1129C">
      <w:pPr>
        <w:pStyle w:val="FootnoteText"/>
        <w:spacing w:line="480" w:lineRule="auto"/>
        <w:jc w:val="both"/>
      </w:pPr>
      <w:r>
        <w:rPr>
          <w:rStyle w:val="FootnoteReference"/>
        </w:rPr>
        <w:footnoteRef/>
      </w:r>
      <w:r>
        <w:t xml:space="preserve"> </w:t>
      </w:r>
      <w:r w:rsidRPr="00E0482E">
        <w:rPr>
          <w:i/>
          <w:iCs/>
        </w:rPr>
        <w:t>Entidade Administrativa Independente</w:t>
      </w:r>
      <w:r>
        <w:t xml:space="preserve"> in Portuguese.</w:t>
      </w:r>
    </w:p>
  </w:footnote>
  <w:footnote w:id="139">
    <w:p w14:paraId="3BA39665" w14:textId="1B892A10" w:rsidR="0007377E" w:rsidRPr="00866653" w:rsidRDefault="0007377E" w:rsidP="00C1129C">
      <w:pPr>
        <w:pStyle w:val="FootnoteText"/>
        <w:spacing w:line="480" w:lineRule="auto"/>
        <w:jc w:val="both"/>
        <w:rPr>
          <w:rFonts w:cs="Times New Roman"/>
          <w:lang w:val="en-GB"/>
        </w:rPr>
      </w:pPr>
      <w:r w:rsidRPr="002D79FD">
        <w:rPr>
          <w:rStyle w:val="FootnoteReference"/>
          <w:rFonts w:cs="Times New Roman"/>
        </w:rPr>
        <w:footnoteRef/>
      </w:r>
      <w:r w:rsidR="00866653" w:rsidRPr="00866653">
        <w:rPr>
          <w:rFonts w:cs="Times New Roman"/>
          <w:lang w:val="en-GB"/>
        </w:rPr>
        <w:t xml:space="preserve"> It should be noted that phenomena of mandated self-regulation are not always distinguishable from co-regulation.</w:t>
      </w:r>
    </w:p>
  </w:footnote>
  <w:footnote w:id="140">
    <w:p w14:paraId="2A300597" w14:textId="55D3904E" w:rsidR="00C13D62" w:rsidRPr="003F4B82" w:rsidRDefault="00C13D62" w:rsidP="00C1129C">
      <w:pPr>
        <w:pStyle w:val="FootnoteText"/>
        <w:spacing w:line="480" w:lineRule="auto"/>
        <w:jc w:val="both"/>
        <w:rPr>
          <w:rFonts w:cs="Times New Roman"/>
          <w:lang w:val="en-GB"/>
        </w:rPr>
      </w:pPr>
      <w:r w:rsidRPr="002D79FD">
        <w:rPr>
          <w:rStyle w:val="FootnoteReference"/>
          <w:rFonts w:cs="Times New Roman"/>
        </w:rPr>
        <w:footnoteRef/>
      </w:r>
      <w:r w:rsidRPr="00CE238C">
        <w:rPr>
          <w:rFonts w:cs="Times New Roman"/>
        </w:rPr>
        <w:t xml:space="preserve"> Sousa &amp; Fidalgo</w:t>
      </w:r>
      <w:r w:rsidR="00A72790" w:rsidRPr="00CE238C">
        <w:rPr>
          <w:rFonts w:cs="Times New Roman"/>
        </w:rPr>
        <w:t xml:space="preserve"> </w:t>
      </w:r>
      <w:r w:rsidRPr="00CE238C">
        <w:rPr>
          <w:rFonts w:cs="Times New Roman"/>
        </w:rPr>
        <w:t>(2007)</w:t>
      </w:r>
      <w:r w:rsidR="00A72790" w:rsidRPr="00CE238C">
        <w:rPr>
          <w:rFonts w:cs="Times New Roman"/>
        </w:rPr>
        <w:t xml:space="preserve"> 10.</w:t>
      </w:r>
      <w:r w:rsidR="00CE238C" w:rsidRPr="00CE238C">
        <w:rPr>
          <w:rFonts w:cs="Times New Roman"/>
        </w:rPr>
        <w:t xml:space="preserve"> </w:t>
      </w:r>
      <w:r w:rsidR="00CE238C" w:rsidRPr="00CE238C">
        <w:t xml:space="preserve">Castro, R. (2014). </w:t>
      </w:r>
      <w:r w:rsidR="00CE238C" w:rsidRPr="00BD3B07">
        <w:rPr>
          <w:i/>
          <w:iCs/>
        </w:rPr>
        <w:t>Constituição, Lei e Regulação dos Media: Contributo para o Estudo da Constituição Portuguesa da Comunicação</w:t>
      </w:r>
      <w:r w:rsidR="00CE238C">
        <w:t xml:space="preserve">. </w:t>
      </w:r>
      <w:r w:rsidR="00CE238C" w:rsidRPr="00B73183">
        <w:rPr>
          <w:lang w:val="en-GB"/>
        </w:rPr>
        <w:t xml:space="preserve">PhD Thesis. </w:t>
      </w:r>
      <w:r w:rsidR="00CE238C" w:rsidRPr="00DE1C54">
        <w:rPr>
          <w:lang w:val="en-GB"/>
        </w:rPr>
        <w:t xml:space="preserve">Universidade de Lisboa, </w:t>
      </w:r>
      <w:r w:rsidR="00B73183" w:rsidRPr="00DE1C54">
        <w:rPr>
          <w:lang w:val="en-GB"/>
        </w:rPr>
        <w:t>303</w:t>
      </w:r>
      <w:r w:rsidR="00AB4217" w:rsidRPr="00DE1C54">
        <w:rPr>
          <w:lang w:val="en-GB"/>
        </w:rPr>
        <w:t xml:space="preserve"> ss</w:t>
      </w:r>
      <w:r w:rsidR="00B73183" w:rsidRPr="00DE1C54">
        <w:rPr>
          <w:lang w:val="en-GB"/>
        </w:rPr>
        <w:t>, defends that</w:t>
      </w:r>
      <w:r w:rsidR="00132CDF" w:rsidRPr="00DE1C54">
        <w:rPr>
          <w:lang w:val="en-GB"/>
        </w:rPr>
        <w:t xml:space="preserve"> the media regulation has a dual nature. </w:t>
      </w:r>
      <w:r w:rsidR="00132CDF" w:rsidRPr="00132CDF">
        <w:t xml:space="preserve">Also, Prata Roque Prata Roque, M. (2009). </w:t>
      </w:r>
      <w:r w:rsidR="00132CDF" w:rsidRPr="003D78F0">
        <w:t>Os poderes sancionatórios da ERC – Entidade Reguladora para a C</w:t>
      </w:r>
      <w:r w:rsidR="00132CDF">
        <w:t>omunicação Social. In M. F. Palma, et al</w:t>
      </w:r>
      <w:r w:rsidR="00696E27">
        <w:t>.</w:t>
      </w:r>
      <w:r w:rsidR="00132CDF">
        <w:t xml:space="preserve"> (coord.) </w:t>
      </w:r>
      <w:r w:rsidR="00132CDF" w:rsidRPr="00696E27">
        <w:rPr>
          <w:i/>
          <w:iCs/>
        </w:rPr>
        <w:t>Direito Sancionatório das Entidades Reguladoras</w:t>
      </w:r>
      <w:r w:rsidR="00132CDF">
        <w:t xml:space="preserve">. </w:t>
      </w:r>
      <w:r w:rsidR="00132CDF" w:rsidRPr="00DE1C54">
        <w:rPr>
          <w:lang w:val="en-GB"/>
        </w:rPr>
        <w:t xml:space="preserve">Coimbra Editora, </w:t>
      </w:r>
      <w:r w:rsidR="00696E27" w:rsidRPr="00DE1C54">
        <w:rPr>
          <w:lang w:val="en-GB"/>
        </w:rPr>
        <w:t>387-388.</w:t>
      </w:r>
    </w:p>
  </w:footnote>
  <w:footnote w:id="141">
    <w:p w14:paraId="3965D81B" w14:textId="788EF6B8" w:rsidR="005C72E8" w:rsidRPr="00C23B74" w:rsidRDefault="005C72E8" w:rsidP="00C1129C">
      <w:pPr>
        <w:pStyle w:val="FootnoteText"/>
        <w:spacing w:line="480" w:lineRule="auto"/>
        <w:jc w:val="both"/>
        <w:rPr>
          <w:rFonts w:cs="Times New Roman"/>
          <w:lang w:val="en-GB"/>
        </w:rPr>
      </w:pPr>
      <w:r w:rsidRPr="002D79FD">
        <w:rPr>
          <w:rStyle w:val="FootnoteReference"/>
          <w:rFonts w:cs="Times New Roman"/>
        </w:rPr>
        <w:footnoteRef/>
      </w:r>
      <w:r w:rsidRPr="00C23B74">
        <w:rPr>
          <w:rFonts w:cs="Times New Roman"/>
          <w:lang w:val="en-GB"/>
        </w:rPr>
        <w:t xml:space="preserve"> </w:t>
      </w:r>
      <w:r w:rsidR="00C23B74" w:rsidRPr="00C23B74">
        <w:rPr>
          <w:rFonts w:cs="Times New Roman"/>
          <w:lang w:val="en-GB"/>
        </w:rPr>
        <w:t xml:space="preserve">In the Portuguese context, in addition to the ERC, the National Communications Authority (ANACOM) must also be </w:t>
      </w:r>
      <w:r w:rsidR="00C23B74" w:rsidRPr="00C23B74">
        <w:rPr>
          <w:rFonts w:cs="Times New Roman"/>
          <w:lang w:val="en-GB"/>
        </w:rPr>
        <w:t>taken into account in matters relating to the media, with jurisdiction in the communications sector, namely in the allocation, modification, or revocation of frequencies. However, as ANACOM's powers focus on transmissions (and what they entail) and network regulation, while those of the ERC focus on the content of communications, we will only deal with the ERC here.</w:t>
      </w:r>
      <w:r w:rsidR="000C7767">
        <w:rPr>
          <w:rFonts w:cs="Times New Roman"/>
          <w:lang w:val="en-GB"/>
        </w:rPr>
        <w:t xml:space="preserve"> On th</w:t>
      </w:r>
      <w:r w:rsidR="003D006C">
        <w:rPr>
          <w:rFonts w:cs="Times New Roman"/>
          <w:lang w:val="en-GB"/>
        </w:rPr>
        <w:t>is dual-headed regulation of the Meia and the relation between the two Authorities, Castro (</w:t>
      </w:r>
      <w:r w:rsidR="0073213C">
        <w:rPr>
          <w:rFonts w:cs="Times New Roman"/>
          <w:lang w:val="en-GB"/>
        </w:rPr>
        <w:t>2014) 352 ss.</w:t>
      </w:r>
    </w:p>
  </w:footnote>
  <w:footnote w:id="142">
    <w:p w14:paraId="2336BFCC" w14:textId="0407D81A" w:rsidR="00AC10FC" w:rsidRPr="00DE1C54" w:rsidRDefault="00AC10FC" w:rsidP="00C1129C">
      <w:pPr>
        <w:pStyle w:val="FootnoteText"/>
        <w:spacing w:line="480" w:lineRule="auto"/>
        <w:jc w:val="both"/>
        <w:rPr>
          <w:rFonts w:cs="Times New Roman"/>
        </w:rPr>
      </w:pPr>
      <w:r w:rsidRPr="002D79FD">
        <w:rPr>
          <w:rStyle w:val="FootnoteReference"/>
          <w:rFonts w:cs="Times New Roman"/>
        </w:rPr>
        <w:footnoteRef/>
      </w:r>
      <w:r w:rsidRPr="00DE1C54">
        <w:rPr>
          <w:rFonts w:cs="Times New Roman"/>
        </w:rPr>
        <w:t xml:space="preserve"> Santos Silva (20</w:t>
      </w:r>
      <w:r w:rsidR="008B328F" w:rsidRPr="00DE1C54">
        <w:rPr>
          <w:rFonts w:cs="Times New Roman"/>
        </w:rPr>
        <w:t>07) 26.</w:t>
      </w:r>
    </w:p>
  </w:footnote>
  <w:footnote w:id="143">
    <w:p w14:paraId="33A2107A" w14:textId="6B34E3EF" w:rsidR="00FE500C" w:rsidRDefault="00FE500C" w:rsidP="00C1129C">
      <w:pPr>
        <w:pStyle w:val="FootnoteText"/>
        <w:spacing w:line="480" w:lineRule="auto"/>
        <w:jc w:val="both"/>
      </w:pPr>
      <w:r>
        <w:rPr>
          <w:rStyle w:val="FootnoteReference"/>
        </w:rPr>
        <w:footnoteRef/>
      </w:r>
      <w:r>
        <w:t xml:space="preserve"> </w:t>
      </w:r>
      <w:r w:rsidRPr="002D79FD">
        <w:rPr>
          <w:rFonts w:cs="Times New Roman"/>
        </w:rPr>
        <w:t>Conselho Deontológico do Sindicato dos Jornalistas</w:t>
      </w:r>
      <w:r>
        <w:rPr>
          <w:rFonts w:cs="Times New Roman"/>
        </w:rPr>
        <w:t xml:space="preserve"> in Portuguese.</w:t>
      </w:r>
    </w:p>
  </w:footnote>
  <w:footnote w:id="144">
    <w:p w14:paraId="56EA9B53" w14:textId="01B96793" w:rsidR="00DF35F4" w:rsidRPr="002D79FD" w:rsidRDefault="00DF35F4"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w:t>
      </w:r>
      <w:r w:rsidR="005E02D3" w:rsidRPr="002D79FD">
        <w:rPr>
          <w:rFonts w:cs="Times New Roman"/>
        </w:rPr>
        <w:t xml:space="preserve">Martins, C. (2013). </w:t>
      </w:r>
      <w:r w:rsidR="00E00BFF" w:rsidRPr="002D79FD">
        <w:rPr>
          <w:rFonts w:cs="Times New Roman"/>
        </w:rPr>
        <w:t xml:space="preserve">A intervenção da ERC e os deveres dos jornalistas. </w:t>
      </w:r>
      <w:r w:rsidR="00E00BFF" w:rsidRPr="002D79FD">
        <w:rPr>
          <w:rFonts w:cs="Times New Roman"/>
          <w:lang w:val="en-GB"/>
        </w:rPr>
        <w:t xml:space="preserve">In </w:t>
      </w:r>
      <w:r w:rsidR="00E00BFF" w:rsidRPr="002D79FD">
        <w:rPr>
          <w:rFonts w:cs="Times New Roman"/>
          <w:i/>
          <w:iCs/>
          <w:lang w:val="en-GB"/>
        </w:rPr>
        <w:t>Policy and Regulation: Activating Voices, Illuminating Silences</w:t>
      </w:r>
      <w:r w:rsidR="00E00BFF" w:rsidRPr="002D79FD">
        <w:rPr>
          <w:rFonts w:cs="Times New Roman"/>
          <w:lang w:val="en-GB"/>
        </w:rPr>
        <w:t xml:space="preserve">. University of Minho - Communication and Society Research Centre (CECS), </w:t>
      </w:r>
      <w:r w:rsidR="005E02D3" w:rsidRPr="002D79FD">
        <w:rPr>
          <w:rFonts w:cs="Times New Roman"/>
          <w:lang w:val="en-GB"/>
        </w:rPr>
        <w:t>327.</w:t>
      </w:r>
    </w:p>
  </w:footnote>
  <w:footnote w:id="145">
    <w:p w14:paraId="5C01D509" w14:textId="04C2907B" w:rsidR="00B66AB4" w:rsidRPr="002D79FD" w:rsidRDefault="00B66AB4"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85623F" w:rsidRPr="002D79FD">
        <w:rPr>
          <w:rFonts w:cs="Times New Roman"/>
        </w:rPr>
        <w:t>Santos de Miranda (2018)</w:t>
      </w:r>
      <w:r w:rsidR="00C0797F" w:rsidRPr="002D79FD">
        <w:rPr>
          <w:rFonts w:cs="Times New Roman"/>
        </w:rPr>
        <w:t xml:space="preserve"> 261</w:t>
      </w:r>
      <w:r w:rsidR="00AE57D0" w:rsidRPr="002D79FD">
        <w:rPr>
          <w:rFonts w:cs="Times New Roman"/>
        </w:rPr>
        <w:t xml:space="preserve">; </w:t>
      </w:r>
      <w:r w:rsidR="00587870" w:rsidRPr="002D79FD">
        <w:rPr>
          <w:rFonts w:cs="Times New Roman"/>
        </w:rPr>
        <w:t>Fidalgo (2006) 488-489.</w:t>
      </w:r>
    </w:p>
  </w:footnote>
  <w:footnote w:id="146">
    <w:p w14:paraId="3DC323EC" w14:textId="21BB0B84" w:rsidR="00891AE6" w:rsidRPr="002D79FD" w:rsidRDefault="00891AE6"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Popular proverb popularized by Spider-Man comics.</w:t>
      </w:r>
    </w:p>
  </w:footnote>
  <w:footnote w:id="147">
    <w:p w14:paraId="7A5472D8" w14:textId="54A6D898" w:rsidR="001F5E13" w:rsidRPr="002D79FD" w:rsidRDefault="001F5E13" w:rsidP="00C1129C">
      <w:pPr>
        <w:pStyle w:val="FootnoteText"/>
        <w:spacing w:line="480" w:lineRule="auto"/>
        <w:jc w:val="both"/>
        <w:rPr>
          <w:rFonts w:cs="Times New Roman"/>
          <w:lang w:val="it-IT"/>
        </w:rPr>
      </w:pPr>
      <w:r w:rsidRPr="002D79FD">
        <w:rPr>
          <w:rStyle w:val="FootnoteReference"/>
          <w:rFonts w:cs="Times New Roman"/>
        </w:rPr>
        <w:footnoteRef/>
      </w:r>
      <w:r w:rsidRPr="002D79FD">
        <w:rPr>
          <w:rFonts w:cs="Times New Roman"/>
          <w:lang w:val="en-GB"/>
        </w:rPr>
        <w:t xml:space="preserve"> </w:t>
      </w:r>
      <w:r w:rsidR="00CC34E4" w:rsidRPr="002D79FD">
        <w:rPr>
          <w:rFonts w:cs="Times New Roman"/>
          <w:lang w:val="en-GB"/>
        </w:rPr>
        <w:t xml:space="preserve">Gilardi, F., &amp; Maggetti, M. (2010). </w:t>
      </w:r>
      <w:r w:rsidRPr="002D79FD">
        <w:rPr>
          <w:rFonts w:cs="Times New Roman"/>
          <w:i/>
          <w:iCs/>
          <w:lang w:val="en-GB"/>
        </w:rPr>
        <w:t>The independence of regulatory authorities</w:t>
      </w:r>
      <w:r w:rsidR="00CC34E4" w:rsidRPr="002D79FD">
        <w:rPr>
          <w:rFonts w:cs="Times New Roman"/>
          <w:lang w:val="en-GB"/>
        </w:rPr>
        <w:t>.</w:t>
      </w:r>
      <w:r w:rsidR="005424A7" w:rsidRPr="002D79FD">
        <w:rPr>
          <w:rFonts w:cs="Times New Roman"/>
          <w:lang w:val="en-GB"/>
        </w:rPr>
        <w:t xml:space="preserve"> </w:t>
      </w:r>
      <w:r w:rsidR="00EE4E6B" w:rsidRPr="002D79FD">
        <w:rPr>
          <w:rFonts w:cs="Times New Roman"/>
          <w:lang w:val="it-IT"/>
        </w:rPr>
        <w:t>3-5</w:t>
      </w:r>
      <w:r w:rsidR="004355EE" w:rsidRPr="002D79FD">
        <w:rPr>
          <w:rFonts w:cs="Times New Roman"/>
          <w:lang w:val="it-IT"/>
        </w:rPr>
        <w:t xml:space="preserve">. </w:t>
      </w:r>
      <w:hyperlink r:id="rId13" w:history="1">
        <w:r w:rsidR="004355EE" w:rsidRPr="002D79FD">
          <w:rPr>
            <w:rStyle w:val="Hyperlink"/>
            <w:rFonts w:cs="Times New Roman"/>
            <w:lang w:val="it-IT"/>
          </w:rPr>
          <w:t>https://www.fabriziogilardi.org/resources/papers/gilardi_maggetti_handbook.pdf</w:t>
        </w:r>
      </w:hyperlink>
      <w:r w:rsidR="005424A7" w:rsidRPr="002D79FD">
        <w:rPr>
          <w:rFonts w:cs="Times New Roman"/>
          <w:lang w:val="it-IT"/>
        </w:rPr>
        <w:t xml:space="preserve"> </w:t>
      </w:r>
    </w:p>
  </w:footnote>
  <w:footnote w:id="148">
    <w:p w14:paraId="395DFDAA" w14:textId="0D9D35AA" w:rsidR="004A399E" w:rsidRPr="002D79FD" w:rsidRDefault="004A399E"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it-IT"/>
        </w:rPr>
        <w:t xml:space="preserve"> </w:t>
      </w:r>
      <w:r w:rsidR="00DD287E" w:rsidRPr="002D79FD">
        <w:rPr>
          <w:rFonts w:cs="Times New Roman"/>
          <w:lang w:val="it-IT"/>
        </w:rPr>
        <w:t xml:space="preserve">Quintyn, M., et al. </w:t>
      </w:r>
      <w:r w:rsidR="00DD287E" w:rsidRPr="002D79FD">
        <w:rPr>
          <w:rFonts w:cs="Times New Roman"/>
          <w:lang w:val="en-GB"/>
        </w:rPr>
        <w:t>(2007). The Fear of Freedom: Politicians and the Independence and Accountability of Financial Sector Supervisors. IMF Working Paper No. 07/25, Available at SSRN: </w:t>
      </w:r>
      <w:hyperlink r:id="rId14" w:tgtFrame="_blank" w:history="1">
        <w:r w:rsidR="00DD287E" w:rsidRPr="002D79FD">
          <w:rPr>
            <w:rStyle w:val="Hyperlink"/>
            <w:rFonts w:cs="Times New Roman"/>
            <w:lang w:val="en-GB"/>
          </w:rPr>
          <w:t>https://ssrn.com/abstract=961755</w:t>
        </w:r>
      </w:hyperlink>
      <w:r w:rsidR="00BC51C2" w:rsidRPr="002D79FD">
        <w:rPr>
          <w:rFonts w:cs="Times New Roman"/>
          <w:lang w:val="en-GB"/>
        </w:rPr>
        <w:t xml:space="preserve"> Gilardi &amp; Maggetti (2010) 5, present similar dimensions.</w:t>
      </w:r>
    </w:p>
  </w:footnote>
  <w:footnote w:id="149">
    <w:p w14:paraId="272F70AD" w14:textId="4E687A3A" w:rsidR="003F4B82" w:rsidRPr="005075DD" w:rsidRDefault="003F4B82" w:rsidP="00C1129C">
      <w:pPr>
        <w:pStyle w:val="FootnoteText"/>
        <w:spacing w:line="480" w:lineRule="auto"/>
        <w:jc w:val="both"/>
        <w:rPr>
          <w:lang w:val="en-GB"/>
        </w:rPr>
      </w:pPr>
      <w:r>
        <w:rPr>
          <w:rStyle w:val="FootnoteReference"/>
        </w:rPr>
        <w:footnoteRef/>
      </w:r>
      <w:r w:rsidRPr="005075DD">
        <w:rPr>
          <w:lang w:val="en-GB"/>
        </w:rPr>
        <w:t xml:space="preserve"> </w:t>
      </w:r>
      <w:r w:rsidR="005075DD" w:rsidRPr="005075DD">
        <w:rPr>
          <w:lang w:val="en-GB"/>
        </w:rPr>
        <w:t>For this reason, Cast</w:t>
      </w:r>
      <w:r w:rsidR="005075DD">
        <w:rPr>
          <w:lang w:val="en-GB"/>
        </w:rPr>
        <w:t>r</w:t>
      </w:r>
      <w:r w:rsidR="00CE238C">
        <w:rPr>
          <w:lang w:val="en-GB"/>
        </w:rPr>
        <w:t xml:space="preserve">o </w:t>
      </w:r>
      <w:r w:rsidR="005075DD">
        <w:rPr>
          <w:lang w:val="en-GB"/>
        </w:rPr>
        <w:t>(2014)</w:t>
      </w:r>
      <w:r w:rsidR="00CE238C">
        <w:rPr>
          <w:lang w:val="en-GB"/>
        </w:rPr>
        <w:t xml:space="preserve"> </w:t>
      </w:r>
      <w:r w:rsidR="00890187">
        <w:rPr>
          <w:lang w:val="en-GB"/>
        </w:rPr>
        <w:t>300, considers that in 2004 the Authority was “</w:t>
      </w:r>
      <w:r w:rsidR="00890187">
        <w:rPr>
          <w:lang w:val="en-GB"/>
        </w:rPr>
        <w:t xml:space="preserve">deconstitutionalized”. </w:t>
      </w:r>
    </w:p>
  </w:footnote>
  <w:footnote w:id="150">
    <w:p w14:paraId="065BC632" w14:textId="7EF558C2" w:rsidR="00696A93" w:rsidRPr="003F4B82" w:rsidRDefault="00696A93" w:rsidP="00C1129C">
      <w:pPr>
        <w:pStyle w:val="FootnoteText"/>
        <w:spacing w:line="480" w:lineRule="auto"/>
        <w:jc w:val="both"/>
        <w:rPr>
          <w:rFonts w:cs="Times New Roman"/>
          <w:lang w:val="en-GB"/>
        </w:rPr>
      </w:pPr>
      <w:r w:rsidRPr="002D79FD">
        <w:rPr>
          <w:rStyle w:val="FootnoteReference"/>
          <w:rFonts w:cs="Times New Roman"/>
        </w:rPr>
        <w:footnoteRef/>
      </w:r>
      <w:r w:rsidRPr="00DE1C54">
        <w:rPr>
          <w:rFonts w:cs="Times New Roman"/>
        </w:rPr>
        <w:t xml:space="preserve"> </w:t>
      </w:r>
      <w:r w:rsidR="005E3A14" w:rsidRPr="00DE1C54">
        <w:rPr>
          <w:rFonts w:cs="Times New Roman"/>
        </w:rPr>
        <w:t xml:space="preserve">Miranda, J., &amp; Camponez, C. (2017). </w:t>
      </w:r>
      <w:r w:rsidR="005E3A14" w:rsidRPr="002D79FD">
        <w:rPr>
          <w:rFonts w:cs="Times New Roman"/>
        </w:rPr>
        <w:t xml:space="preserve">As temáticas da regulação do jornalismo português: análise às deliberações da AACS e ERC. </w:t>
      </w:r>
      <w:r w:rsidR="005E3A14" w:rsidRPr="003F4B82">
        <w:rPr>
          <w:rFonts w:cs="Times New Roman"/>
          <w:i/>
          <w:iCs/>
          <w:lang w:val="en-GB"/>
        </w:rPr>
        <w:t>Observatorio (OBS*)</w:t>
      </w:r>
      <w:r w:rsidR="005E3A14" w:rsidRPr="003F4B82">
        <w:rPr>
          <w:rFonts w:cs="Times New Roman"/>
          <w:lang w:val="en-GB"/>
        </w:rPr>
        <w:t xml:space="preserve">, </w:t>
      </w:r>
      <w:r w:rsidR="005E3A14" w:rsidRPr="003F4B82">
        <w:rPr>
          <w:rFonts w:cs="Times New Roman"/>
          <w:i/>
          <w:iCs/>
          <w:lang w:val="en-GB"/>
        </w:rPr>
        <w:t>11</w:t>
      </w:r>
      <w:r w:rsidR="005E3A14" w:rsidRPr="003F4B82">
        <w:rPr>
          <w:rFonts w:cs="Times New Roman"/>
          <w:lang w:val="en-GB"/>
        </w:rPr>
        <w:t>(4), 20</w:t>
      </w:r>
      <w:r w:rsidR="00BA4FF4" w:rsidRPr="003F4B82">
        <w:rPr>
          <w:rFonts w:cs="Times New Roman"/>
          <w:lang w:val="en-GB"/>
        </w:rPr>
        <w:t>2</w:t>
      </w:r>
      <w:r w:rsidR="005E3A14" w:rsidRPr="003F4B82">
        <w:rPr>
          <w:rFonts w:cs="Times New Roman"/>
          <w:lang w:val="en-GB"/>
        </w:rPr>
        <w:t>.</w:t>
      </w:r>
    </w:p>
  </w:footnote>
  <w:footnote w:id="151">
    <w:p w14:paraId="3D0F4FE8" w14:textId="7575163E" w:rsidR="00211B8B" w:rsidRPr="00A9358A" w:rsidRDefault="00211B8B" w:rsidP="00C1129C">
      <w:pPr>
        <w:pStyle w:val="FootnoteText"/>
        <w:spacing w:line="480" w:lineRule="auto"/>
        <w:jc w:val="both"/>
        <w:rPr>
          <w:rFonts w:cs="Times New Roman"/>
          <w:lang w:val="en-GB"/>
        </w:rPr>
      </w:pPr>
      <w:r w:rsidRPr="002D79FD">
        <w:rPr>
          <w:rStyle w:val="FootnoteReference"/>
          <w:rFonts w:cs="Times New Roman"/>
        </w:rPr>
        <w:footnoteRef/>
      </w:r>
      <w:r w:rsidRPr="00A9358A">
        <w:rPr>
          <w:rFonts w:cs="Times New Roman"/>
          <w:lang w:val="en-GB"/>
        </w:rPr>
        <w:t xml:space="preserve"> </w:t>
      </w:r>
      <w:r w:rsidR="00A9358A" w:rsidRPr="00A9358A">
        <w:rPr>
          <w:rFonts w:cs="Times New Roman"/>
          <w:lang w:val="en-GB"/>
        </w:rPr>
        <w:t xml:space="preserve">Articles 24 and 25 of the ERC Statutes, with the powers of the chair being mainly representative and organizational, in accordance with Article 26(1) of the Statutes, whereby the chair (or their substitute) may, in cases of justified urgency, perform any acts within the competence of the regulatory council, which must, however, be subject to ratification at the next ordinary meeting of the </w:t>
      </w:r>
      <w:r w:rsidR="00A9358A">
        <w:rPr>
          <w:rFonts w:cs="Times New Roman"/>
          <w:lang w:val="en-GB"/>
        </w:rPr>
        <w:t>C</w:t>
      </w:r>
      <w:r w:rsidR="00A9358A" w:rsidRPr="00A9358A">
        <w:rPr>
          <w:rFonts w:cs="Times New Roman"/>
          <w:lang w:val="en-GB"/>
        </w:rPr>
        <w:t>ouncil</w:t>
      </w:r>
      <w:r w:rsidRPr="00A9358A">
        <w:rPr>
          <w:rFonts w:cs="Times New Roman"/>
          <w:lang w:val="en-GB"/>
        </w:rPr>
        <w:t>.</w:t>
      </w:r>
    </w:p>
  </w:footnote>
  <w:footnote w:id="152">
    <w:p w14:paraId="4503B113" w14:textId="6BAF42E1" w:rsidR="00B8609B" w:rsidRPr="00EE3946" w:rsidRDefault="00B8609B" w:rsidP="00C1129C">
      <w:pPr>
        <w:pStyle w:val="FootnoteText"/>
        <w:spacing w:line="480" w:lineRule="auto"/>
        <w:jc w:val="both"/>
        <w:rPr>
          <w:rFonts w:cs="Times New Roman"/>
          <w:lang w:val="en-GB"/>
        </w:rPr>
      </w:pPr>
      <w:r w:rsidRPr="002D79FD">
        <w:rPr>
          <w:rStyle w:val="FootnoteReference"/>
          <w:rFonts w:cs="Times New Roman"/>
        </w:rPr>
        <w:footnoteRef/>
      </w:r>
      <w:r w:rsidRPr="00EE3946">
        <w:rPr>
          <w:rFonts w:cs="Times New Roman"/>
          <w:lang w:val="en-GB"/>
        </w:rPr>
        <w:t xml:space="preserve"> A</w:t>
      </w:r>
      <w:r w:rsidR="00ED7BB7" w:rsidRPr="00EE3946">
        <w:rPr>
          <w:rFonts w:cs="Times New Roman"/>
          <w:lang w:val="en-GB"/>
        </w:rPr>
        <w:t>rti</w:t>
      </w:r>
      <w:r w:rsidR="00EE3946" w:rsidRPr="00EE3946">
        <w:rPr>
          <w:rFonts w:cs="Times New Roman"/>
          <w:lang w:val="en-GB"/>
        </w:rPr>
        <w:t>cle</w:t>
      </w:r>
      <w:r w:rsidR="00ED7BB7" w:rsidRPr="00EE3946">
        <w:rPr>
          <w:rFonts w:cs="Times New Roman"/>
          <w:lang w:val="en-GB"/>
        </w:rPr>
        <w:t xml:space="preserve"> 1</w:t>
      </w:r>
      <w:r w:rsidR="00566A78">
        <w:rPr>
          <w:rFonts w:cs="Times New Roman"/>
          <w:lang w:val="en-GB"/>
        </w:rPr>
        <w:t>7(</w:t>
      </w:r>
      <w:r w:rsidR="00ED7BB7" w:rsidRPr="00EE3946">
        <w:rPr>
          <w:rFonts w:cs="Times New Roman"/>
          <w:lang w:val="en-GB"/>
        </w:rPr>
        <w:t>2</w:t>
      </w:r>
      <w:r w:rsidR="00EE3946" w:rsidRPr="00EE3946">
        <w:rPr>
          <w:rFonts w:cs="Times New Roman"/>
          <w:lang w:val="en-GB"/>
        </w:rPr>
        <w:t>)</w:t>
      </w:r>
      <w:r w:rsidR="00ED7BB7" w:rsidRPr="00EE3946">
        <w:rPr>
          <w:rFonts w:cs="Times New Roman"/>
          <w:lang w:val="en-GB"/>
        </w:rPr>
        <w:t xml:space="preserve">, </w:t>
      </w:r>
      <w:r w:rsidR="00EE3946" w:rsidRPr="00EE3946">
        <w:rPr>
          <w:rFonts w:cs="Times New Roman"/>
          <w:lang w:val="en-GB"/>
        </w:rPr>
        <w:t>(</w:t>
      </w:r>
      <w:r w:rsidR="00ED7BB7" w:rsidRPr="00EE3946">
        <w:rPr>
          <w:rFonts w:cs="Times New Roman"/>
          <w:lang w:val="en-GB"/>
        </w:rPr>
        <w:t>3</w:t>
      </w:r>
      <w:r w:rsidR="00EE3946" w:rsidRPr="00EE3946">
        <w:rPr>
          <w:rFonts w:cs="Times New Roman"/>
          <w:lang w:val="en-GB"/>
        </w:rPr>
        <w:t>)</w:t>
      </w:r>
      <w:r w:rsidR="00ED7BB7" w:rsidRPr="00EE3946">
        <w:rPr>
          <w:rFonts w:cs="Times New Roman"/>
          <w:lang w:val="en-GB"/>
        </w:rPr>
        <w:t xml:space="preserve"> </w:t>
      </w:r>
      <w:r w:rsidR="00EE3946" w:rsidRPr="00EE3946">
        <w:rPr>
          <w:rFonts w:cs="Times New Roman"/>
          <w:lang w:val="en-GB"/>
        </w:rPr>
        <w:t>and</w:t>
      </w:r>
      <w:r w:rsidR="00ED7BB7" w:rsidRPr="00EE3946">
        <w:rPr>
          <w:rFonts w:cs="Times New Roman"/>
          <w:lang w:val="en-GB"/>
        </w:rPr>
        <w:t xml:space="preserve"> </w:t>
      </w:r>
      <w:r w:rsidR="00EE3946" w:rsidRPr="00EE3946">
        <w:rPr>
          <w:rFonts w:cs="Times New Roman"/>
          <w:lang w:val="en-GB"/>
        </w:rPr>
        <w:t>(</w:t>
      </w:r>
      <w:r w:rsidR="00ED7BB7" w:rsidRPr="00EE3946">
        <w:rPr>
          <w:rFonts w:cs="Times New Roman"/>
          <w:lang w:val="en-GB"/>
        </w:rPr>
        <w:t>4</w:t>
      </w:r>
      <w:r w:rsidR="00EE3946" w:rsidRPr="00EE3946">
        <w:rPr>
          <w:rFonts w:cs="Times New Roman"/>
          <w:lang w:val="en-GB"/>
        </w:rPr>
        <w:t>)</w:t>
      </w:r>
      <w:r w:rsidR="00ED7BB7" w:rsidRPr="00EE3946">
        <w:rPr>
          <w:rFonts w:cs="Times New Roman"/>
          <w:lang w:val="en-GB"/>
        </w:rPr>
        <w:t xml:space="preserve"> </w:t>
      </w:r>
      <w:r w:rsidR="00EE3946" w:rsidRPr="00EE3946">
        <w:rPr>
          <w:rFonts w:cs="Times New Roman"/>
          <w:lang w:val="en-GB"/>
        </w:rPr>
        <w:t>of Law No.</w:t>
      </w:r>
      <w:r w:rsidR="00ED7BB7" w:rsidRPr="00EE3946">
        <w:rPr>
          <w:rFonts w:cs="Times New Roman"/>
          <w:lang w:val="en-GB"/>
        </w:rPr>
        <w:t xml:space="preserve"> 67/2013.</w:t>
      </w:r>
    </w:p>
  </w:footnote>
  <w:footnote w:id="153">
    <w:p w14:paraId="3676B695" w14:textId="7E8DA10C" w:rsidR="000E5E2D" w:rsidRPr="00DE1C54" w:rsidRDefault="000E5E2D"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Arons de Carvalho, </w:t>
      </w:r>
      <w:r w:rsidR="00204288" w:rsidRPr="002D79FD">
        <w:rPr>
          <w:rFonts w:cs="Times New Roman"/>
        </w:rPr>
        <w:t>A. (2014). ERC: necessária e independente?</w:t>
      </w:r>
      <w:r w:rsidR="00204288" w:rsidRPr="002D79FD">
        <w:rPr>
          <w:rFonts w:cs="Times New Roman"/>
          <w:i/>
          <w:iCs/>
        </w:rPr>
        <w:t xml:space="preserve"> Público, 22.02</w:t>
      </w:r>
      <w:r w:rsidR="00A17C41" w:rsidRPr="002D79FD">
        <w:rPr>
          <w:rFonts w:cs="Times New Roman"/>
          <w:i/>
          <w:iCs/>
        </w:rPr>
        <w:t>.2014</w:t>
      </w:r>
      <w:r w:rsidR="007F7CC4" w:rsidRPr="002D79FD">
        <w:rPr>
          <w:rFonts w:cs="Times New Roman"/>
          <w:i/>
          <w:iCs/>
        </w:rPr>
        <w:t xml:space="preserve">; </w:t>
      </w:r>
      <w:r w:rsidR="007F7CC4" w:rsidRPr="002D79FD">
        <w:rPr>
          <w:rFonts w:cs="Times New Roman"/>
        </w:rPr>
        <w:t xml:space="preserve">Arons de Carvalho, A. (2017). </w:t>
      </w:r>
      <w:r w:rsidR="007F7CC4" w:rsidRPr="00DE1C54">
        <w:rPr>
          <w:rFonts w:cs="Times New Roman"/>
          <w:lang w:val="en-GB"/>
        </w:rPr>
        <w:t xml:space="preserve">A </w:t>
      </w:r>
      <w:r w:rsidR="007F7CC4" w:rsidRPr="00DE1C54">
        <w:rPr>
          <w:rFonts w:cs="Times New Roman"/>
          <w:lang w:val="en-GB"/>
        </w:rPr>
        <w:t>independência da regulação da comunicação social.</w:t>
      </w:r>
      <w:r w:rsidR="007F7CC4" w:rsidRPr="00DE1C54">
        <w:rPr>
          <w:rFonts w:cs="Times New Roman"/>
          <w:i/>
          <w:iCs/>
          <w:lang w:val="en-GB"/>
        </w:rPr>
        <w:t xml:space="preserve"> Público, 25.01.2017.</w:t>
      </w:r>
    </w:p>
  </w:footnote>
  <w:footnote w:id="154">
    <w:p w14:paraId="00822BB3" w14:textId="47A10455" w:rsidR="004B335B" w:rsidRPr="007218CA" w:rsidRDefault="004B335B" w:rsidP="00C1129C">
      <w:pPr>
        <w:pStyle w:val="FootnoteText"/>
        <w:spacing w:line="480" w:lineRule="auto"/>
        <w:jc w:val="both"/>
      </w:pPr>
      <w:r>
        <w:rPr>
          <w:rStyle w:val="FootnoteReference"/>
        </w:rPr>
        <w:footnoteRef/>
      </w:r>
      <w:r w:rsidRPr="004B335B">
        <w:rPr>
          <w:lang w:val="en-GB"/>
        </w:rPr>
        <w:t xml:space="preserve"> This practice shows that t</w:t>
      </w:r>
      <w:r>
        <w:rPr>
          <w:lang w:val="en-GB"/>
        </w:rPr>
        <w:t>he wishful thinking behind this designation mechanism</w:t>
      </w:r>
      <w:r w:rsidR="001A0C1D">
        <w:rPr>
          <w:lang w:val="en-GB"/>
        </w:rPr>
        <w:t xml:space="preserve"> to promote the choice of sound experts</w:t>
      </w:r>
      <w:r w:rsidR="007D4FFA">
        <w:rPr>
          <w:lang w:val="en-GB"/>
        </w:rPr>
        <w:t xml:space="preserve"> </w:t>
      </w:r>
      <w:r w:rsidR="00587DDE">
        <w:rPr>
          <w:lang w:val="en-GB"/>
        </w:rPr>
        <w:t xml:space="preserve">can be distorted. </w:t>
      </w:r>
      <w:r w:rsidR="00587DDE" w:rsidRPr="00FF1716">
        <w:rPr>
          <w:lang w:val="en-GB"/>
        </w:rPr>
        <w:t xml:space="preserve">Defending that the mechanism, especially of </w:t>
      </w:r>
      <w:r w:rsidR="00587DDE" w:rsidRPr="00FF1716">
        <w:rPr>
          <w:lang w:val="en-GB"/>
        </w:rPr>
        <w:t xml:space="preserve">cooptation, </w:t>
      </w:r>
      <w:r w:rsidR="00FF1716" w:rsidRPr="00FF1716">
        <w:rPr>
          <w:lang w:val="en-GB"/>
        </w:rPr>
        <w:t>would foster better</w:t>
      </w:r>
      <w:r w:rsidR="00FF1716">
        <w:rPr>
          <w:lang w:val="en-GB"/>
        </w:rPr>
        <w:t xml:space="preserve"> technical choices, Prata Roque</w:t>
      </w:r>
      <w:r w:rsidR="00132CDF">
        <w:rPr>
          <w:lang w:val="en-GB"/>
        </w:rPr>
        <w:t xml:space="preserve"> </w:t>
      </w:r>
      <w:r w:rsidR="00FF1716">
        <w:rPr>
          <w:lang w:val="en-GB"/>
        </w:rPr>
        <w:t>(</w:t>
      </w:r>
      <w:r w:rsidR="003D78F0">
        <w:rPr>
          <w:lang w:val="en-GB"/>
        </w:rPr>
        <w:t>2009)</w:t>
      </w:r>
      <w:r w:rsidR="009705D7" w:rsidRPr="00132CDF">
        <w:rPr>
          <w:lang w:val="en-GB"/>
        </w:rPr>
        <w:t xml:space="preserve">; </w:t>
      </w:r>
      <w:r w:rsidR="000A0032" w:rsidRPr="00132CDF">
        <w:rPr>
          <w:lang w:val="en-GB"/>
        </w:rPr>
        <w:t>Castro (2014) 3012-303.</w:t>
      </w:r>
      <w:r w:rsidR="00BC57B6">
        <w:rPr>
          <w:lang w:val="en-GB"/>
        </w:rPr>
        <w:t xml:space="preserve"> </w:t>
      </w:r>
      <w:r w:rsidR="00BC57B6" w:rsidRPr="007218CA">
        <w:rPr>
          <w:lang w:val="en-GB"/>
        </w:rPr>
        <w:t>H</w:t>
      </w:r>
      <w:r w:rsidR="007218CA" w:rsidRPr="007218CA">
        <w:rPr>
          <w:lang w:val="en-GB"/>
        </w:rPr>
        <w:t xml:space="preserve">ighlighting the urgent need for </w:t>
      </w:r>
      <w:r w:rsidR="00BC57B6" w:rsidRPr="007218CA">
        <w:rPr>
          <w:lang w:val="en-GB"/>
        </w:rPr>
        <w:t>a new process of designation</w:t>
      </w:r>
      <w:r w:rsidR="007218CA" w:rsidRPr="007218CA">
        <w:rPr>
          <w:lang w:val="en-GB"/>
        </w:rPr>
        <w:t>, Condes</w:t>
      </w:r>
      <w:r w:rsidR="007218CA">
        <w:rPr>
          <w:lang w:val="en-GB"/>
        </w:rPr>
        <w:t xml:space="preserve">so, F. (2016). </w:t>
      </w:r>
      <w:r w:rsidR="007218CA" w:rsidRPr="007218CA">
        <w:t>Direito da Comunicação Social: Poderes Económicos e Políticos contra o Estado Democrático. Deriva Atual do Poder na Comunicação Social. Abordagem Jusconstitucional e Politológica da Lei n.º 72-A/2015, de 23.7</w:t>
      </w:r>
      <w:r w:rsidR="007218CA">
        <w:t xml:space="preserve">. </w:t>
      </w:r>
      <w:r w:rsidR="00C21E29" w:rsidRPr="00C21E29">
        <w:rPr>
          <w:i/>
          <w:iCs/>
        </w:rPr>
        <w:t>JURISMAT, 9</w:t>
      </w:r>
      <w:r w:rsidR="00C21E29">
        <w:t>, 31.</w:t>
      </w:r>
    </w:p>
  </w:footnote>
  <w:footnote w:id="155">
    <w:p w14:paraId="23BCF12B" w14:textId="0F508AD3" w:rsidR="001B4854" w:rsidRPr="002D79FD" w:rsidRDefault="001B4854"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6F03BA" w:rsidRPr="002D79FD">
        <w:rPr>
          <w:rFonts w:cs="Times New Roman"/>
        </w:rPr>
        <w:t>Delibera</w:t>
      </w:r>
      <w:r w:rsidR="00EE3946">
        <w:rPr>
          <w:rFonts w:cs="Times New Roman"/>
        </w:rPr>
        <w:t>tion</w:t>
      </w:r>
      <w:r w:rsidR="006F03BA" w:rsidRPr="002D79FD">
        <w:rPr>
          <w:rFonts w:cs="Times New Roman"/>
        </w:rPr>
        <w:t xml:space="preserve"> ERC/2024/329</w:t>
      </w:r>
      <w:r w:rsidR="00EE3946">
        <w:rPr>
          <w:rFonts w:cs="Times New Roman"/>
        </w:rPr>
        <w:t>:</w:t>
      </w:r>
      <w:r w:rsidR="006F03BA" w:rsidRPr="002D79FD">
        <w:rPr>
          <w:rFonts w:cs="Times New Roman"/>
        </w:rPr>
        <w:t xml:space="preserve"> (Parecer) Proposta de revisão da Lei n.º 78/2015, de 29</w:t>
      </w:r>
      <w:r w:rsidR="002F4349">
        <w:rPr>
          <w:rFonts w:cs="Times New Roman"/>
        </w:rPr>
        <w:t>.07</w:t>
      </w:r>
      <w:r w:rsidR="006F03BA" w:rsidRPr="002D79FD">
        <w:rPr>
          <w:rFonts w:cs="Times New Roman"/>
        </w:rPr>
        <w:t xml:space="preserve"> (Lei da Transparência).</w:t>
      </w:r>
    </w:p>
  </w:footnote>
  <w:footnote w:id="156">
    <w:p w14:paraId="01DFA82E" w14:textId="2E743AB6" w:rsidR="001B4854" w:rsidRPr="002D79FD" w:rsidRDefault="001B4854"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6F03BA" w:rsidRPr="002D79FD">
        <w:rPr>
          <w:rFonts w:cs="Times New Roman"/>
        </w:rPr>
        <w:t>Projeto de Diretiva: Separação entre conteúdos jornalísticos e conteúdos publicitários/comerciais.</w:t>
      </w:r>
      <w:r w:rsidR="00FF13B7" w:rsidRPr="002D79FD">
        <w:rPr>
          <w:rFonts w:cs="Times New Roman"/>
        </w:rPr>
        <w:t xml:space="preserve">  </w:t>
      </w:r>
      <w:hyperlink r:id="rId15" w:history="1">
        <w:r w:rsidR="00FF13B7" w:rsidRPr="002D79FD">
          <w:rPr>
            <w:rStyle w:val="Hyperlink"/>
            <w:rFonts w:cs="Times New Roman"/>
          </w:rPr>
          <w:t>https://www.erc.pt/imagem/Projeto%20Diretiva%20Separa%C3%A7%C3%A3o%20conte%C3%BAdos%20jornal%C3%ADsticos%20e%20conte%C3%BAdos%20comerciaisvf.pdf</w:t>
        </w:r>
      </w:hyperlink>
      <w:r w:rsidR="00FF13B7" w:rsidRPr="002D79FD">
        <w:rPr>
          <w:rFonts w:cs="Times New Roman"/>
        </w:rPr>
        <w:t xml:space="preserve"> </w:t>
      </w:r>
    </w:p>
  </w:footnote>
  <w:footnote w:id="157">
    <w:p w14:paraId="2CD5F47D" w14:textId="352F4192" w:rsidR="002A1868" w:rsidRPr="0021346B" w:rsidRDefault="002A1868" w:rsidP="00C1129C">
      <w:pPr>
        <w:pStyle w:val="FootnoteText"/>
        <w:spacing w:line="480" w:lineRule="auto"/>
        <w:jc w:val="both"/>
        <w:rPr>
          <w:lang w:val="en-GB"/>
        </w:rPr>
      </w:pPr>
      <w:r>
        <w:rPr>
          <w:rStyle w:val="FootnoteReference"/>
        </w:rPr>
        <w:footnoteRef/>
      </w:r>
      <w:r w:rsidRPr="0021346B">
        <w:rPr>
          <w:lang w:val="en-GB"/>
        </w:rPr>
        <w:t xml:space="preserve"> </w:t>
      </w:r>
      <w:r w:rsidR="003C0D50" w:rsidRPr="0021346B">
        <w:rPr>
          <w:lang w:val="en-GB"/>
        </w:rPr>
        <w:t>Castro (2014) 310 ss</w:t>
      </w:r>
      <w:r w:rsidR="008F4F6D" w:rsidRPr="0021346B">
        <w:rPr>
          <w:lang w:val="en-GB"/>
        </w:rPr>
        <w:t>, highli</w:t>
      </w:r>
      <w:r w:rsidR="0021346B" w:rsidRPr="0021346B">
        <w:rPr>
          <w:lang w:val="en-GB"/>
        </w:rPr>
        <w:t>ghting the fact tha</w:t>
      </w:r>
      <w:r w:rsidR="0021346B">
        <w:rPr>
          <w:lang w:val="en-GB"/>
        </w:rPr>
        <w:t xml:space="preserve">t </w:t>
      </w:r>
      <w:r w:rsidR="005839CF">
        <w:rPr>
          <w:lang w:val="en-GB"/>
        </w:rPr>
        <w:t>t</w:t>
      </w:r>
      <w:r w:rsidR="00DA0BA9" w:rsidRPr="00DA0BA9">
        <w:rPr>
          <w:lang w:val="en-GB"/>
        </w:rPr>
        <w:t xml:space="preserve">he general reference in Article 62 of the </w:t>
      </w:r>
      <w:r w:rsidR="005839CF">
        <w:rPr>
          <w:lang w:val="en-GB"/>
        </w:rPr>
        <w:t>S</w:t>
      </w:r>
      <w:r w:rsidR="00DA0BA9" w:rsidRPr="00DA0BA9">
        <w:rPr>
          <w:lang w:val="en-GB"/>
        </w:rPr>
        <w:t xml:space="preserve">tatutes to the regulatory power of the ERC raises issues of constitutional compatibility in view of the reservation of </w:t>
      </w:r>
      <w:r w:rsidR="005839CF">
        <w:rPr>
          <w:lang w:val="en-GB"/>
        </w:rPr>
        <w:t>L</w:t>
      </w:r>
      <w:r w:rsidR="00DA0BA9" w:rsidRPr="00DA0BA9">
        <w:rPr>
          <w:lang w:val="en-GB"/>
        </w:rPr>
        <w:t>aw.</w:t>
      </w:r>
    </w:p>
  </w:footnote>
  <w:footnote w:id="158">
    <w:p w14:paraId="04F7417F" w14:textId="334FD706" w:rsidR="003C0D50" w:rsidRPr="00DE1C54" w:rsidRDefault="003C0D50" w:rsidP="00C1129C">
      <w:pPr>
        <w:pStyle w:val="FootnoteText"/>
        <w:spacing w:line="480" w:lineRule="auto"/>
        <w:jc w:val="both"/>
      </w:pPr>
      <w:r>
        <w:rPr>
          <w:rStyle w:val="FootnoteReference"/>
        </w:rPr>
        <w:footnoteRef/>
      </w:r>
      <w:r w:rsidRPr="00DE1C54">
        <w:t xml:space="preserve"> </w:t>
      </w:r>
      <w:r w:rsidR="00855F33" w:rsidRPr="00DE1C54">
        <w:t>Castro (2014) 308-310; Prata Roque (2009).</w:t>
      </w:r>
    </w:p>
  </w:footnote>
  <w:footnote w:id="159">
    <w:p w14:paraId="6FBFDFC2" w14:textId="3BF9914E" w:rsidR="00E72B12" w:rsidRPr="00DE1C54" w:rsidRDefault="00E72B12" w:rsidP="00C1129C">
      <w:pPr>
        <w:pStyle w:val="FootnoteText"/>
        <w:spacing w:line="480" w:lineRule="auto"/>
        <w:jc w:val="both"/>
        <w:rPr>
          <w:rFonts w:cs="Times New Roman"/>
        </w:rPr>
      </w:pPr>
      <w:r w:rsidRPr="002D79FD">
        <w:rPr>
          <w:rStyle w:val="FootnoteReference"/>
          <w:rFonts w:cs="Times New Roman"/>
        </w:rPr>
        <w:footnoteRef/>
      </w:r>
      <w:r w:rsidRPr="00DE1C54">
        <w:rPr>
          <w:rFonts w:cs="Times New Roman"/>
        </w:rPr>
        <w:t xml:space="preserve"> </w:t>
      </w:r>
      <w:r w:rsidR="007F012D" w:rsidRPr="00DE1C54">
        <w:rPr>
          <w:rFonts w:cs="Times New Roman"/>
        </w:rPr>
        <w:t xml:space="preserve">Miranda &amp; Camponez (2017) </w:t>
      </w:r>
      <w:r w:rsidR="0091774D" w:rsidRPr="00DE1C54">
        <w:rPr>
          <w:rFonts w:cs="Times New Roman"/>
        </w:rPr>
        <w:t>203</w:t>
      </w:r>
      <w:r w:rsidR="007F012D" w:rsidRPr="00DE1C54">
        <w:rPr>
          <w:rFonts w:cs="Times New Roman"/>
        </w:rPr>
        <w:t>.</w:t>
      </w:r>
    </w:p>
  </w:footnote>
  <w:footnote w:id="160">
    <w:p w14:paraId="27E7EA1A" w14:textId="77777777" w:rsidR="000B387B" w:rsidRPr="002D79FD" w:rsidRDefault="000B387B"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Martins (2013) 333.</w:t>
      </w:r>
    </w:p>
  </w:footnote>
  <w:footnote w:id="161">
    <w:p w14:paraId="08048300" w14:textId="77777777" w:rsidR="00FB1C8A" w:rsidRPr="002D79FD" w:rsidRDefault="00FB1C8A"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ERC (2025). Relatório de Atividades e Contas da Entidade Reguladora para a Comunicação Social -2024. </w:t>
      </w:r>
      <w:hyperlink r:id="rId16" w:history="1">
        <w:r w:rsidRPr="002D79FD">
          <w:rPr>
            <w:rStyle w:val="Hyperlink"/>
            <w:rFonts w:cs="Times New Roman"/>
          </w:rPr>
          <w:t>https://www.erc.pt/pt/estudos/relatorios-de-actividades-e-contas/relatorio-de-atividades-e-contas-da-entidade-reguladora-para-a-comunicacao-social-2024-/</w:t>
        </w:r>
      </w:hyperlink>
      <w:r w:rsidRPr="002D79FD">
        <w:rPr>
          <w:rFonts w:cs="Times New Roman"/>
        </w:rPr>
        <w:t xml:space="preserve"> </w:t>
      </w:r>
    </w:p>
  </w:footnote>
  <w:footnote w:id="162">
    <w:p w14:paraId="307E7F95" w14:textId="3555414C" w:rsidR="00057459" w:rsidRPr="002D79FD" w:rsidRDefault="00057459"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3D6A98" w:rsidRPr="002D79FD">
        <w:rPr>
          <w:rFonts w:cs="Times New Roman"/>
        </w:rPr>
        <w:t>Martins (2013) 329-330.</w:t>
      </w:r>
    </w:p>
  </w:footnote>
  <w:footnote w:id="163">
    <w:p w14:paraId="74B75D42" w14:textId="3919D005" w:rsidR="008A58E0" w:rsidRDefault="008A58E0" w:rsidP="00C1129C">
      <w:pPr>
        <w:pStyle w:val="FootnoteText"/>
        <w:spacing w:line="480" w:lineRule="auto"/>
        <w:jc w:val="both"/>
      </w:pPr>
      <w:r>
        <w:rPr>
          <w:rStyle w:val="FootnoteReference"/>
        </w:rPr>
        <w:footnoteRef/>
      </w:r>
      <w:r>
        <w:t xml:space="preserve"> </w:t>
      </w:r>
      <w:r w:rsidR="00510A9C">
        <w:t xml:space="preserve">Martins </w:t>
      </w:r>
      <w:r w:rsidR="00510A9C" w:rsidRPr="002D79FD">
        <w:rPr>
          <w:rFonts w:cs="Times New Roman"/>
        </w:rPr>
        <w:t>(2013) 329-330.</w:t>
      </w:r>
    </w:p>
  </w:footnote>
  <w:footnote w:id="164">
    <w:p w14:paraId="6F32F2DF" w14:textId="290B02E2" w:rsidR="00E64717" w:rsidRPr="002D79FD" w:rsidRDefault="00E64717"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D35D6B" w:rsidRPr="002D79FD">
        <w:rPr>
          <w:rFonts w:cs="Times New Roman"/>
        </w:rPr>
        <w:t>Quintyn, et al. (2007).</w:t>
      </w:r>
    </w:p>
  </w:footnote>
  <w:footnote w:id="165">
    <w:p w14:paraId="13946A87" w14:textId="500952A2" w:rsidR="00CE71D6" w:rsidRDefault="00CE71D6" w:rsidP="00C1129C">
      <w:pPr>
        <w:pStyle w:val="FootnoteText"/>
        <w:spacing w:line="480" w:lineRule="auto"/>
        <w:jc w:val="both"/>
      </w:pPr>
      <w:r w:rsidRPr="00730ACA">
        <w:rPr>
          <w:rStyle w:val="FootnoteReference"/>
        </w:rPr>
        <w:footnoteRef/>
      </w:r>
      <w:r w:rsidRPr="00730ACA">
        <w:t xml:space="preserve"> </w:t>
      </w:r>
      <w:r w:rsidR="009F362B" w:rsidRPr="00730ACA">
        <w:t>Saraiva, R. (</w:t>
      </w:r>
      <w:r w:rsidR="00730ACA" w:rsidRPr="00730ACA">
        <w:t>2012</w:t>
      </w:r>
      <w:r w:rsidR="009F362B" w:rsidRPr="00730ACA">
        <w:t>)</w:t>
      </w:r>
      <w:r w:rsidR="00730ACA" w:rsidRPr="00730ACA">
        <w:t xml:space="preserve">. </w:t>
      </w:r>
      <w:r w:rsidR="00730ACA" w:rsidRPr="00730ACA">
        <w:rPr>
          <w:bCs/>
        </w:rPr>
        <w:t>Responsabilidade Civil do Supervisor do Sector Bancário, in</w:t>
      </w:r>
      <w:r w:rsidR="00730ACA" w:rsidRPr="00730ACA">
        <w:rPr>
          <w:bCs/>
          <w:i/>
        </w:rPr>
        <w:t xml:space="preserve"> </w:t>
      </w:r>
      <w:r w:rsidR="00730ACA" w:rsidRPr="00730ACA">
        <w:rPr>
          <w:bCs/>
        </w:rPr>
        <w:t>A</w:t>
      </w:r>
      <w:r w:rsidR="00730ACA">
        <w:rPr>
          <w:bCs/>
        </w:rPr>
        <w:t xml:space="preserve">. </w:t>
      </w:r>
      <w:r w:rsidR="00730ACA" w:rsidRPr="00730ACA">
        <w:rPr>
          <w:bCs/>
        </w:rPr>
        <w:t xml:space="preserve">Guerra, </w:t>
      </w:r>
      <w:r w:rsidR="00730ACA">
        <w:rPr>
          <w:bCs/>
        </w:rPr>
        <w:t>et al.</w:t>
      </w:r>
      <w:r w:rsidR="00730ACA" w:rsidRPr="00730ACA">
        <w:rPr>
          <w:bCs/>
        </w:rPr>
        <w:t xml:space="preserve"> (coord.) </w:t>
      </w:r>
      <w:r w:rsidR="00730ACA" w:rsidRPr="00730ACA">
        <w:rPr>
          <w:bCs/>
          <w:i/>
        </w:rPr>
        <w:t>Responsabilidade civil dos bancos</w:t>
      </w:r>
      <w:r w:rsidR="00730ACA">
        <w:rPr>
          <w:bCs/>
        </w:rPr>
        <w:t xml:space="preserve">. </w:t>
      </w:r>
      <w:r w:rsidR="00730ACA" w:rsidRPr="00730ACA">
        <w:rPr>
          <w:bCs/>
        </w:rPr>
        <w:t>Quartier Latin</w:t>
      </w:r>
      <w:r w:rsidR="00730ACA">
        <w:rPr>
          <w:bCs/>
        </w:rPr>
        <w:t>.</w:t>
      </w:r>
    </w:p>
  </w:footnote>
  <w:footnote w:id="166">
    <w:p w14:paraId="4F81797B" w14:textId="7E78C2A0" w:rsidR="00D67517" w:rsidRPr="00DE1C54" w:rsidRDefault="00D67517" w:rsidP="00C1129C">
      <w:pPr>
        <w:pStyle w:val="FootnoteText"/>
        <w:spacing w:line="480" w:lineRule="auto"/>
        <w:jc w:val="both"/>
      </w:pPr>
      <w:r>
        <w:rPr>
          <w:rStyle w:val="FootnoteReference"/>
        </w:rPr>
        <w:footnoteRef/>
      </w:r>
      <w:r w:rsidRPr="00DE1C54">
        <w:t xml:space="preserve"> </w:t>
      </w:r>
      <w:r w:rsidR="00A25C6A" w:rsidRPr="00DE1C54">
        <w:t>With similar doubts, Castro (2014) 300-301.</w:t>
      </w:r>
    </w:p>
  </w:footnote>
  <w:footnote w:id="167">
    <w:p w14:paraId="7FF4AE88" w14:textId="3878660E" w:rsidR="00341442" w:rsidRPr="00DE1C54" w:rsidRDefault="00341442" w:rsidP="00C1129C">
      <w:pPr>
        <w:pStyle w:val="FootnoteText"/>
        <w:spacing w:line="480" w:lineRule="auto"/>
        <w:jc w:val="both"/>
        <w:rPr>
          <w:rFonts w:cs="Times New Roman"/>
        </w:rPr>
      </w:pPr>
      <w:r w:rsidRPr="002D79FD">
        <w:rPr>
          <w:rStyle w:val="FootnoteReference"/>
          <w:rFonts w:cs="Times New Roman"/>
        </w:rPr>
        <w:footnoteRef/>
      </w:r>
      <w:r w:rsidRPr="00DE1C54">
        <w:rPr>
          <w:rFonts w:cs="Times New Roman"/>
        </w:rPr>
        <w:t xml:space="preserve"> </w:t>
      </w:r>
      <w:r w:rsidR="005632D7" w:rsidRPr="00DE1C54">
        <w:rPr>
          <w:rFonts w:cs="Times New Roman"/>
        </w:rPr>
        <w:t>Calvete (2011) 87.</w:t>
      </w:r>
    </w:p>
  </w:footnote>
  <w:footnote w:id="168">
    <w:p w14:paraId="20D39658" w14:textId="7CF90CE7" w:rsidR="00082F24" w:rsidRPr="002D79FD" w:rsidRDefault="00082F24"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4571C2" w:rsidRPr="002D79FD">
        <w:rPr>
          <w:rFonts w:cs="Times New Roman"/>
        </w:rPr>
        <w:t>Calvete (2011) 86.</w:t>
      </w:r>
    </w:p>
  </w:footnote>
  <w:footnote w:id="169">
    <w:p w14:paraId="42A1E0B3" w14:textId="77777777" w:rsidR="00356D29" w:rsidRPr="002D79FD" w:rsidRDefault="00356D29"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318.</w:t>
      </w:r>
    </w:p>
  </w:footnote>
  <w:footnote w:id="170">
    <w:p w14:paraId="735A9FFC" w14:textId="28430143" w:rsidR="00C06732" w:rsidRPr="002D79FD" w:rsidRDefault="00C06732"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6B1FEE" w:rsidRPr="002D79FD">
        <w:rPr>
          <w:rFonts w:cs="Times New Roman"/>
        </w:rPr>
        <w:t xml:space="preserve">Amado, T. (2017). </w:t>
      </w:r>
      <w:r w:rsidR="006B1FEE" w:rsidRPr="002D79FD">
        <w:rPr>
          <w:rFonts w:cs="Times New Roman"/>
          <w:i/>
          <w:iCs/>
        </w:rPr>
        <w:t>Auto-regulação e o jornalismo online: o provedor do leitor no contexto digital</w:t>
      </w:r>
      <w:r w:rsidR="006B1FEE" w:rsidRPr="002D79FD">
        <w:rPr>
          <w:rFonts w:cs="Times New Roman"/>
        </w:rPr>
        <w:t xml:space="preserve">. </w:t>
      </w:r>
      <w:r w:rsidR="00015C3F">
        <w:rPr>
          <w:rFonts w:cs="Times New Roman"/>
        </w:rPr>
        <w:t>Master’s Thesis</w:t>
      </w:r>
      <w:r w:rsidR="006B1FEE" w:rsidRPr="002D79FD">
        <w:rPr>
          <w:rFonts w:cs="Times New Roman"/>
        </w:rPr>
        <w:t>. Escola Superior de Comunicação Social</w:t>
      </w:r>
      <w:r w:rsidR="002F599E" w:rsidRPr="002D79FD">
        <w:rPr>
          <w:rFonts w:cs="Times New Roman"/>
        </w:rPr>
        <w:t>, 30-31.</w:t>
      </w:r>
    </w:p>
  </w:footnote>
  <w:footnote w:id="171">
    <w:p w14:paraId="1497F3A5" w14:textId="77777777" w:rsidR="006101E6" w:rsidRPr="002D79FD" w:rsidRDefault="006101E6"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Silva (2007) 23.</w:t>
      </w:r>
    </w:p>
  </w:footnote>
  <w:footnote w:id="172">
    <w:p w14:paraId="09215225" w14:textId="30EE1DC5" w:rsidR="000511F3" w:rsidRPr="002D79FD" w:rsidRDefault="000511F3"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Arons de Carvalho (2017).</w:t>
      </w:r>
    </w:p>
  </w:footnote>
  <w:footnote w:id="173">
    <w:p w14:paraId="453E3946" w14:textId="1369D6F4" w:rsidR="00F712DB" w:rsidRPr="003F4B82" w:rsidRDefault="00F712DB"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lang w:val="en-GB"/>
        </w:rPr>
        <w:t xml:space="preserve"> </w:t>
      </w:r>
      <w:r w:rsidR="00570FFF" w:rsidRPr="003F4B82">
        <w:rPr>
          <w:rFonts w:cs="Times New Roman"/>
          <w:lang w:val="en-GB"/>
        </w:rPr>
        <w:t>Fidalgo (2006) 493 ss.</w:t>
      </w:r>
    </w:p>
  </w:footnote>
  <w:footnote w:id="174">
    <w:p w14:paraId="13F39883" w14:textId="45645E05" w:rsidR="00086E6C" w:rsidRPr="002D79FD" w:rsidRDefault="00086E6C" w:rsidP="00C1129C">
      <w:pPr>
        <w:pStyle w:val="FootnoteText"/>
        <w:spacing w:line="480" w:lineRule="auto"/>
        <w:jc w:val="both"/>
        <w:rPr>
          <w:rFonts w:cs="Times New Roman"/>
        </w:rPr>
      </w:pPr>
      <w:r w:rsidRPr="002D79FD">
        <w:rPr>
          <w:rStyle w:val="FootnoteReference"/>
          <w:rFonts w:cs="Times New Roman"/>
        </w:rPr>
        <w:footnoteRef/>
      </w:r>
      <w:r w:rsidRPr="00795B31">
        <w:rPr>
          <w:rFonts w:cs="Times New Roman"/>
          <w:lang w:val="en-GB"/>
        </w:rPr>
        <w:t xml:space="preserve"> </w:t>
      </w:r>
      <w:r w:rsidR="002454AF" w:rsidRPr="00795B31">
        <w:rPr>
          <w:rFonts w:cs="Times New Roman"/>
          <w:lang w:val="en-GB"/>
        </w:rPr>
        <w:t>About reading ombudsmen in Portugal</w:t>
      </w:r>
      <w:r w:rsidRPr="00795B31">
        <w:rPr>
          <w:rFonts w:cs="Times New Roman"/>
          <w:lang w:val="en-GB"/>
        </w:rPr>
        <w:t xml:space="preserve">, </w:t>
      </w:r>
      <w:r w:rsidR="00893844" w:rsidRPr="00795B31">
        <w:rPr>
          <w:rFonts w:cs="Times New Roman"/>
          <w:lang w:val="en-GB"/>
        </w:rPr>
        <w:t>Aleixo, J. (</w:t>
      </w:r>
      <w:r w:rsidR="00273724" w:rsidRPr="00795B31">
        <w:rPr>
          <w:rFonts w:cs="Times New Roman"/>
          <w:lang w:val="en-GB"/>
        </w:rPr>
        <w:t>2022</w:t>
      </w:r>
      <w:r w:rsidR="00893844" w:rsidRPr="00795B31">
        <w:rPr>
          <w:rFonts w:cs="Times New Roman"/>
          <w:lang w:val="en-GB"/>
        </w:rPr>
        <w:t>)</w:t>
      </w:r>
      <w:r w:rsidR="00273724" w:rsidRPr="00795B31">
        <w:rPr>
          <w:rFonts w:cs="Times New Roman"/>
          <w:lang w:val="en-GB"/>
        </w:rPr>
        <w:t xml:space="preserve">. </w:t>
      </w:r>
      <w:r w:rsidR="00273724" w:rsidRPr="002D79FD">
        <w:rPr>
          <w:rFonts w:cs="Times New Roman"/>
          <w:i/>
          <w:iCs/>
        </w:rPr>
        <w:t>A provedoria do leitor do Jornal Público: Padrões de preocupação dos leitores</w:t>
      </w:r>
      <w:r w:rsidR="00273724" w:rsidRPr="002D79FD">
        <w:rPr>
          <w:rFonts w:cs="Times New Roman"/>
        </w:rPr>
        <w:t xml:space="preserve">. </w:t>
      </w:r>
      <w:r w:rsidR="00015C3F">
        <w:rPr>
          <w:rFonts w:cs="Times New Roman"/>
        </w:rPr>
        <w:t>Master’s Thesis.</w:t>
      </w:r>
      <w:r w:rsidR="00273724" w:rsidRPr="002D79FD">
        <w:rPr>
          <w:rFonts w:cs="Times New Roman"/>
        </w:rPr>
        <w:t xml:space="preserve"> Universidade Fernando Pessoa</w:t>
      </w:r>
      <w:r w:rsidR="00C57D91" w:rsidRPr="002D79FD">
        <w:rPr>
          <w:rFonts w:cs="Times New Roman"/>
        </w:rPr>
        <w:t xml:space="preserve">; </w:t>
      </w:r>
      <w:r w:rsidR="00067ECE" w:rsidRPr="002D79FD">
        <w:rPr>
          <w:rFonts w:cs="Times New Roman"/>
        </w:rPr>
        <w:t>Santos de Miransa (2018) 337 ss</w:t>
      </w:r>
      <w:r w:rsidR="00D7376E" w:rsidRPr="002D79FD">
        <w:rPr>
          <w:rFonts w:cs="Times New Roman"/>
        </w:rPr>
        <w:t xml:space="preserve">; </w:t>
      </w:r>
      <w:r w:rsidR="000A503C" w:rsidRPr="002D79FD">
        <w:rPr>
          <w:rFonts w:cs="Times New Roman"/>
        </w:rPr>
        <w:t xml:space="preserve">Amado (2017); </w:t>
      </w:r>
      <w:r w:rsidR="00D7376E" w:rsidRPr="002D79FD">
        <w:rPr>
          <w:rFonts w:cs="Times New Roman"/>
        </w:rPr>
        <w:t>Fidalgo (2006)</w:t>
      </w:r>
      <w:r w:rsidR="009C7277" w:rsidRPr="002D79FD">
        <w:rPr>
          <w:rFonts w:cs="Times New Roman"/>
        </w:rPr>
        <w:t xml:space="preserve"> </w:t>
      </w:r>
      <w:r w:rsidR="000A503C" w:rsidRPr="002D79FD">
        <w:rPr>
          <w:rFonts w:cs="Times New Roman"/>
        </w:rPr>
        <w:t>517 ss.</w:t>
      </w:r>
    </w:p>
  </w:footnote>
  <w:footnote w:id="175">
    <w:p w14:paraId="77E0AE80" w14:textId="6DF40D2C" w:rsidR="00D065B5" w:rsidRPr="002D79FD" w:rsidRDefault="00D065B5"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hyperlink r:id="rId17" w:history="1">
        <w:r w:rsidR="00875E46" w:rsidRPr="002D79FD">
          <w:rPr>
            <w:rStyle w:val="Hyperlink"/>
            <w:rFonts w:cs="Times New Roman"/>
          </w:rPr>
          <w:t>https://www.obercom.pt/</w:t>
        </w:r>
      </w:hyperlink>
      <w:r w:rsidR="00875E46" w:rsidRPr="002D79FD">
        <w:rPr>
          <w:rFonts w:cs="Times New Roman"/>
        </w:rPr>
        <w:t xml:space="preserve"> </w:t>
      </w:r>
    </w:p>
  </w:footnote>
  <w:footnote w:id="176">
    <w:p w14:paraId="1323EC90" w14:textId="7AC3E6FE" w:rsidR="00F15145" w:rsidRPr="002D79FD" w:rsidRDefault="00F15145"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Carvalho, O. (2012). </w:t>
      </w:r>
      <w:r w:rsidRPr="002D79FD">
        <w:rPr>
          <w:rFonts w:cs="Times New Roman"/>
          <w:i/>
          <w:iCs/>
        </w:rPr>
        <w:t>Cláusula de Consciência e Conselhos de Redação  na Auto-regulação dos Jornalistas</w:t>
      </w:r>
      <w:r w:rsidRPr="002D79FD">
        <w:rPr>
          <w:rFonts w:cs="Times New Roman"/>
        </w:rPr>
        <w:t xml:space="preserve">. </w:t>
      </w:r>
      <w:r w:rsidR="007F7A67">
        <w:rPr>
          <w:rFonts w:cs="Times New Roman"/>
        </w:rPr>
        <w:t>Master</w:t>
      </w:r>
      <w:r w:rsidR="00015C3F">
        <w:rPr>
          <w:rFonts w:cs="Times New Roman"/>
        </w:rPr>
        <w:t>’s</w:t>
      </w:r>
      <w:r w:rsidR="007F7A67">
        <w:rPr>
          <w:rFonts w:cs="Times New Roman"/>
        </w:rPr>
        <w:t xml:space="preserve"> Thesis</w:t>
      </w:r>
      <w:r w:rsidRPr="002D79FD">
        <w:rPr>
          <w:rFonts w:cs="Times New Roman"/>
        </w:rPr>
        <w:t>. Universidade Nova de Lisboa, 95-98; Santos de Miranda (2018) 335-336.</w:t>
      </w:r>
    </w:p>
  </w:footnote>
  <w:footnote w:id="177">
    <w:p w14:paraId="5672E510" w14:textId="42E73B69" w:rsidR="00391FDC" w:rsidRPr="002D79FD" w:rsidRDefault="00391FDC"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Carvalho, O. (2012). </w:t>
      </w:r>
      <w:r w:rsidRPr="002D79FD">
        <w:rPr>
          <w:rFonts w:cs="Times New Roman"/>
          <w:i/>
          <w:iCs/>
        </w:rPr>
        <w:t>Cláusula de Consciência e Conselhos de Redação  na Auto-regulação dos Jornalistas</w:t>
      </w:r>
      <w:r w:rsidRPr="002D79FD">
        <w:rPr>
          <w:rFonts w:cs="Times New Roman"/>
        </w:rPr>
        <w:t xml:space="preserve">. </w:t>
      </w:r>
      <w:r w:rsidR="00015C3F">
        <w:rPr>
          <w:rFonts w:cs="Times New Roman"/>
        </w:rPr>
        <w:t>Master’s Thesis</w:t>
      </w:r>
      <w:r w:rsidRPr="002D79FD">
        <w:rPr>
          <w:rFonts w:cs="Times New Roman"/>
        </w:rPr>
        <w:t>. Universidade Nova de Lisboa, 95-98; Santos de Miranda (2018) 335-336.</w:t>
      </w:r>
    </w:p>
  </w:footnote>
  <w:footnote w:id="178">
    <w:p w14:paraId="6A58DB38" w14:textId="77777777" w:rsidR="00391FDC" w:rsidRPr="002D79FD" w:rsidRDefault="00391FDC"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Fidalgo (2006) 492.</w:t>
      </w:r>
    </w:p>
  </w:footnote>
  <w:footnote w:id="179">
    <w:p w14:paraId="4DC7D1C2" w14:textId="77777777" w:rsidR="00714BC4" w:rsidRPr="00DE1C54" w:rsidRDefault="00714BC4" w:rsidP="00C1129C">
      <w:pPr>
        <w:pStyle w:val="FootnoteText"/>
        <w:spacing w:line="480" w:lineRule="auto"/>
        <w:jc w:val="both"/>
        <w:rPr>
          <w:rFonts w:cs="Times New Roman"/>
          <w:lang w:val="en-GB"/>
        </w:rPr>
      </w:pPr>
      <w:r w:rsidRPr="002D79FD">
        <w:rPr>
          <w:rStyle w:val="FootnoteReference"/>
          <w:rFonts w:cs="Times New Roman"/>
        </w:rPr>
        <w:footnoteRef/>
      </w:r>
      <w:r w:rsidRPr="00DE1C54">
        <w:rPr>
          <w:rFonts w:cs="Times New Roman"/>
          <w:lang w:val="en-GB"/>
        </w:rPr>
        <w:t xml:space="preserve"> Fidalgo (2006) 492.</w:t>
      </w:r>
    </w:p>
  </w:footnote>
  <w:footnote w:id="180">
    <w:p w14:paraId="5153E6E9" w14:textId="3430596F" w:rsidR="00F15AD7" w:rsidRPr="004B1124" w:rsidRDefault="00F15AD7" w:rsidP="00C1129C">
      <w:pPr>
        <w:pStyle w:val="FootnoteText"/>
        <w:spacing w:line="480" w:lineRule="auto"/>
        <w:jc w:val="both"/>
        <w:rPr>
          <w:lang w:val="en-GB"/>
        </w:rPr>
      </w:pPr>
      <w:r>
        <w:rPr>
          <w:rStyle w:val="FootnoteReference"/>
        </w:rPr>
        <w:footnoteRef/>
      </w:r>
      <w:r w:rsidRPr="004B1124">
        <w:rPr>
          <w:lang w:val="en-GB"/>
        </w:rPr>
        <w:t xml:space="preserve"> </w:t>
      </w:r>
      <w:r w:rsidR="007343EE" w:rsidRPr="004B1124">
        <w:rPr>
          <w:lang w:val="en-GB"/>
        </w:rPr>
        <w:t xml:space="preserve"> Russ-Mohl, S. (</w:t>
      </w:r>
      <w:r w:rsidR="004B1124" w:rsidRPr="004B1124">
        <w:rPr>
          <w:lang w:val="en-GB"/>
        </w:rPr>
        <w:t>2015). The (</w:t>
      </w:r>
      <w:r w:rsidR="004B1124" w:rsidRPr="004B1124">
        <w:rPr>
          <w:lang w:val="en-GB"/>
        </w:rPr>
        <w:t xml:space="preserve">Behavioral) Economics of Media Accountability. </w:t>
      </w:r>
      <w:r w:rsidR="002A1CED" w:rsidRPr="002A1CED">
        <w:rPr>
          <w:i/>
          <w:iCs/>
          <w:lang w:val="en-GB"/>
        </w:rPr>
        <w:t>Facta Universitatis</w:t>
      </w:r>
      <w:r w:rsidR="002A1CED">
        <w:rPr>
          <w:lang w:val="en-GB"/>
        </w:rPr>
        <w:t xml:space="preserve">: </w:t>
      </w:r>
      <w:r w:rsidR="00C777E7" w:rsidRPr="00C777E7">
        <w:rPr>
          <w:i/>
          <w:iCs/>
          <w:lang w:val="en-GB"/>
        </w:rPr>
        <w:t>Philosophy, Sociology, Psychology and History</w:t>
      </w:r>
      <w:r w:rsidR="00C777E7">
        <w:rPr>
          <w:lang w:val="en-GB"/>
        </w:rPr>
        <w:t xml:space="preserve">, </w:t>
      </w:r>
      <w:r w:rsidR="00C777E7" w:rsidRPr="002A1CED">
        <w:rPr>
          <w:i/>
          <w:iCs/>
          <w:lang w:val="en-GB"/>
        </w:rPr>
        <w:t>14</w:t>
      </w:r>
      <w:r w:rsidR="00C777E7">
        <w:rPr>
          <w:lang w:val="en-GB"/>
        </w:rPr>
        <w:t xml:space="preserve">(1), </w:t>
      </w:r>
      <w:r w:rsidR="0010227A" w:rsidRPr="004B1124">
        <w:rPr>
          <w:lang w:val="en-GB"/>
        </w:rPr>
        <w:t>18.</w:t>
      </w:r>
    </w:p>
  </w:footnote>
  <w:footnote w:id="181">
    <w:p w14:paraId="74A2732B" w14:textId="77777777" w:rsidR="00AD2582" w:rsidRPr="00DE1C54" w:rsidRDefault="00AD2582" w:rsidP="00C1129C">
      <w:pPr>
        <w:pStyle w:val="FootnoteText"/>
        <w:spacing w:line="480" w:lineRule="auto"/>
        <w:jc w:val="both"/>
        <w:rPr>
          <w:rFonts w:cs="Times New Roman"/>
          <w:lang w:val="en-GB"/>
        </w:rPr>
      </w:pPr>
      <w:r w:rsidRPr="002D79FD">
        <w:rPr>
          <w:rStyle w:val="FootnoteReference"/>
          <w:rFonts w:cs="Times New Roman"/>
        </w:rPr>
        <w:footnoteRef/>
      </w:r>
      <w:r w:rsidRPr="00DE1C54">
        <w:rPr>
          <w:rFonts w:cs="Times New Roman"/>
          <w:lang w:val="en-GB"/>
        </w:rPr>
        <w:t xml:space="preserve"> Santos de Miranda (2018) 355.</w:t>
      </w:r>
    </w:p>
  </w:footnote>
  <w:footnote w:id="182">
    <w:p w14:paraId="046B6316" w14:textId="77777777" w:rsidR="00AD2582" w:rsidRPr="002D79FD" w:rsidRDefault="00AD2582"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Martins (2013) 334.</w:t>
      </w:r>
    </w:p>
  </w:footnote>
  <w:footnote w:id="183">
    <w:p w14:paraId="421D5683" w14:textId="6CE43491" w:rsidR="000746BA" w:rsidRPr="002D79FD" w:rsidRDefault="000746BA"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Fidalgo (2006) 284.</w:t>
      </w:r>
    </w:p>
  </w:footnote>
  <w:footnote w:id="184">
    <w:p w14:paraId="1E689954" w14:textId="77777777" w:rsidR="004A058D" w:rsidRPr="002D79FD" w:rsidRDefault="004A058D"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Martins (2013) 334.</w:t>
      </w:r>
    </w:p>
  </w:footnote>
  <w:footnote w:id="185">
    <w:p w14:paraId="2CBCBA36" w14:textId="3134AC92" w:rsidR="004912D9" w:rsidRPr="002D79FD" w:rsidRDefault="004912D9"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Camponez, J. (2009). </w:t>
      </w:r>
      <w:r w:rsidRPr="002D79FD">
        <w:rPr>
          <w:rFonts w:cs="Times New Roman"/>
          <w:i/>
          <w:iCs/>
        </w:rPr>
        <w:t>Fundamentos de deontologia do jornalismo : a auto-regulação frustrada dos jornalistas portugueses : 1974-2007</w:t>
      </w:r>
      <w:r w:rsidRPr="002D79FD">
        <w:rPr>
          <w:rFonts w:cs="Times New Roman"/>
        </w:rPr>
        <w:t xml:space="preserve">. </w:t>
      </w:r>
      <w:r w:rsidR="00070EF6">
        <w:rPr>
          <w:rFonts w:cs="Times New Roman"/>
        </w:rPr>
        <w:t>PhD Thesis</w:t>
      </w:r>
      <w:r w:rsidRPr="002D79FD">
        <w:rPr>
          <w:rFonts w:cs="Times New Roman"/>
        </w:rPr>
        <w:t>. Universidade de Coimbra, 397 ss e 451 ss.</w:t>
      </w:r>
    </w:p>
  </w:footnote>
  <w:footnote w:id="186">
    <w:p w14:paraId="442E74F4" w14:textId="77777777" w:rsidR="005D4BB1" w:rsidRPr="002D79FD" w:rsidRDefault="005D4BB1"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Camponez (2009) 451 ss; Santos de Miranda (2018) 321.</w:t>
      </w:r>
    </w:p>
  </w:footnote>
  <w:footnote w:id="187">
    <w:p w14:paraId="595E897E" w14:textId="77777777" w:rsidR="00661AFA" w:rsidRPr="002D79FD" w:rsidRDefault="00661AFA"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311.</w:t>
      </w:r>
    </w:p>
  </w:footnote>
  <w:footnote w:id="188">
    <w:p w14:paraId="79054B42" w14:textId="77777777" w:rsidR="00661AFA" w:rsidRPr="002D79FD" w:rsidRDefault="00661AFA"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Martins (2013) 332.</w:t>
      </w:r>
    </w:p>
  </w:footnote>
  <w:footnote w:id="189">
    <w:p w14:paraId="15EC41FC" w14:textId="29EF03D4" w:rsidR="00B5119C" w:rsidRPr="002D79FD" w:rsidRDefault="00B5119C"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321.</w:t>
      </w:r>
    </w:p>
  </w:footnote>
  <w:footnote w:id="190">
    <w:p w14:paraId="41838954" w14:textId="66AC59FD" w:rsidR="008F6C40" w:rsidRPr="002D79FD" w:rsidRDefault="008F6C40"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w:t>
      </w:r>
      <w:r w:rsidR="00D93C98" w:rsidRPr="002D79FD">
        <w:rPr>
          <w:rFonts w:cs="Times New Roman"/>
        </w:rPr>
        <w:t xml:space="preserve"> 314.</w:t>
      </w:r>
    </w:p>
  </w:footnote>
  <w:footnote w:id="191">
    <w:p w14:paraId="4A72E09F" w14:textId="63DC7B82" w:rsidR="00C56E4F" w:rsidRPr="002D79FD" w:rsidRDefault="00C56E4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w:t>
      </w:r>
      <w:r w:rsidR="004C6DFD" w:rsidRPr="002D79FD">
        <w:rPr>
          <w:rFonts w:cs="Times New Roman"/>
        </w:rPr>
        <w:t xml:space="preserve"> 315.</w:t>
      </w:r>
    </w:p>
  </w:footnote>
  <w:footnote w:id="192">
    <w:p w14:paraId="2B939869" w14:textId="3E842938" w:rsidR="0010682E" w:rsidRPr="002D79FD" w:rsidRDefault="0010682E"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DC2F0B" w:rsidRPr="002D79FD">
        <w:rPr>
          <w:rFonts w:cs="Times New Roman"/>
        </w:rPr>
        <w:t>Santos de Miranda (2018) 32</w:t>
      </w:r>
      <w:r w:rsidR="00020BC9" w:rsidRPr="002D79FD">
        <w:rPr>
          <w:rFonts w:cs="Times New Roman"/>
        </w:rPr>
        <w:t>5</w:t>
      </w:r>
      <w:r w:rsidR="00DC2F0B" w:rsidRPr="002D79FD">
        <w:rPr>
          <w:rFonts w:cs="Times New Roman"/>
        </w:rPr>
        <w:t>.</w:t>
      </w:r>
    </w:p>
  </w:footnote>
  <w:footnote w:id="193">
    <w:p w14:paraId="0DF11416" w14:textId="77777777" w:rsidR="00171B5A" w:rsidRPr="002D79FD" w:rsidRDefault="00171B5A"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hyperlink r:id="rId18" w:history="1">
        <w:r w:rsidRPr="002D79FD">
          <w:rPr>
            <w:rStyle w:val="Hyperlink"/>
            <w:rFonts w:cs="Times New Roman"/>
          </w:rPr>
          <w:t>https://jornalistas.eu/wp-content/uploads/2021/07/Estatutos_BTE.pdf</w:t>
        </w:r>
      </w:hyperlink>
      <w:r w:rsidRPr="002D79FD">
        <w:rPr>
          <w:rFonts w:cs="Times New Roman"/>
        </w:rPr>
        <w:t xml:space="preserve"> </w:t>
      </w:r>
    </w:p>
  </w:footnote>
  <w:footnote w:id="194">
    <w:p w14:paraId="5417ED55" w14:textId="77777777" w:rsidR="00171B5A" w:rsidRPr="003F4B82" w:rsidRDefault="00171B5A"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lang w:val="en-GB"/>
        </w:rPr>
        <w:t xml:space="preserve"> </w:t>
      </w:r>
      <w:r w:rsidRPr="003F4B82">
        <w:rPr>
          <w:rFonts w:cs="Times New Roman"/>
          <w:lang w:val="en-GB"/>
        </w:rPr>
        <w:t>Camponez (2009) 404 ss.</w:t>
      </w:r>
    </w:p>
  </w:footnote>
  <w:footnote w:id="195">
    <w:p w14:paraId="5A3B8B5E" w14:textId="43A783BD" w:rsidR="00691C79" w:rsidRPr="00070EF6" w:rsidRDefault="00691C79" w:rsidP="00C1129C">
      <w:pPr>
        <w:pStyle w:val="FootnoteText"/>
        <w:spacing w:line="480" w:lineRule="auto"/>
        <w:jc w:val="both"/>
        <w:rPr>
          <w:rFonts w:cs="Times New Roman"/>
          <w:lang w:val="en-GB"/>
        </w:rPr>
      </w:pPr>
      <w:r w:rsidRPr="002D79FD">
        <w:rPr>
          <w:rStyle w:val="FootnoteReference"/>
          <w:rFonts w:cs="Times New Roman"/>
        </w:rPr>
        <w:footnoteRef/>
      </w:r>
      <w:r w:rsidRPr="00070EF6">
        <w:rPr>
          <w:rFonts w:cs="Times New Roman"/>
          <w:lang w:val="en-GB"/>
        </w:rPr>
        <w:t xml:space="preserve"> </w:t>
      </w:r>
      <w:hyperlink r:id="rId19" w:history="1">
        <w:r w:rsidRPr="00070EF6">
          <w:rPr>
            <w:rStyle w:val="Hyperlink"/>
            <w:rFonts w:cs="Times New Roman"/>
            <w:lang w:val="en-GB"/>
          </w:rPr>
          <w:t>https://jornalistas.eu/deontologico/regulamento-do-conselho-deontologico-06-2020/</w:t>
        </w:r>
      </w:hyperlink>
      <w:r w:rsidRPr="00070EF6">
        <w:rPr>
          <w:rFonts w:cs="Times New Roman"/>
          <w:lang w:val="en-GB"/>
        </w:rPr>
        <w:t xml:space="preserve"> , </w:t>
      </w:r>
      <w:r w:rsidR="00070EF6" w:rsidRPr="00070EF6">
        <w:rPr>
          <w:rFonts w:cs="Times New Roman"/>
          <w:lang w:val="en-GB"/>
        </w:rPr>
        <w:t>revised and updated in 2024.</w:t>
      </w:r>
    </w:p>
  </w:footnote>
  <w:footnote w:id="196">
    <w:p w14:paraId="674D2D20" w14:textId="4FC086DA" w:rsidR="00CE26BA" w:rsidRPr="002D79FD" w:rsidRDefault="00CE26BA"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Martins (2013) 334. </w:t>
      </w:r>
      <w:r w:rsidR="008C36DA" w:rsidRPr="008C36DA">
        <w:rPr>
          <w:rFonts w:cs="Times New Roman"/>
        </w:rPr>
        <w:t xml:space="preserve">For other cases, see </w:t>
      </w:r>
      <w:r w:rsidRPr="002D79FD">
        <w:rPr>
          <w:rFonts w:cs="Times New Roman"/>
        </w:rPr>
        <w:t>Santos de Miranda (2018) 322; Miranda &amp; Camponez (2017) 204, not</w:t>
      </w:r>
      <w:r w:rsidR="00E6118F">
        <w:rPr>
          <w:rFonts w:cs="Times New Roman"/>
        </w:rPr>
        <w:t>e</w:t>
      </w:r>
      <w:r w:rsidRPr="002D79FD">
        <w:rPr>
          <w:rFonts w:cs="Times New Roman"/>
        </w:rPr>
        <w:t xml:space="preserve"> 21.</w:t>
      </w:r>
    </w:p>
  </w:footnote>
  <w:footnote w:id="197">
    <w:p w14:paraId="237875AF" w14:textId="77777777" w:rsidR="00CE26BA" w:rsidRPr="002D79FD" w:rsidRDefault="00CE26BA"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Arons de Carvalho (2017).</w:t>
      </w:r>
    </w:p>
  </w:footnote>
  <w:footnote w:id="198">
    <w:p w14:paraId="022DBB9F" w14:textId="77777777" w:rsidR="00150EDE" w:rsidRPr="002D79FD" w:rsidRDefault="00150EDE"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Fidalgo (2006). 283.</w:t>
      </w:r>
    </w:p>
  </w:footnote>
  <w:footnote w:id="199">
    <w:p w14:paraId="1E45C65F" w14:textId="12D9504E" w:rsidR="00B101B3" w:rsidRPr="002D79FD" w:rsidRDefault="00B101B3"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Fidalgo (2006) </w:t>
      </w:r>
      <w:r w:rsidR="00BA7AAE" w:rsidRPr="002D79FD">
        <w:rPr>
          <w:rFonts w:cs="Times New Roman"/>
        </w:rPr>
        <w:t>475</w:t>
      </w:r>
      <w:r w:rsidR="00007F8A" w:rsidRPr="002D79FD">
        <w:rPr>
          <w:rFonts w:cs="Times New Roman"/>
        </w:rPr>
        <w:t xml:space="preserve">, </w:t>
      </w:r>
      <w:r w:rsidR="00D57604" w:rsidRPr="002D79FD">
        <w:rPr>
          <w:rFonts w:cs="Times New Roman"/>
        </w:rPr>
        <w:t>479</w:t>
      </w:r>
      <w:r w:rsidR="004D0CDE" w:rsidRPr="002D79FD">
        <w:rPr>
          <w:rFonts w:cs="Times New Roman"/>
        </w:rPr>
        <w:t>; Camponez (2009) 49</w:t>
      </w:r>
      <w:r w:rsidR="00F86F2C" w:rsidRPr="002D79FD">
        <w:rPr>
          <w:rFonts w:cs="Times New Roman"/>
        </w:rPr>
        <w:t>7.</w:t>
      </w:r>
    </w:p>
  </w:footnote>
  <w:footnote w:id="200">
    <w:p w14:paraId="505C3052" w14:textId="77777777" w:rsidR="003C332A" w:rsidRPr="003F4B82" w:rsidRDefault="003C332A"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lang w:val="en-GB"/>
        </w:rPr>
        <w:t xml:space="preserve"> </w:t>
      </w:r>
      <w:r w:rsidRPr="003F4B82">
        <w:rPr>
          <w:rFonts w:cs="Times New Roman"/>
          <w:lang w:val="en-GB"/>
        </w:rPr>
        <w:t>Camponez (2009) 490-491.</w:t>
      </w:r>
    </w:p>
  </w:footnote>
  <w:footnote w:id="201">
    <w:p w14:paraId="1BED5A04" w14:textId="66F87131" w:rsidR="00677288" w:rsidRPr="002D79FD" w:rsidRDefault="00677288" w:rsidP="00C1129C">
      <w:pPr>
        <w:pStyle w:val="FootnoteText"/>
        <w:spacing w:line="480" w:lineRule="auto"/>
        <w:jc w:val="both"/>
        <w:rPr>
          <w:rFonts w:cs="Times New Roman"/>
        </w:rPr>
      </w:pPr>
      <w:r w:rsidRPr="002D79FD">
        <w:rPr>
          <w:rStyle w:val="FootnoteReference"/>
          <w:rFonts w:cs="Times New Roman"/>
        </w:rPr>
        <w:footnoteRef/>
      </w:r>
      <w:r w:rsidRPr="005B79A9">
        <w:rPr>
          <w:rFonts w:cs="Times New Roman"/>
          <w:lang w:val="en-GB"/>
        </w:rPr>
        <w:t xml:space="preserve"> </w:t>
      </w:r>
      <w:r w:rsidR="005B79A9" w:rsidRPr="005B79A9">
        <w:rPr>
          <w:rFonts w:cs="Times New Roman"/>
          <w:lang w:val="en-GB"/>
        </w:rPr>
        <w:t xml:space="preserve">For example, clauses 67 et seq. of the collective </w:t>
      </w:r>
      <w:r w:rsidR="005B79A9" w:rsidRPr="005B79A9">
        <w:rPr>
          <w:rFonts w:cs="Times New Roman"/>
          <w:lang w:val="en-GB"/>
        </w:rPr>
        <w:t>labor agreement between API and SJ provide for the exercise of disciplinary power, which may be applied to violations of the duties of journalists set out in clause 44, including the ethical duties laid down in the Journalists' Statute.</w:t>
      </w:r>
      <w:r w:rsidR="005B79A9">
        <w:rPr>
          <w:rFonts w:cs="Times New Roman"/>
          <w:lang w:val="en-GB"/>
        </w:rPr>
        <w:t xml:space="preserve"> </w:t>
      </w:r>
      <w:hyperlink r:id="rId20" w:history="1">
        <w:r w:rsidRPr="002D79FD">
          <w:rPr>
            <w:rStyle w:val="Hyperlink"/>
            <w:rFonts w:cs="Times New Roman"/>
          </w:rPr>
          <w:t>https://jornalistas.eu/wp-content/uploads/2023/08/BOLETIM-DO-TRABALHO-E-EMPREGO-29_2023.pdf</w:t>
        </w:r>
      </w:hyperlink>
      <w:r w:rsidRPr="002D79FD">
        <w:rPr>
          <w:rFonts w:cs="Times New Roman"/>
        </w:rPr>
        <w:t xml:space="preserve"> </w:t>
      </w:r>
    </w:p>
  </w:footnote>
  <w:footnote w:id="202">
    <w:p w14:paraId="4F9CD812" w14:textId="77777777" w:rsidR="00677288" w:rsidRPr="002D79FD" w:rsidRDefault="00677288"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Martins (2013) 334-335.</w:t>
      </w:r>
    </w:p>
  </w:footnote>
  <w:footnote w:id="203">
    <w:p w14:paraId="02585E17" w14:textId="6121BB01" w:rsidR="00B840B8" w:rsidRPr="002D79FD" w:rsidRDefault="00B840B8"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216BB5" w:rsidRPr="002D79FD">
        <w:rPr>
          <w:rFonts w:cs="Times New Roman"/>
        </w:rPr>
        <w:t>Santos de Miranda (2018) 322</w:t>
      </w:r>
      <w:r w:rsidR="00064B3B" w:rsidRPr="002D79FD">
        <w:rPr>
          <w:rFonts w:cs="Times New Roman"/>
        </w:rPr>
        <w:t>-323</w:t>
      </w:r>
      <w:r w:rsidR="00216BB5" w:rsidRPr="002D79FD">
        <w:rPr>
          <w:rFonts w:cs="Times New Roman"/>
        </w:rPr>
        <w:t>.</w:t>
      </w:r>
    </w:p>
  </w:footnote>
  <w:footnote w:id="204">
    <w:p w14:paraId="1F4DB0D9" w14:textId="4540C654" w:rsidR="00B0416F" w:rsidRPr="002D79FD" w:rsidRDefault="00B0416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Fidalgo (2006) 479.</w:t>
      </w:r>
    </w:p>
  </w:footnote>
  <w:footnote w:id="205">
    <w:p w14:paraId="75C827A4" w14:textId="77777777" w:rsidR="00344F7F" w:rsidRPr="002D79FD" w:rsidRDefault="00344F7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322.</w:t>
      </w:r>
    </w:p>
  </w:footnote>
  <w:footnote w:id="206">
    <w:p w14:paraId="7CD6538A" w14:textId="76BA79F5" w:rsidR="00344F7F" w:rsidRPr="002D79FD" w:rsidRDefault="00344F7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321, not</w:t>
      </w:r>
      <w:r w:rsidR="008C36DA">
        <w:rPr>
          <w:rFonts w:cs="Times New Roman"/>
        </w:rPr>
        <w:t>e</w:t>
      </w:r>
      <w:r w:rsidRPr="002D79FD">
        <w:rPr>
          <w:rFonts w:cs="Times New Roman"/>
        </w:rPr>
        <w:t xml:space="preserve"> 391.</w:t>
      </w:r>
    </w:p>
  </w:footnote>
  <w:footnote w:id="207">
    <w:p w14:paraId="238328F6" w14:textId="77777777" w:rsidR="00344F7F" w:rsidRPr="002D79FD" w:rsidRDefault="00344F7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322.</w:t>
      </w:r>
    </w:p>
  </w:footnote>
  <w:footnote w:id="208">
    <w:p w14:paraId="20F5B11B" w14:textId="6AE59EB8" w:rsidR="00344F7F" w:rsidRPr="002D79FD" w:rsidRDefault="00344F7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7.2 - 323 ss; Miranda &amp; Camponez (2017); Camponez (2009) 489 ss.</w:t>
      </w:r>
    </w:p>
  </w:footnote>
  <w:footnote w:id="209">
    <w:p w14:paraId="4CFF6537" w14:textId="77777777" w:rsidR="00353E17" w:rsidRPr="002D79FD" w:rsidRDefault="00353E17"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323.</w:t>
      </w:r>
    </w:p>
  </w:footnote>
  <w:footnote w:id="210">
    <w:p w14:paraId="442BCC75" w14:textId="77777777" w:rsidR="00353E17" w:rsidRPr="002D79FD" w:rsidRDefault="00353E17"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353.</w:t>
      </w:r>
    </w:p>
  </w:footnote>
  <w:footnote w:id="211">
    <w:p w14:paraId="14817FC6" w14:textId="77777777" w:rsidR="00353E17" w:rsidRPr="002D79FD" w:rsidRDefault="00353E17"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323.</w:t>
      </w:r>
    </w:p>
  </w:footnote>
  <w:footnote w:id="212">
    <w:p w14:paraId="787A32FB" w14:textId="77777777" w:rsidR="00EA062F" w:rsidRPr="002D79FD" w:rsidRDefault="00EA062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328, tabela 22. Este trabalho constrói-se sobretudo no seguimento dos estudos desenvolvidos por Camponez (2009) e Miranda &amp; Camponez (2017).</w:t>
      </w:r>
    </w:p>
  </w:footnote>
  <w:footnote w:id="213">
    <w:p w14:paraId="14FD640E" w14:textId="77777777" w:rsidR="0080181B" w:rsidRPr="002D79FD" w:rsidRDefault="0080181B"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330-331.</w:t>
      </w:r>
    </w:p>
  </w:footnote>
  <w:footnote w:id="214">
    <w:p w14:paraId="29C4186B" w14:textId="50D611C0" w:rsidR="00752B89" w:rsidRPr="00F57DEC" w:rsidRDefault="00752B89"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rPr>
        <w:t xml:space="preserve"> </w:t>
      </w:r>
      <w:r w:rsidR="00AB473B" w:rsidRPr="003F4B82">
        <w:rPr>
          <w:rFonts w:cs="Times New Roman"/>
        </w:rPr>
        <w:t xml:space="preserve"> With figures for 2020 and 2021</w:t>
      </w:r>
      <w:r w:rsidR="00837964" w:rsidRPr="003F4B82">
        <w:rPr>
          <w:rFonts w:cs="Times New Roman"/>
        </w:rPr>
        <w:t xml:space="preserve">, Lameiras, M. (2024). </w:t>
      </w:r>
      <w:r w:rsidR="00CF2340" w:rsidRPr="002D79FD">
        <w:rPr>
          <w:rFonts w:cs="Times New Roman"/>
        </w:rPr>
        <w:t>As Prioridades e os Desafios da Regulação dos Média em Portugal</w:t>
      </w:r>
      <w:r w:rsidR="00A67529" w:rsidRPr="002D79FD">
        <w:rPr>
          <w:rFonts w:cs="Times New Roman"/>
        </w:rPr>
        <w:t>. In M. Lameiras &amp; H. Sousa (</w:t>
      </w:r>
      <w:r w:rsidR="008D1493" w:rsidRPr="002D79FD">
        <w:rPr>
          <w:rFonts w:cs="Times New Roman"/>
        </w:rPr>
        <w:t>coord.</w:t>
      </w:r>
      <w:r w:rsidR="00A67529" w:rsidRPr="002D79FD">
        <w:rPr>
          <w:rFonts w:cs="Times New Roman"/>
        </w:rPr>
        <w:t>),</w:t>
      </w:r>
      <w:r w:rsidR="008D1493" w:rsidRPr="002D79FD">
        <w:rPr>
          <w:rFonts w:cs="Times New Roman"/>
        </w:rPr>
        <w:t xml:space="preserve"> </w:t>
      </w:r>
      <w:r w:rsidR="008D1493" w:rsidRPr="002D79FD">
        <w:rPr>
          <w:rFonts w:cs="Times New Roman"/>
          <w:i/>
          <w:iCs/>
        </w:rPr>
        <w:t>Políticas da Comunicação: Hibridismos e Opacidades</w:t>
      </w:r>
      <w:r w:rsidR="00DA47C5" w:rsidRPr="002D79FD">
        <w:rPr>
          <w:rFonts w:cs="Times New Roman"/>
          <w:i/>
          <w:iCs/>
        </w:rPr>
        <w:t>.</w:t>
      </w:r>
      <w:r w:rsidR="00DA47C5" w:rsidRPr="002D79FD">
        <w:rPr>
          <w:rFonts w:cs="Times New Roman"/>
        </w:rPr>
        <w:t xml:space="preserve"> </w:t>
      </w:r>
      <w:r w:rsidR="00DA47C5" w:rsidRPr="00F57DEC">
        <w:rPr>
          <w:rFonts w:cs="Times New Roman"/>
          <w:lang w:val="en-GB"/>
        </w:rPr>
        <w:t>Universidade do Minho,</w:t>
      </w:r>
      <w:r w:rsidR="00A67529" w:rsidRPr="00F57DEC">
        <w:rPr>
          <w:rFonts w:cs="Times New Roman"/>
          <w:lang w:val="en-GB"/>
        </w:rPr>
        <w:t xml:space="preserve"> </w:t>
      </w:r>
      <w:r w:rsidR="00CF2340" w:rsidRPr="00F57DEC">
        <w:rPr>
          <w:rFonts w:cs="Times New Roman"/>
          <w:lang w:val="en-GB"/>
        </w:rPr>
        <w:t xml:space="preserve">59, </w:t>
      </w:r>
      <w:r w:rsidR="00F57DEC" w:rsidRPr="00F57DEC">
        <w:rPr>
          <w:rFonts w:cs="Times New Roman"/>
          <w:lang w:val="en-GB"/>
        </w:rPr>
        <w:t>with 72 decisions on the right of reply (11% of cases) and 7 cases relating to journalists' rights (1% of cases). The issues that required the most attention were content analysis (31%) and authorizations (16%).</w:t>
      </w:r>
    </w:p>
  </w:footnote>
  <w:footnote w:id="215">
    <w:p w14:paraId="41993CC4" w14:textId="7FD68E5C" w:rsidR="00C94C72" w:rsidRPr="002D79FD" w:rsidRDefault="00C94C72"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w:t>
      </w:r>
      <w:r w:rsidR="00937BA9" w:rsidRPr="002D79FD">
        <w:rPr>
          <w:rFonts w:cs="Times New Roman"/>
        </w:rPr>
        <w:t xml:space="preserve"> 416.</w:t>
      </w:r>
    </w:p>
  </w:footnote>
  <w:footnote w:id="216">
    <w:p w14:paraId="73F9EDE1" w14:textId="77777777" w:rsidR="000F5EFE" w:rsidRPr="002D79FD" w:rsidRDefault="000F5EFE"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Amado (2017) 36.</w:t>
      </w:r>
    </w:p>
  </w:footnote>
  <w:footnote w:id="217">
    <w:p w14:paraId="0B53E02F" w14:textId="77777777" w:rsidR="00E61DE5" w:rsidRPr="006C0C10" w:rsidRDefault="00E61DE5"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Camponez, J. (2010). Os jornalistas são um pouco desleixados com a sua autoregulação.  </w:t>
      </w:r>
      <w:r w:rsidRPr="006C0C10">
        <w:rPr>
          <w:rFonts w:cs="Times New Roman"/>
          <w:i/>
          <w:iCs/>
          <w:lang w:val="en-GB"/>
        </w:rPr>
        <w:t>JJ</w:t>
      </w:r>
      <w:r w:rsidRPr="006C0C10">
        <w:rPr>
          <w:rFonts w:cs="Times New Roman"/>
          <w:lang w:val="en-GB"/>
        </w:rPr>
        <w:t>, 43.</w:t>
      </w:r>
    </w:p>
  </w:footnote>
  <w:footnote w:id="218">
    <w:p w14:paraId="5C5151A9" w14:textId="359CA690" w:rsidR="00E17DCB" w:rsidRPr="006C0C10" w:rsidRDefault="00E17DCB" w:rsidP="00C1129C">
      <w:pPr>
        <w:pStyle w:val="FootnoteText"/>
        <w:spacing w:line="480" w:lineRule="auto"/>
        <w:jc w:val="both"/>
        <w:rPr>
          <w:rFonts w:cs="Times New Roman"/>
          <w:lang w:val="en-GB"/>
        </w:rPr>
      </w:pPr>
      <w:r w:rsidRPr="002D79FD">
        <w:rPr>
          <w:rStyle w:val="FootnoteReference"/>
          <w:rFonts w:cs="Times New Roman"/>
        </w:rPr>
        <w:footnoteRef/>
      </w:r>
      <w:r w:rsidRPr="006C0C10">
        <w:rPr>
          <w:rFonts w:cs="Times New Roman"/>
          <w:lang w:val="en-GB"/>
        </w:rPr>
        <w:t xml:space="preserve"> </w:t>
      </w:r>
      <w:r w:rsidR="009F4282" w:rsidRPr="006C0C10">
        <w:rPr>
          <w:rFonts w:cs="Times New Roman"/>
          <w:lang w:val="en-GB"/>
        </w:rPr>
        <w:t>Couraceiro &amp; Lopes (</w:t>
      </w:r>
      <w:r w:rsidR="00FC732A" w:rsidRPr="006C0C10">
        <w:rPr>
          <w:rFonts w:cs="Times New Roman"/>
          <w:lang w:val="en-GB"/>
        </w:rPr>
        <w:t>2025</w:t>
      </w:r>
      <w:r w:rsidR="009F4282" w:rsidRPr="006C0C10">
        <w:rPr>
          <w:rFonts w:cs="Times New Roman"/>
          <w:lang w:val="en-GB"/>
        </w:rPr>
        <w:t>) 75.</w:t>
      </w:r>
    </w:p>
  </w:footnote>
  <w:footnote w:id="219">
    <w:p w14:paraId="195415C0" w14:textId="0190E32D" w:rsidR="00764188" w:rsidRPr="006C0C10" w:rsidRDefault="00764188" w:rsidP="00C1129C">
      <w:pPr>
        <w:pStyle w:val="FootnoteText"/>
        <w:spacing w:line="480" w:lineRule="auto"/>
        <w:jc w:val="both"/>
        <w:rPr>
          <w:rFonts w:cs="Times New Roman"/>
          <w:lang w:val="en-GB"/>
        </w:rPr>
      </w:pPr>
      <w:r w:rsidRPr="002D79FD">
        <w:rPr>
          <w:rStyle w:val="FootnoteReference"/>
          <w:rFonts w:cs="Times New Roman"/>
        </w:rPr>
        <w:footnoteRef/>
      </w:r>
      <w:r w:rsidRPr="006C0C10">
        <w:rPr>
          <w:rFonts w:cs="Times New Roman"/>
          <w:lang w:val="en-GB"/>
        </w:rPr>
        <w:t xml:space="preserve"> </w:t>
      </w:r>
      <w:r w:rsidR="006C0C10" w:rsidRPr="006C0C10">
        <w:rPr>
          <w:rFonts w:cs="Times New Roman"/>
          <w:lang w:val="en-GB"/>
        </w:rPr>
        <w:t>Commission Delegated Regulation (EU) 2024/436 of October 20, 2023, supplementing Regulation (EU) 2022/2065 of the European Parliament and of the Council by laying down rules on the auditing of very large online platforms and very large online search engines; Commission Implementing Regulation (EU) 2024/607 of 15.02.2024 on the practical and operational arrangements for the functioning of the information sharing system under the DSA; Commission Communication: Commission Guidelines for providers of very large online platforms and very large online search engines on mitigating systemic risks to electoral processes pursuant to Article 35(3) of the DSA; Commission Implementing Regulation (EU) 2024/2835 of November 4, 2024, establishing templates for transparency reporting obligations of intermediary service providers and online platform providers under the DSA.</w:t>
      </w:r>
    </w:p>
  </w:footnote>
  <w:footnote w:id="220">
    <w:p w14:paraId="54ABEAE8" w14:textId="77777777" w:rsidR="00BE7008" w:rsidRPr="002D79FD" w:rsidRDefault="00BE7008"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Capelo de Sousa, R. (1978). A Constituição e os Direitos de Personalidade. In </w:t>
      </w:r>
      <w:r w:rsidRPr="002D79FD">
        <w:rPr>
          <w:rFonts w:cs="Times New Roman"/>
          <w:i/>
          <w:iCs/>
        </w:rPr>
        <w:t>Estudos sobre a Constituição</w:t>
      </w:r>
      <w:r w:rsidRPr="002D79FD">
        <w:rPr>
          <w:rFonts w:cs="Times New Roman"/>
        </w:rPr>
        <w:t xml:space="preserve">, Vol. II. Petrony, 93. </w:t>
      </w:r>
      <w:r w:rsidRPr="00BE7008">
        <w:rPr>
          <w:rFonts w:cs="Times New Roman"/>
        </w:rPr>
        <w:t xml:space="preserve">The legal concept of honor is quite controversial. For example, Costa Andrade, M. (1996). </w:t>
      </w:r>
      <w:r w:rsidRPr="002D79FD">
        <w:rPr>
          <w:rFonts w:cs="Times New Roman"/>
          <w:i/>
          <w:iCs/>
        </w:rPr>
        <w:t>Liberdade de imprensa e inviolabilidade pessoal — uma perspetiva jurídico-criminal.</w:t>
      </w:r>
      <w:r w:rsidRPr="002D79FD">
        <w:rPr>
          <w:rFonts w:cs="Times New Roman"/>
        </w:rPr>
        <w:t xml:space="preserve"> </w:t>
      </w:r>
      <w:r w:rsidRPr="00C74077">
        <w:rPr>
          <w:rFonts w:cs="Times New Roman"/>
          <w:lang w:val="en-GB"/>
        </w:rPr>
        <w:t xml:space="preserve">Coimbra Editora, 77, identifies more than sixty in doctrine. In Portugal, there are factual, normative, or mixed positions. </w:t>
      </w:r>
      <w:r w:rsidRPr="00C74077">
        <w:rPr>
          <w:rFonts w:cs="Times New Roman"/>
        </w:rPr>
        <w:t>See respectively</w:t>
      </w:r>
      <w:r w:rsidRPr="002D79FD">
        <w:rPr>
          <w:rFonts w:cs="Times New Roman"/>
        </w:rPr>
        <w:t xml:space="preserve">, Beleza dos Santos, J. (1959). Algumas considerações jurídicas sobre crimes de difamação e de injúria. </w:t>
      </w:r>
      <w:r w:rsidRPr="002D79FD">
        <w:rPr>
          <w:rFonts w:cs="Times New Roman"/>
          <w:i/>
          <w:iCs/>
        </w:rPr>
        <w:t>Revista de Legislação e Jurisprudência, ano 92, 3152</w:t>
      </w:r>
      <w:r w:rsidRPr="002D79FD">
        <w:rPr>
          <w:rFonts w:cs="Times New Roman"/>
        </w:rPr>
        <w:t xml:space="preserve">,168; Silva Dias, A. (1989). </w:t>
      </w:r>
      <w:r w:rsidRPr="002D79FD">
        <w:rPr>
          <w:rFonts w:cs="Times New Roman"/>
          <w:i/>
          <w:iCs/>
        </w:rPr>
        <w:t>Alguns aspetos do regime jurídico dos crimes de difamação e de injúria</w:t>
      </w:r>
      <w:r w:rsidRPr="002D79FD">
        <w:rPr>
          <w:rFonts w:cs="Times New Roman"/>
        </w:rPr>
        <w:t>. AAFDL, 16 ss.; Costa Andrade (1996) 86. Com uma interpretação bastante restrita de honra,</w:t>
      </w:r>
      <w:r w:rsidRPr="002D79FD">
        <w:rPr>
          <w:rFonts w:cs="Times New Roman"/>
          <w:b/>
          <w:bCs/>
        </w:rPr>
        <w:t xml:space="preserve"> </w:t>
      </w:r>
      <w:r w:rsidRPr="002D79FD">
        <w:rPr>
          <w:rFonts w:cs="Times New Roman"/>
        </w:rPr>
        <w:t xml:space="preserve">Andrade, M. P. (1996). </w:t>
      </w:r>
      <w:r w:rsidRPr="002D79FD">
        <w:rPr>
          <w:rFonts w:cs="Times New Roman"/>
          <w:i/>
          <w:iCs/>
        </w:rPr>
        <w:t>Da Ofensa do Crédito e do Bom Nome, Contributo para o Estudo do artigo 484º do Código Civil</w:t>
      </w:r>
      <w:r w:rsidRPr="002D79FD">
        <w:rPr>
          <w:rFonts w:cs="Times New Roman"/>
        </w:rPr>
        <w:t>. Tempus Editores, 97.</w:t>
      </w:r>
    </w:p>
  </w:footnote>
  <w:footnote w:id="221">
    <w:p w14:paraId="14C549FC" w14:textId="77777777" w:rsidR="00550FDB" w:rsidRPr="002D79FD" w:rsidRDefault="00550FDB"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Teixeira da Mota (2017). Liberdade de Expressão — A Jurisprudência  do TEDH e os Tribunais Portugueses. </w:t>
      </w:r>
      <w:r w:rsidRPr="002D79FD">
        <w:rPr>
          <w:rFonts w:cs="Times New Roman"/>
          <w:i/>
          <w:iCs/>
        </w:rPr>
        <w:t>Julgar, 32</w:t>
      </w:r>
      <w:r w:rsidRPr="002D79FD">
        <w:rPr>
          <w:rFonts w:cs="Times New Roman"/>
        </w:rPr>
        <w:t>, 182.</w:t>
      </w:r>
    </w:p>
  </w:footnote>
  <w:footnote w:id="222">
    <w:p w14:paraId="2BA05204" w14:textId="77777777" w:rsidR="0038543D" w:rsidRPr="003F4B82" w:rsidRDefault="0038543D"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Figueiredo Dias, J. (1983). Direito de Informação e Tutela da Honra no Direito Penal da Imprensa Português. </w:t>
      </w:r>
      <w:r w:rsidRPr="003F4B82">
        <w:rPr>
          <w:rFonts w:cs="Times New Roman"/>
          <w:i/>
          <w:iCs/>
          <w:lang w:val="en-GB"/>
        </w:rPr>
        <w:t>Revista de Legislação e Jurisprudência</w:t>
      </w:r>
      <w:r w:rsidRPr="003F4B82">
        <w:rPr>
          <w:rFonts w:cs="Times New Roman"/>
          <w:lang w:val="en-GB"/>
        </w:rPr>
        <w:t>, Ano 115, 100 ss.</w:t>
      </w:r>
    </w:p>
  </w:footnote>
  <w:footnote w:id="223">
    <w:p w14:paraId="323319A2" w14:textId="3AA2567B" w:rsidR="0038543D" w:rsidRPr="00FB7B0D" w:rsidRDefault="0038543D" w:rsidP="00C1129C">
      <w:pPr>
        <w:pStyle w:val="FootnoteText"/>
        <w:spacing w:line="480" w:lineRule="auto"/>
        <w:jc w:val="both"/>
        <w:rPr>
          <w:rFonts w:cs="Times New Roman"/>
          <w:lang w:val="en-GB"/>
        </w:rPr>
      </w:pPr>
      <w:r w:rsidRPr="002D79FD">
        <w:rPr>
          <w:rStyle w:val="FootnoteReference"/>
          <w:rFonts w:cs="Times New Roman"/>
        </w:rPr>
        <w:footnoteRef/>
      </w:r>
      <w:r w:rsidRPr="00FB7B0D">
        <w:rPr>
          <w:rFonts w:cs="Times New Roman"/>
          <w:lang w:val="en-GB"/>
        </w:rPr>
        <w:t xml:space="preserve"> </w:t>
      </w:r>
      <w:r w:rsidR="00FB7B0D">
        <w:rPr>
          <w:rFonts w:cs="Times New Roman"/>
          <w:lang w:val="en-GB"/>
        </w:rPr>
        <w:t>I</w:t>
      </w:r>
      <w:r w:rsidR="00FB7B0D" w:rsidRPr="00FB7B0D">
        <w:rPr>
          <w:rFonts w:cs="Times New Roman"/>
          <w:lang w:val="en-GB"/>
        </w:rPr>
        <w:t xml:space="preserve">n this regard, </w:t>
      </w:r>
      <w:r w:rsidR="00FB7B0D">
        <w:rPr>
          <w:rFonts w:cs="Times New Roman"/>
          <w:lang w:val="en-GB"/>
        </w:rPr>
        <w:t>Ruling</w:t>
      </w:r>
      <w:r w:rsidR="00FB7B0D" w:rsidRPr="00FB7B0D">
        <w:rPr>
          <w:rFonts w:cs="Times New Roman"/>
          <w:lang w:val="en-GB"/>
        </w:rPr>
        <w:t xml:space="preserve"> of the </w:t>
      </w:r>
      <w:r w:rsidR="00FB7B0D">
        <w:rPr>
          <w:rFonts w:cs="Times New Roman"/>
          <w:lang w:val="en-GB"/>
        </w:rPr>
        <w:t>STJ</w:t>
      </w:r>
      <w:r w:rsidR="00FB7B0D" w:rsidRPr="00FB7B0D">
        <w:rPr>
          <w:rFonts w:cs="Times New Roman"/>
          <w:lang w:val="en-GB"/>
        </w:rPr>
        <w:t xml:space="preserve">, dated </w:t>
      </w:r>
      <w:r w:rsidRPr="00FB7B0D">
        <w:rPr>
          <w:rFonts w:cs="Times New Roman"/>
          <w:lang w:val="en-GB"/>
        </w:rPr>
        <w:t>04.03.2010 (Proc. 677/09.1YFLSB), in  </w:t>
      </w:r>
      <w:hyperlink r:id="rId21" w:history="1">
        <w:r w:rsidRPr="00FB7B0D">
          <w:rPr>
            <w:rStyle w:val="Hyperlink"/>
            <w:rFonts w:cs="Times New Roman"/>
            <w:lang w:val="en-GB"/>
          </w:rPr>
          <w:t>www.dgsi.pt/jstj</w:t>
        </w:r>
      </w:hyperlink>
    </w:p>
  </w:footnote>
  <w:footnote w:id="224">
    <w:p w14:paraId="0B5BEC5D" w14:textId="2FD7DA2B" w:rsidR="006056EE" w:rsidRPr="002D79FD" w:rsidRDefault="006056EE"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6657B4">
        <w:rPr>
          <w:rFonts w:cs="Times New Roman"/>
        </w:rPr>
        <w:t>In particular</w:t>
      </w:r>
      <w:r w:rsidR="00CB5DC4" w:rsidRPr="002D79FD">
        <w:rPr>
          <w:rFonts w:cs="Times New Roman"/>
        </w:rPr>
        <w:t>, Costa Andrade (1996).</w:t>
      </w:r>
    </w:p>
  </w:footnote>
  <w:footnote w:id="225">
    <w:p w14:paraId="2AC44A6D" w14:textId="77777777" w:rsidR="008E61CE" w:rsidRPr="002D79FD" w:rsidRDefault="008E61CE"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In Colectânea de Jurisprudência do STJ, II/94, 54.</w:t>
      </w:r>
    </w:p>
  </w:footnote>
  <w:footnote w:id="226">
    <w:p w14:paraId="417DA923" w14:textId="77777777" w:rsidR="008E61CE" w:rsidRPr="002D79FD" w:rsidRDefault="008E61CE"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Proc. 07B566, in </w:t>
      </w:r>
      <w:hyperlink r:id="rId22" w:history="1">
        <w:r w:rsidRPr="002D79FD">
          <w:rPr>
            <w:rStyle w:val="Hyperlink"/>
            <w:rFonts w:cs="Times New Roman"/>
            <w:lang w:val="en-GB"/>
          </w:rPr>
          <w:t>www.dgsi.pt/jstj</w:t>
        </w:r>
      </w:hyperlink>
    </w:p>
  </w:footnote>
  <w:footnote w:id="227">
    <w:p w14:paraId="423242DA" w14:textId="77777777" w:rsidR="00C7114B" w:rsidRPr="002D79FD" w:rsidRDefault="00C7114B"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Proc. 03B3898, in  </w:t>
      </w:r>
      <w:hyperlink r:id="rId23" w:history="1">
        <w:r w:rsidRPr="002D79FD">
          <w:rPr>
            <w:rStyle w:val="Hyperlink"/>
            <w:rFonts w:cs="Times New Roman"/>
            <w:lang w:val="en-GB"/>
          </w:rPr>
          <w:t>www.dgsi.pt/jstj</w:t>
        </w:r>
      </w:hyperlink>
    </w:p>
  </w:footnote>
  <w:footnote w:id="228">
    <w:p w14:paraId="74994AA7" w14:textId="77777777" w:rsidR="00C7114B" w:rsidRPr="002D79FD" w:rsidRDefault="00C7114B"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Proc. 4797/07.9TVLSB.L2S1, in </w:t>
      </w:r>
      <w:hyperlink r:id="rId24" w:history="1">
        <w:r w:rsidRPr="002D79FD">
          <w:rPr>
            <w:rStyle w:val="Hyperlink"/>
            <w:rFonts w:cs="Times New Roman"/>
            <w:lang w:val="en-GB"/>
          </w:rPr>
          <w:t>www.dgsi.pt/jstj</w:t>
        </w:r>
      </w:hyperlink>
    </w:p>
  </w:footnote>
  <w:footnote w:id="229">
    <w:p w14:paraId="4624FA4A" w14:textId="164EFBA8" w:rsidR="00F27876" w:rsidRPr="002D79FD" w:rsidRDefault="00F27876" w:rsidP="00C1129C">
      <w:pPr>
        <w:pStyle w:val="FootnoteText"/>
        <w:spacing w:line="480" w:lineRule="auto"/>
        <w:jc w:val="both"/>
        <w:rPr>
          <w:rFonts w:cs="Times New Roman"/>
        </w:rPr>
      </w:pPr>
      <w:r w:rsidRPr="002D79FD">
        <w:rPr>
          <w:rStyle w:val="FootnoteReference"/>
          <w:rFonts w:cs="Times New Roman"/>
        </w:rPr>
        <w:footnoteRef/>
      </w:r>
      <w:r w:rsidR="00660F5C" w:rsidRPr="002D79FD">
        <w:rPr>
          <w:rFonts w:cs="Times New Roman"/>
        </w:rPr>
        <w:t xml:space="preserve"> Teixeira da Mota (2017);</w:t>
      </w:r>
      <w:r w:rsidR="00243CB9" w:rsidRPr="002D79FD">
        <w:rPr>
          <w:rFonts w:cs="Times New Roman"/>
        </w:rPr>
        <w:t xml:space="preserve"> Moreira das Neves, J. F. (2016). A Tutela da Honra Frente à Liberdade de Expressão numa Sociedade Democrática. </w:t>
      </w:r>
      <w:r w:rsidR="00243CB9" w:rsidRPr="002D79FD">
        <w:rPr>
          <w:rFonts w:cs="Times New Roman"/>
          <w:i/>
          <w:iCs/>
        </w:rPr>
        <w:t xml:space="preserve">Data Venia, 5; </w:t>
      </w:r>
      <w:r w:rsidRPr="002D79FD">
        <w:rPr>
          <w:rFonts w:cs="Times New Roman"/>
        </w:rPr>
        <w:t xml:space="preserve">Machado, J. (2009). Liberdade de Expressão, Interesse Público e Figuras Públicas ou Equiparadas. </w:t>
      </w:r>
      <w:r w:rsidRPr="002D79FD">
        <w:rPr>
          <w:rFonts w:cs="Times New Roman"/>
          <w:i/>
          <w:iCs/>
        </w:rPr>
        <w:t>Boletim da Faculdade de Direito, LXXXV</w:t>
      </w:r>
      <w:r w:rsidRPr="002D79FD">
        <w:rPr>
          <w:rFonts w:cs="Times New Roman"/>
        </w:rPr>
        <w:t>, 80.</w:t>
      </w:r>
    </w:p>
  </w:footnote>
  <w:footnote w:id="230">
    <w:p w14:paraId="21DC1D43" w14:textId="3152E000" w:rsidR="00774207" w:rsidRPr="003F4B82" w:rsidRDefault="00774207" w:rsidP="00C1129C">
      <w:pPr>
        <w:pStyle w:val="FootnoteText"/>
        <w:spacing w:line="480" w:lineRule="auto"/>
        <w:jc w:val="both"/>
        <w:rPr>
          <w:rFonts w:cs="Times New Roman"/>
        </w:rPr>
      </w:pPr>
      <w:r w:rsidRPr="002D79FD">
        <w:rPr>
          <w:rStyle w:val="FootnoteReference"/>
          <w:rFonts w:cs="Times New Roman"/>
        </w:rPr>
        <w:footnoteRef/>
      </w:r>
      <w:r w:rsidRPr="003F4B82">
        <w:rPr>
          <w:rFonts w:cs="Times New Roman"/>
        </w:rPr>
        <w:t xml:space="preserve"> </w:t>
      </w:r>
      <w:r w:rsidR="00BF0465" w:rsidRPr="003F4B82">
        <w:rPr>
          <w:rFonts w:cs="Times New Roman"/>
        </w:rPr>
        <w:t>For</w:t>
      </w:r>
      <w:r w:rsidRPr="003F4B82">
        <w:rPr>
          <w:rFonts w:cs="Times New Roman"/>
        </w:rPr>
        <w:t xml:space="preserve"> </w:t>
      </w:r>
      <w:r w:rsidR="00542071" w:rsidRPr="003F4B82">
        <w:rPr>
          <w:rFonts w:cs="Times New Roman"/>
        </w:rPr>
        <w:t>example</w:t>
      </w:r>
      <w:r w:rsidRPr="003F4B82">
        <w:rPr>
          <w:rFonts w:cs="Times New Roman"/>
        </w:rPr>
        <w:t xml:space="preserve">, </w:t>
      </w:r>
      <w:hyperlink r:id="rId25" w:history="1">
        <w:r w:rsidRPr="003F4B82">
          <w:rPr>
            <w:rStyle w:val="Hyperlink"/>
            <w:rFonts w:cs="Times New Roman"/>
          </w:rPr>
          <w:t>https://www.stj.pt/wp-content/uploads/2024/02/cadernoliberdadeexpressoinformaodireitospersonalidadejurisprudncia-stj.pdf</w:t>
        </w:r>
      </w:hyperlink>
      <w:r w:rsidRPr="003F4B82">
        <w:rPr>
          <w:rFonts w:cs="Times New Roman"/>
        </w:rPr>
        <w:t xml:space="preserve"> ;  </w:t>
      </w:r>
      <w:hyperlink r:id="rId26" w:history="1">
        <w:r w:rsidRPr="003F4B82">
          <w:rPr>
            <w:rStyle w:val="Hyperlink"/>
            <w:rFonts w:cs="Times New Roman"/>
          </w:rPr>
          <w:t>https://carlospintodeabreu.com/wp-content/uploads/2021/04/Crime-de-difama%C3%A7%C3%A3o-liberdade-de-imprensa-liberdade-de-express%C3%A3o.pdf</w:t>
        </w:r>
      </w:hyperlink>
      <w:r w:rsidRPr="003F4B82">
        <w:rPr>
          <w:rFonts w:cs="Times New Roman"/>
        </w:rPr>
        <w:t xml:space="preserve">  </w:t>
      </w:r>
    </w:p>
  </w:footnote>
  <w:footnote w:id="231">
    <w:p w14:paraId="215CC3C6" w14:textId="77777777" w:rsidR="00B760E9" w:rsidRPr="00D61DEC" w:rsidRDefault="00B760E9"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lang w:val="en-GB"/>
        </w:rPr>
        <w:t xml:space="preserve"> </w:t>
      </w:r>
      <w:r w:rsidRPr="00BF0465">
        <w:rPr>
          <w:rFonts w:cs="Times New Roman"/>
          <w:lang w:val="en-GB"/>
        </w:rPr>
        <w:t>For example,</w:t>
      </w:r>
      <w:r>
        <w:rPr>
          <w:rFonts w:cs="Times New Roman"/>
          <w:lang w:val="en-GB"/>
        </w:rPr>
        <w:t xml:space="preserve"> the Ruling </w:t>
      </w:r>
      <w:r w:rsidRPr="002D79FD">
        <w:rPr>
          <w:rFonts w:cs="Times New Roman"/>
          <w:lang w:val="en-GB"/>
        </w:rPr>
        <w:t xml:space="preserve">from 02.02.2020 of the STJ ruled that freedom of expression must be balanced against the right to a good name, especially when false claims are made and </w:t>
      </w:r>
      <w:r>
        <w:rPr>
          <w:rFonts w:cs="Times New Roman"/>
          <w:lang w:val="en-GB"/>
        </w:rPr>
        <w:t>Ruling</w:t>
      </w:r>
      <w:r w:rsidRPr="002D79FD">
        <w:rPr>
          <w:rFonts w:cs="Times New Roman"/>
          <w:lang w:val="en-GB"/>
        </w:rPr>
        <w:t xml:space="preserve"> from 05.06.2018 of the STJ found that the publication of false accusations without sufficient verification can lead to liability for damages. </w:t>
      </w:r>
      <w:r w:rsidRPr="00D61DEC">
        <w:rPr>
          <w:rFonts w:cs="Times New Roman"/>
          <w:lang w:val="en-GB"/>
        </w:rPr>
        <w:t>See  </w:t>
      </w:r>
      <w:hyperlink r:id="rId27" w:history="1">
        <w:r w:rsidRPr="00D61DEC">
          <w:rPr>
            <w:rStyle w:val="Hyperlink"/>
            <w:rFonts w:cs="Times New Roman"/>
            <w:lang w:val="en-GB"/>
          </w:rPr>
          <w:t>www.dgsi.pt/jstj</w:t>
        </w:r>
      </w:hyperlink>
    </w:p>
  </w:footnote>
  <w:footnote w:id="232">
    <w:p w14:paraId="444CF671" w14:textId="3B932EB0" w:rsidR="00344201" w:rsidRPr="00D61DEC" w:rsidRDefault="00344201" w:rsidP="00C1129C">
      <w:pPr>
        <w:pStyle w:val="FootnoteText"/>
        <w:spacing w:line="480" w:lineRule="auto"/>
        <w:jc w:val="both"/>
        <w:rPr>
          <w:rFonts w:cs="Times New Roman"/>
          <w:lang w:val="en-GB"/>
        </w:rPr>
      </w:pPr>
      <w:r w:rsidRPr="002D79FD">
        <w:rPr>
          <w:rStyle w:val="FootnoteReference"/>
          <w:rFonts w:cs="Times New Roman"/>
        </w:rPr>
        <w:footnoteRef/>
      </w:r>
      <w:r w:rsidRPr="00D61DEC">
        <w:rPr>
          <w:rFonts w:cs="Times New Roman"/>
          <w:lang w:val="en-GB"/>
        </w:rPr>
        <w:t xml:space="preserve"> </w:t>
      </w:r>
      <w:r w:rsidR="00980A46" w:rsidRPr="00D61DEC">
        <w:rPr>
          <w:rFonts w:cs="Times New Roman"/>
          <w:lang w:val="en-GB"/>
        </w:rPr>
        <w:t>For all</w:t>
      </w:r>
      <w:r w:rsidRPr="00D61DEC">
        <w:rPr>
          <w:rFonts w:cs="Times New Roman"/>
          <w:lang w:val="en-GB"/>
        </w:rPr>
        <w:t>, Machado (2009).</w:t>
      </w:r>
    </w:p>
  </w:footnote>
  <w:footnote w:id="233">
    <w:p w14:paraId="3C4892B2" w14:textId="1FEF1ACD" w:rsidR="00054E96" w:rsidRPr="00D61DEC" w:rsidRDefault="00054E96" w:rsidP="00C1129C">
      <w:pPr>
        <w:pStyle w:val="FootnoteText"/>
        <w:spacing w:line="480" w:lineRule="auto"/>
        <w:jc w:val="both"/>
        <w:rPr>
          <w:rFonts w:cs="Times New Roman"/>
          <w:lang w:val="en-GB"/>
        </w:rPr>
      </w:pPr>
      <w:r w:rsidRPr="002D79FD">
        <w:rPr>
          <w:rStyle w:val="FootnoteReference"/>
          <w:rFonts w:cs="Times New Roman"/>
        </w:rPr>
        <w:footnoteRef/>
      </w:r>
      <w:r w:rsidRPr="00D61DEC">
        <w:rPr>
          <w:rFonts w:cs="Times New Roman"/>
          <w:lang w:val="en-GB"/>
        </w:rPr>
        <w:t xml:space="preserve"> </w:t>
      </w:r>
      <w:r w:rsidR="00D61DEC" w:rsidRPr="00D61DEC">
        <w:rPr>
          <w:rFonts w:cs="Times New Roman"/>
          <w:lang w:val="en-GB"/>
        </w:rPr>
        <w:t xml:space="preserve">For example, STJ Ruling </w:t>
      </w:r>
      <w:r w:rsidR="00D61DEC">
        <w:rPr>
          <w:rFonts w:cs="Times New Roman"/>
          <w:lang w:val="en-GB"/>
        </w:rPr>
        <w:t>from</w:t>
      </w:r>
      <w:r w:rsidR="00D61DEC" w:rsidRPr="00D61DEC">
        <w:rPr>
          <w:rFonts w:cs="Times New Roman"/>
          <w:lang w:val="en-GB"/>
        </w:rPr>
        <w:t xml:space="preserve"> </w:t>
      </w:r>
      <w:r w:rsidR="00FD63D7" w:rsidRPr="00D61DEC">
        <w:rPr>
          <w:rFonts w:cs="Times New Roman"/>
          <w:lang w:val="en-GB"/>
        </w:rPr>
        <w:t>30</w:t>
      </w:r>
      <w:r w:rsidR="00FC5424" w:rsidRPr="00D61DEC">
        <w:rPr>
          <w:rFonts w:cs="Times New Roman"/>
          <w:lang w:val="en-GB"/>
        </w:rPr>
        <w:t>.0</w:t>
      </w:r>
      <w:r w:rsidR="00FD63D7" w:rsidRPr="00D61DEC">
        <w:rPr>
          <w:rFonts w:cs="Times New Roman"/>
          <w:lang w:val="en-GB"/>
        </w:rPr>
        <w:t>6.2011 (</w:t>
      </w:r>
      <w:r w:rsidR="00B81E74" w:rsidRPr="00D61DEC">
        <w:rPr>
          <w:rFonts w:cs="Times New Roman"/>
          <w:lang w:val="en-GB"/>
        </w:rPr>
        <w:t>P</w:t>
      </w:r>
      <w:r w:rsidR="00FD63D7" w:rsidRPr="00D61DEC">
        <w:rPr>
          <w:rFonts w:cs="Times New Roman"/>
          <w:lang w:val="en-GB"/>
        </w:rPr>
        <w:t>roc. 1272/04.7TBBCL.G</w:t>
      </w:r>
      <w:r w:rsidR="00FD63D7" w:rsidRPr="00D61DEC">
        <w:rPr>
          <w:rFonts w:cs="Times New Roman"/>
          <w:lang w:val="en-GB"/>
        </w:rPr>
        <w:t>1.S1)</w:t>
      </w:r>
      <w:r w:rsidR="00E227FD" w:rsidRPr="00D61DEC">
        <w:rPr>
          <w:rFonts w:cs="Times New Roman"/>
          <w:lang w:val="en-GB"/>
        </w:rPr>
        <w:t xml:space="preserve">; </w:t>
      </w:r>
      <w:r w:rsidR="00D61DEC" w:rsidRPr="00D61DEC">
        <w:rPr>
          <w:rFonts w:cs="Times New Roman"/>
          <w:lang w:val="en-GB"/>
        </w:rPr>
        <w:t xml:space="preserve">STJ Ruling </w:t>
      </w:r>
      <w:r w:rsidR="00D61DEC">
        <w:rPr>
          <w:rFonts w:cs="Times New Roman"/>
          <w:lang w:val="en-GB"/>
        </w:rPr>
        <w:t>from</w:t>
      </w:r>
      <w:r w:rsidR="00D61DEC" w:rsidRPr="00D61DEC">
        <w:rPr>
          <w:rFonts w:cs="Times New Roman"/>
          <w:lang w:val="en-GB"/>
        </w:rPr>
        <w:t xml:space="preserve"> </w:t>
      </w:r>
      <w:r w:rsidR="00E227FD" w:rsidRPr="00D61DEC">
        <w:rPr>
          <w:rFonts w:cs="Times New Roman"/>
          <w:lang w:val="en-GB"/>
        </w:rPr>
        <w:t xml:space="preserve">18.12.2002 (Proc. 03A2249), </w:t>
      </w:r>
      <w:r w:rsidR="00A83AE6" w:rsidRPr="00D61DEC">
        <w:rPr>
          <w:rFonts w:cs="Times New Roman"/>
          <w:lang w:val="en-GB"/>
        </w:rPr>
        <w:t>in  </w:t>
      </w:r>
      <w:hyperlink r:id="rId28" w:history="1">
        <w:r w:rsidR="00A83AE6" w:rsidRPr="00D61DEC">
          <w:rPr>
            <w:rStyle w:val="Hyperlink"/>
            <w:rFonts w:cs="Times New Roman"/>
            <w:lang w:val="en-GB"/>
          </w:rPr>
          <w:t>www.dgsi.pt/jstj</w:t>
        </w:r>
      </w:hyperlink>
    </w:p>
  </w:footnote>
  <w:footnote w:id="234">
    <w:p w14:paraId="3C753336" w14:textId="0F6E6EEB" w:rsidR="002A6315" w:rsidRPr="00D61DEC" w:rsidRDefault="002A6315" w:rsidP="00C1129C">
      <w:pPr>
        <w:pStyle w:val="FootnoteText"/>
        <w:spacing w:line="480" w:lineRule="auto"/>
        <w:jc w:val="both"/>
        <w:rPr>
          <w:rFonts w:cs="Times New Roman"/>
          <w:lang w:val="en-GB"/>
        </w:rPr>
      </w:pPr>
      <w:r w:rsidRPr="002D79FD">
        <w:rPr>
          <w:rStyle w:val="FootnoteReference"/>
          <w:rFonts w:cs="Times New Roman"/>
        </w:rPr>
        <w:footnoteRef/>
      </w:r>
      <w:r w:rsidRPr="00D61DEC">
        <w:rPr>
          <w:rFonts w:cs="Times New Roman"/>
          <w:lang w:val="en-GB"/>
        </w:rPr>
        <w:t xml:space="preserve"> </w:t>
      </w:r>
      <w:r w:rsidR="00D61DEC">
        <w:rPr>
          <w:rFonts w:cs="Times New Roman"/>
          <w:lang w:val="en-GB"/>
        </w:rPr>
        <w:t>For example</w:t>
      </w:r>
      <w:r w:rsidR="006A6CF9" w:rsidRPr="00D61DEC">
        <w:rPr>
          <w:rFonts w:cs="Times New Roman"/>
          <w:lang w:val="en-GB"/>
        </w:rPr>
        <w:t xml:space="preserve">, </w:t>
      </w:r>
      <w:r w:rsidR="00D61DEC" w:rsidRPr="00D61DEC">
        <w:rPr>
          <w:rFonts w:cs="Times New Roman"/>
          <w:lang w:val="en-GB"/>
        </w:rPr>
        <w:t xml:space="preserve">STJ Ruling from </w:t>
      </w:r>
      <w:r w:rsidR="00C6360B" w:rsidRPr="00D61DEC">
        <w:rPr>
          <w:rFonts w:cs="Times New Roman"/>
          <w:lang w:val="en-GB"/>
        </w:rPr>
        <w:t>18.06.2009 (Proc.</w:t>
      </w:r>
      <w:r w:rsidR="00562D05" w:rsidRPr="00D61DEC">
        <w:rPr>
          <w:rFonts w:cs="Times New Roman"/>
          <w:lang w:val="en-GB"/>
        </w:rPr>
        <w:t xml:space="preserve"> </w:t>
      </w:r>
      <w:r w:rsidR="00C6360B" w:rsidRPr="00D61DEC">
        <w:rPr>
          <w:rFonts w:cs="Times New Roman"/>
          <w:lang w:val="en-GB"/>
        </w:rPr>
        <w:t>159/09.1YFLSB)</w:t>
      </w:r>
      <w:r w:rsidR="00FC5424" w:rsidRPr="00D61DEC">
        <w:rPr>
          <w:rFonts w:cs="Times New Roman"/>
          <w:lang w:val="en-GB"/>
        </w:rPr>
        <w:t>;</w:t>
      </w:r>
      <w:r w:rsidR="00C6360B" w:rsidRPr="00D61DEC">
        <w:rPr>
          <w:rFonts w:cs="Times New Roman"/>
          <w:lang w:val="en-GB"/>
        </w:rPr>
        <w:t xml:space="preserve"> </w:t>
      </w:r>
      <w:r w:rsidR="00D61DEC" w:rsidRPr="00D61DEC">
        <w:rPr>
          <w:rFonts w:cs="Times New Roman"/>
          <w:lang w:val="en-GB"/>
        </w:rPr>
        <w:t xml:space="preserve">STJ Ruling </w:t>
      </w:r>
      <w:r w:rsidR="00D61DEC">
        <w:rPr>
          <w:rFonts w:cs="Times New Roman"/>
          <w:lang w:val="en-GB"/>
        </w:rPr>
        <w:t>from</w:t>
      </w:r>
      <w:r w:rsidR="00D61DEC" w:rsidRPr="00D61DEC">
        <w:rPr>
          <w:rFonts w:cs="Times New Roman"/>
          <w:lang w:val="en-GB"/>
        </w:rPr>
        <w:t xml:space="preserve"> </w:t>
      </w:r>
      <w:r w:rsidR="00C6360B" w:rsidRPr="00D61DEC">
        <w:rPr>
          <w:rFonts w:cs="Times New Roman"/>
          <w:lang w:val="en-GB"/>
        </w:rPr>
        <w:t>17</w:t>
      </w:r>
      <w:r w:rsidR="00562D05" w:rsidRPr="00D61DEC">
        <w:rPr>
          <w:rFonts w:cs="Times New Roman"/>
          <w:lang w:val="en-GB"/>
        </w:rPr>
        <w:t>.</w:t>
      </w:r>
      <w:r w:rsidR="00C6360B" w:rsidRPr="00D61DEC">
        <w:rPr>
          <w:rFonts w:cs="Times New Roman"/>
          <w:lang w:val="en-GB"/>
        </w:rPr>
        <w:t>12</w:t>
      </w:r>
      <w:r w:rsidR="00733A03" w:rsidRPr="00D61DEC">
        <w:rPr>
          <w:rFonts w:cs="Times New Roman"/>
          <w:lang w:val="en-GB"/>
        </w:rPr>
        <w:t xml:space="preserve">. </w:t>
      </w:r>
      <w:r w:rsidR="00C6360B" w:rsidRPr="00D61DEC">
        <w:rPr>
          <w:rFonts w:cs="Times New Roman"/>
          <w:lang w:val="en-GB"/>
        </w:rPr>
        <w:t>2009</w:t>
      </w:r>
      <w:r w:rsidR="00733A03" w:rsidRPr="00D61DEC">
        <w:rPr>
          <w:rFonts w:cs="Times New Roman"/>
          <w:lang w:val="en-GB"/>
        </w:rPr>
        <w:t xml:space="preserve"> (Proc. </w:t>
      </w:r>
      <w:r w:rsidR="00C6360B" w:rsidRPr="00D61DEC">
        <w:rPr>
          <w:rFonts w:cs="Times New Roman"/>
          <w:lang w:val="en-GB"/>
        </w:rPr>
        <w:t>4822/06.0TVLSB</w:t>
      </w:r>
      <w:r w:rsidR="00733A03" w:rsidRPr="00D61DEC">
        <w:rPr>
          <w:rFonts w:cs="Times New Roman"/>
          <w:lang w:val="en-GB"/>
        </w:rPr>
        <w:t>)</w:t>
      </w:r>
      <w:r w:rsidR="00FC5424" w:rsidRPr="00D61DEC">
        <w:rPr>
          <w:rFonts w:cs="Times New Roman"/>
          <w:lang w:val="en-GB"/>
        </w:rPr>
        <w:t xml:space="preserve">; </w:t>
      </w:r>
      <w:r w:rsidR="00D61DEC" w:rsidRPr="00D61DEC">
        <w:rPr>
          <w:rFonts w:cs="Times New Roman"/>
          <w:lang w:val="en-GB"/>
        </w:rPr>
        <w:t xml:space="preserve">STJ Ruling </w:t>
      </w:r>
      <w:r w:rsidR="00D61DEC">
        <w:rPr>
          <w:rFonts w:cs="Times New Roman"/>
          <w:lang w:val="en-GB"/>
        </w:rPr>
        <w:t>from</w:t>
      </w:r>
      <w:r w:rsidR="00D61DEC" w:rsidRPr="00D61DEC">
        <w:rPr>
          <w:rFonts w:cs="Times New Roman"/>
          <w:lang w:val="en-GB"/>
        </w:rPr>
        <w:t xml:space="preserve"> </w:t>
      </w:r>
      <w:r w:rsidR="00033B6E" w:rsidRPr="00D61DEC">
        <w:rPr>
          <w:rFonts w:cs="Times New Roman"/>
          <w:lang w:val="en-GB"/>
        </w:rPr>
        <w:t>09.09.2010 (</w:t>
      </w:r>
      <w:r w:rsidR="005B2882" w:rsidRPr="00D61DEC">
        <w:rPr>
          <w:rFonts w:cs="Times New Roman"/>
          <w:lang w:val="en-GB"/>
        </w:rPr>
        <w:t>Proc.</w:t>
      </w:r>
      <w:r w:rsidR="00193B5C" w:rsidRPr="00D61DEC">
        <w:rPr>
          <w:rFonts w:cs="Times New Roman"/>
          <w:lang w:val="en-GB"/>
        </w:rPr>
        <w:t xml:space="preserve"> </w:t>
      </w:r>
      <w:r w:rsidR="005B2882" w:rsidRPr="00D61DEC">
        <w:rPr>
          <w:rFonts w:cs="Times New Roman"/>
          <w:lang w:val="en-GB"/>
        </w:rPr>
        <w:t>77/05.2TBARL.E</w:t>
      </w:r>
      <w:r w:rsidR="005B2882" w:rsidRPr="00D61DEC">
        <w:rPr>
          <w:rFonts w:cs="Times New Roman"/>
          <w:lang w:val="en-GB"/>
        </w:rPr>
        <w:t>1.S1)</w:t>
      </w:r>
      <w:r w:rsidR="00A83AE6" w:rsidRPr="00D61DEC">
        <w:rPr>
          <w:rFonts w:cs="Times New Roman"/>
          <w:lang w:val="en-GB"/>
        </w:rPr>
        <w:t xml:space="preserve">,  in </w:t>
      </w:r>
      <w:hyperlink r:id="rId29" w:history="1">
        <w:r w:rsidR="00A83AE6" w:rsidRPr="00D61DEC">
          <w:rPr>
            <w:rStyle w:val="Hyperlink"/>
            <w:rFonts w:cs="Times New Roman"/>
            <w:lang w:val="en-GB"/>
          </w:rPr>
          <w:t>www.dgsi.pt/jstj</w:t>
        </w:r>
      </w:hyperlink>
    </w:p>
  </w:footnote>
  <w:footnote w:id="235">
    <w:p w14:paraId="6F15ACA5" w14:textId="04C69321" w:rsidR="00233AB8" w:rsidRPr="002D79FD" w:rsidRDefault="00233AB8" w:rsidP="00C1129C">
      <w:pPr>
        <w:pStyle w:val="FootnoteText"/>
        <w:spacing w:line="480" w:lineRule="auto"/>
        <w:jc w:val="both"/>
        <w:rPr>
          <w:rFonts w:cs="Times New Roman"/>
        </w:rPr>
      </w:pPr>
      <w:r w:rsidRPr="002D79FD">
        <w:rPr>
          <w:rStyle w:val="FootnoteReference"/>
          <w:rFonts w:cs="Times New Roman"/>
        </w:rPr>
        <w:footnoteRef/>
      </w:r>
      <w:r w:rsidR="00F27876" w:rsidRPr="002D79FD">
        <w:rPr>
          <w:rFonts w:cs="Times New Roman"/>
        </w:rPr>
        <w:t xml:space="preserve"> </w:t>
      </w:r>
      <w:r w:rsidR="008D10DD">
        <w:t xml:space="preserve">Lopes Militão, R. (2023). Em defesa da descriminalização de ofensas à honra : Eleutéria não protege apenas Hedilogos. </w:t>
      </w:r>
      <w:r w:rsidR="008D10DD" w:rsidRPr="00CB3F9A">
        <w:rPr>
          <w:i/>
          <w:iCs/>
        </w:rPr>
        <w:t>Revista da Ordem dos Advogados, ano 83, 1-2</w:t>
      </w:r>
      <w:r w:rsidR="008D10DD">
        <w:t xml:space="preserve">, </w:t>
      </w:r>
      <w:r w:rsidR="00162D2E">
        <w:t>26</w:t>
      </w:r>
      <w:r w:rsidR="00F01E52">
        <w:t>3</w:t>
      </w:r>
      <w:r w:rsidR="00162D2E">
        <w:t xml:space="preserve">-265; </w:t>
      </w:r>
      <w:r w:rsidR="009C5059" w:rsidRPr="002D79FD">
        <w:rPr>
          <w:rFonts w:cs="Times New Roman"/>
        </w:rPr>
        <w:t>Moreira das Neves</w:t>
      </w:r>
      <w:r w:rsidR="00243CB9" w:rsidRPr="002D79FD">
        <w:rPr>
          <w:rFonts w:cs="Times New Roman"/>
        </w:rPr>
        <w:t xml:space="preserve"> </w:t>
      </w:r>
      <w:r w:rsidR="009C5059" w:rsidRPr="002D79FD">
        <w:rPr>
          <w:rFonts w:cs="Times New Roman"/>
        </w:rPr>
        <w:t>(2016)</w:t>
      </w:r>
      <w:r w:rsidR="00243CB9" w:rsidRPr="002D79FD">
        <w:rPr>
          <w:rFonts w:cs="Times New Roman"/>
        </w:rPr>
        <w:t xml:space="preserve"> </w:t>
      </w:r>
      <w:r w:rsidR="003F5B2C" w:rsidRPr="002D79FD">
        <w:rPr>
          <w:rFonts w:cs="Times New Roman"/>
        </w:rPr>
        <w:t>95.</w:t>
      </w:r>
    </w:p>
  </w:footnote>
  <w:footnote w:id="236">
    <w:p w14:paraId="0EB532CA" w14:textId="212812BF" w:rsidR="00C87B42" w:rsidRPr="00020101" w:rsidRDefault="00C87B42"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w:t>
      </w:r>
      <w:r w:rsidR="006E799F" w:rsidRPr="002D79FD">
        <w:rPr>
          <w:rFonts w:cs="Times New Roman"/>
        </w:rPr>
        <w:t>Prager and Oberschlick vs Austria (26.04.1995).</w:t>
      </w:r>
      <w:r w:rsidR="009B62DE" w:rsidRPr="002D79FD">
        <w:rPr>
          <w:rFonts w:cs="Times New Roman"/>
        </w:rPr>
        <w:t xml:space="preserve"> </w:t>
      </w:r>
      <w:r w:rsidR="00020101" w:rsidRPr="00020101">
        <w:rPr>
          <w:rFonts w:cs="Times New Roman"/>
          <w:lang w:val="en-GB"/>
        </w:rPr>
        <w:t xml:space="preserve">However, in more recent cases, the ECtHR has taken a more flexible view, for example, in the </w:t>
      </w:r>
      <w:r w:rsidR="00020101" w:rsidRPr="00020101">
        <w:rPr>
          <w:rFonts w:cs="Times New Roman"/>
          <w:lang w:val="en-GB"/>
        </w:rPr>
        <w:t xml:space="preserve">Steur </w:t>
      </w:r>
      <w:r w:rsidR="004A3590" w:rsidRPr="00020101">
        <w:rPr>
          <w:rFonts w:cs="Times New Roman"/>
          <w:lang w:val="en-GB"/>
        </w:rPr>
        <w:t>(28</w:t>
      </w:r>
      <w:r w:rsidR="00660186" w:rsidRPr="00020101">
        <w:rPr>
          <w:rFonts w:cs="Times New Roman"/>
          <w:lang w:val="en-GB"/>
        </w:rPr>
        <w:t>.</w:t>
      </w:r>
      <w:r w:rsidR="004A3590" w:rsidRPr="00020101">
        <w:rPr>
          <w:rFonts w:cs="Times New Roman"/>
          <w:lang w:val="en-GB"/>
        </w:rPr>
        <w:t>10</w:t>
      </w:r>
      <w:r w:rsidR="00660186" w:rsidRPr="00020101">
        <w:rPr>
          <w:rFonts w:cs="Times New Roman"/>
          <w:lang w:val="en-GB"/>
        </w:rPr>
        <w:t>.</w:t>
      </w:r>
      <w:r w:rsidR="004A3590" w:rsidRPr="00020101">
        <w:rPr>
          <w:rFonts w:cs="Times New Roman"/>
          <w:lang w:val="en-GB"/>
        </w:rPr>
        <w:t xml:space="preserve">2003), </w:t>
      </w:r>
      <w:r w:rsidR="00660186" w:rsidRPr="00020101">
        <w:rPr>
          <w:rFonts w:cs="Times New Roman"/>
          <w:lang w:val="en-GB"/>
        </w:rPr>
        <w:t>Kyprianou (</w:t>
      </w:r>
      <w:r w:rsidR="0091218A" w:rsidRPr="00020101">
        <w:rPr>
          <w:rFonts w:cs="Times New Roman"/>
          <w:lang w:val="en-GB"/>
        </w:rPr>
        <w:t>15.12.2005</w:t>
      </w:r>
      <w:r w:rsidR="00660186" w:rsidRPr="00020101">
        <w:rPr>
          <w:rFonts w:cs="Times New Roman"/>
          <w:lang w:val="en-GB"/>
        </w:rPr>
        <w:t xml:space="preserve">), </w:t>
      </w:r>
      <w:r w:rsidR="00020101">
        <w:rPr>
          <w:rFonts w:cs="Times New Roman"/>
          <w:lang w:val="en-GB"/>
        </w:rPr>
        <w:t xml:space="preserve">and </w:t>
      </w:r>
      <w:r w:rsidR="00660186" w:rsidRPr="00020101">
        <w:rPr>
          <w:rFonts w:cs="Times New Roman"/>
          <w:lang w:val="en-GB"/>
        </w:rPr>
        <w:t>Albayrak (</w:t>
      </w:r>
      <w:r w:rsidR="004A3590" w:rsidRPr="00020101">
        <w:rPr>
          <w:rFonts w:cs="Times New Roman"/>
          <w:lang w:val="en-GB"/>
        </w:rPr>
        <w:t>31</w:t>
      </w:r>
      <w:r w:rsidR="0091218A" w:rsidRPr="00020101">
        <w:rPr>
          <w:rFonts w:cs="Times New Roman"/>
          <w:lang w:val="en-GB"/>
        </w:rPr>
        <w:t>.0</w:t>
      </w:r>
      <w:r w:rsidR="004A3590" w:rsidRPr="00020101">
        <w:rPr>
          <w:rFonts w:cs="Times New Roman"/>
          <w:lang w:val="en-GB"/>
        </w:rPr>
        <w:t>1</w:t>
      </w:r>
      <w:r w:rsidR="0091218A" w:rsidRPr="00020101">
        <w:rPr>
          <w:rFonts w:cs="Times New Roman"/>
          <w:lang w:val="en-GB"/>
        </w:rPr>
        <w:t>.</w:t>
      </w:r>
      <w:r w:rsidR="004A3590" w:rsidRPr="00020101">
        <w:rPr>
          <w:rFonts w:cs="Times New Roman"/>
          <w:lang w:val="en-GB"/>
        </w:rPr>
        <w:t>2008</w:t>
      </w:r>
      <w:r w:rsidR="0091218A" w:rsidRPr="00020101">
        <w:rPr>
          <w:rFonts w:cs="Times New Roman"/>
          <w:lang w:val="en-GB"/>
        </w:rPr>
        <w:t>)</w:t>
      </w:r>
      <w:r w:rsidR="00020101">
        <w:rPr>
          <w:rFonts w:cs="Times New Roman"/>
          <w:lang w:val="en-GB"/>
        </w:rPr>
        <w:t xml:space="preserve"> rulings</w:t>
      </w:r>
      <w:r w:rsidR="004A3590" w:rsidRPr="00020101">
        <w:rPr>
          <w:rFonts w:cs="Times New Roman"/>
          <w:lang w:val="en-GB"/>
        </w:rPr>
        <w:t>.</w:t>
      </w:r>
    </w:p>
  </w:footnote>
  <w:footnote w:id="237">
    <w:p w14:paraId="7255E010" w14:textId="3D08DF66" w:rsidR="00D37C36" w:rsidRPr="00300D7E" w:rsidRDefault="00D37C36" w:rsidP="00C1129C">
      <w:pPr>
        <w:pStyle w:val="FootnoteText"/>
        <w:spacing w:line="480" w:lineRule="auto"/>
        <w:jc w:val="both"/>
        <w:rPr>
          <w:rFonts w:cs="Times New Roman"/>
          <w:lang w:val="en-GB"/>
        </w:rPr>
      </w:pPr>
      <w:r w:rsidRPr="002D79FD">
        <w:rPr>
          <w:rStyle w:val="FootnoteReference"/>
          <w:rFonts w:cs="Times New Roman"/>
        </w:rPr>
        <w:footnoteRef/>
      </w:r>
      <w:r w:rsidRPr="00020101">
        <w:rPr>
          <w:rFonts w:cs="Times New Roman"/>
          <w:lang w:val="en-GB"/>
        </w:rPr>
        <w:t xml:space="preserve"> </w:t>
      </w:r>
      <w:r w:rsidR="00020101" w:rsidRPr="00020101">
        <w:rPr>
          <w:rFonts w:cs="Times New Roman"/>
          <w:lang w:val="en-GB"/>
        </w:rPr>
        <w:t>See</w:t>
      </w:r>
      <w:r w:rsidRPr="00020101">
        <w:rPr>
          <w:rFonts w:cs="Times New Roman"/>
          <w:lang w:val="en-GB"/>
        </w:rPr>
        <w:t>,</w:t>
      </w:r>
      <w:r w:rsidR="00020101" w:rsidRPr="00020101">
        <w:rPr>
          <w:rFonts w:cs="Times New Roman"/>
          <w:lang w:val="en-GB"/>
        </w:rPr>
        <w:t xml:space="preserve"> </w:t>
      </w:r>
      <w:r w:rsidR="00020101" w:rsidRPr="00020101">
        <w:rPr>
          <w:rFonts w:cs="Times New Roman"/>
          <w:i/>
          <w:iCs/>
          <w:lang w:val="en-GB"/>
        </w:rPr>
        <w:t>inter alia</w:t>
      </w:r>
      <w:r w:rsidR="00020101" w:rsidRPr="00020101">
        <w:rPr>
          <w:rFonts w:cs="Times New Roman"/>
          <w:lang w:val="en-GB"/>
        </w:rPr>
        <w:t>,</w:t>
      </w:r>
      <w:r w:rsidRPr="00020101">
        <w:rPr>
          <w:rFonts w:cs="Times New Roman"/>
          <w:lang w:val="en-GB"/>
        </w:rPr>
        <w:t xml:space="preserve"> </w:t>
      </w:r>
      <w:r w:rsidRPr="00020101">
        <w:rPr>
          <w:rFonts w:cs="Times New Roman"/>
          <w:i/>
          <w:iCs/>
          <w:lang w:val="en-GB"/>
        </w:rPr>
        <w:t>Observer e Guardian</w:t>
      </w:r>
      <w:r w:rsidRPr="00020101">
        <w:rPr>
          <w:rFonts w:cs="Times New Roman"/>
          <w:lang w:val="en-GB"/>
        </w:rPr>
        <w:t> </w:t>
      </w:r>
      <w:r w:rsidRPr="00020101">
        <w:rPr>
          <w:rFonts w:cs="Times New Roman"/>
          <w:i/>
          <w:iCs/>
          <w:lang w:val="en-GB"/>
        </w:rPr>
        <w:t>v. The United Kingdom</w:t>
      </w:r>
      <w:r w:rsidRPr="00020101">
        <w:rPr>
          <w:rFonts w:cs="Times New Roman"/>
          <w:lang w:val="en-GB"/>
        </w:rPr>
        <w:t xml:space="preserve">, Proc. 13585/88, </w:t>
      </w:r>
      <w:r w:rsidR="00020101">
        <w:rPr>
          <w:rFonts w:cs="Times New Roman"/>
          <w:lang w:val="en-GB"/>
        </w:rPr>
        <w:t>from</w:t>
      </w:r>
      <w:r w:rsidRPr="00020101">
        <w:rPr>
          <w:rFonts w:cs="Times New Roman"/>
          <w:lang w:val="en-GB"/>
        </w:rPr>
        <w:t xml:space="preserve"> 26.11.1991; </w:t>
      </w:r>
      <w:r w:rsidRPr="00020101">
        <w:rPr>
          <w:rFonts w:cs="Times New Roman"/>
          <w:i/>
          <w:iCs/>
          <w:lang w:val="en-GB"/>
        </w:rPr>
        <w:t>Castells v. Spain</w:t>
      </w:r>
      <w:r w:rsidRPr="00020101">
        <w:rPr>
          <w:rFonts w:cs="Times New Roman"/>
          <w:lang w:val="en-GB"/>
        </w:rPr>
        <w:t xml:space="preserve">, Proc. 11798/85, </w:t>
      </w:r>
      <w:r w:rsidR="00020101">
        <w:rPr>
          <w:rFonts w:cs="Times New Roman"/>
          <w:lang w:val="en-GB"/>
        </w:rPr>
        <w:t>from</w:t>
      </w:r>
      <w:r w:rsidR="00020101" w:rsidRPr="00020101">
        <w:rPr>
          <w:rFonts w:cs="Times New Roman"/>
          <w:lang w:val="en-GB"/>
        </w:rPr>
        <w:t xml:space="preserve"> </w:t>
      </w:r>
      <w:r w:rsidRPr="00020101">
        <w:rPr>
          <w:rFonts w:cs="Times New Roman"/>
          <w:lang w:val="en-GB"/>
        </w:rPr>
        <w:t xml:space="preserve">23/04/1992; </w:t>
      </w:r>
      <w:r w:rsidRPr="00020101">
        <w:rPr>
          <w:rFonts w:cs="Times New Roman"/>
          <w:i/>
          <w:iCs/>
          <w:lang w:val="en-GB"/>
        </w:rPr>
        <w:t xml:space="preserve">Prager e </w:t>
      </w:r>
      <w:r w:rsidRPr="00020101">
        <w:rPr>
          <w:rFonts w:cs="Times New Roman"/>
          <w:i/>
          <w:iCs/>
          <w:lang w:val="en-GB"/>
        </w:rPr>
        <w:t>Oberschlick v. Áustria</w:t>
      </w:r>
      <w:r w:rsidRPr="00020101">
        <w:rPr>
          <w:rFonts w:cs="Times New Roman"/>
          <w:lang w:val="en-GB"/>
        </w:rPr>
        <w:t xml:space="preserve">, Proc. 15974/90, </w:t>
      </w:r>
      <w:r w:rsidR="00020101">
        <w:rPr>
          <w:rFonts w:cs="Times New Roman"/>
          <w:lang w:val="en-GB"/>
        </w:rPr>
        <w:t>from</w:t>
      </w:r>
      <w:r w:rsidR="00020101" w:rsidRPr="00020101">
        <w:rPr>
          <w:rFonts w:cs="Times New Roman"/>
          <w:lang w:val="en-GB"/>
        </w:rPr>
        <w:t xml:space="preserve"> </w:t>
      </w:r>
      <w:r w:rsidRPr="00020101">
        <w:rPr>
          <w:rFonts w:cs="Times New Roman"/>
          <w:lang w:val="en-GB"/>
        </w:rPr>
        <w:t xml:space="preserve">26.04.1995; </w:t>
      </w:r>
      <w:r w:rsidRPr="00020101">
        <w:rPr>
          <w:rFonts w:cs="Times New Roman"/>
          <w:i/>
          <w:iCs/>
          <w:lang w:val="en-GB"/>
        </w:rPr>
        <w:t>Özgür Radyo-Ses Radyo Televizyon Yayin Yapim Ve Tanitim A.S. v. Turquie</w:t>
      </w:r>
      <w:r w:rsidRPr="00020101">
        <w:rPr>
          <w:rFonts w:cs="Times New Roman"/>
          <w:lang w:val="en-GB"/>
        </w:rPr>
        <w:t xml:space="preserve">, Proc. 64178/00, 64179/00, 64181/00, 64183/00, 64184/00, </w:t>
      </w:r>
      <w:r w:rsidR="00020101">
        <w:rPr>
          <w:rFonts w:cs="Times New Roman"/>
          <w:lang w:val="en-GB"/>
        </w:rPr>
        <w:t>from</w:t>
      </w:r>
      <w:r w:rsidR="00020101" w:rsidRPr="00020101">
        <w:rPr>
          <w:rFonts w:cs="Times New Roman"/>
          <w:lang w:val="en-GB"/>
        </w:rPr>
        <w:t xml:space="preserve"> </w:t>
      </w:r>
      <w:r w:rsidRPr="00020101">
        <w:rPr>
          <w:rFonts w:cs="Times New Roman"/>
          <w:lang w:val="en-GB"/>
        </w:rPr>
        <w:t>30.03.2006; </w:t>
      </w:r>
      <w:r w:rsidRPr="00020101">
        <w:rPr>
          <w:rFonts w:cs="Times New Roman"/>
          <w:i/>
          <w:iCs/>
          <w:lang w:val="en-GB"/>
        </w:rPr>
        <w:t>Kobenter e Standard Verlags GMBH v. Áustria</w:t>
      </w:r>
      <w:r w:rsidRPr="00020101">
        <w:rPr>
          <w:rFonts w:cs="Times New Roman"/>
          <w:lang w:val="en-GB"/>
        </w:rPr>
        <w:t xml:space="preserve">, Proc. 60899/00, </w:t>
      </w:r>
      <w:r w:rsidR="00020101">
        <w:rPr>
          <w:rFonts w:cs="Times New Roman"/>
          <w:lang w:val="en-GB"/>
        </w:rPr>
        <w:t>from</w:t>
      </w:r>
      <w:r w:rsidR="00020101" w:rsidRPr="00020101">
        <w:rPr>
          <w:rFonts w:cs="Times New Roman"/>
          <w:lang w:val="en-GB"/>
        </w:rPr>
        <w:t xml:space="preserve"> </w:t>
      </w:r>
      <w:r w:rsidRPr="00020101">
        <w:rPr>
          <w:rFonts w:cs="Times New Roman"/>
          <w:lang w:val="en-GB"/>
        </w:rPr>
        <w:t xml:space="preserve">02.11.2006. </w:t>
      </w:r>
      <w:r w:rsidR="00300D7E" w:rsidRPr="00300D7E">
        <w:rPr>
          <w:rFonts w:cs="Times New Roman"/>
          <w:lang w:val="en-GB"/>
        </w:rPr>
        <w:t xml:space="preserve">More recently, note the Thomaidis v. Greece ruling Greece (Application No. 28345/16, May 7, 2024), which concerns the conviction of a journalist in civil proceedings for having made comments on a live television program about alleged match-fixing in Greek football. The national courts considered the content of the comments broadcast to be defamatory. In view of the facts, the ECtHR found that there had been no violation of Article 10 of the Convention, since the interference with the applicant's right to freedom of expression was, in that case, considered “necessary in a democratic society,” within the meaning of Article 10(2) of the Convention, adding that the domestic courts had acted within their margin of appreciation in striking a fair balance between the competing interests at stake. </w:t>
      </w:r>
      <w:r w:rsidR="00D13344" w:rsidRPr="00D13344">
        <w:rPr>
          <w:rFonts w:cs="Times New Roman"/>
          <w:lang w:val="en-GB"/>
        </w:rPr>
        <w:t xml:space="preserve">In the </w:t>
      </w:r>
      <w:r w:rsidR="00D13344">
        <w:rPr>
          <w:rFonts w:cs="Times New Roman"/>
          <w:lang w:val="en-GB"/>
        </w:rPr>
        <w:t>Ruling</w:t>
      </w:r>
      <w:r w:rsidR="00D13344" w:rsidRPr="00D13344">
        <w:rPr>
          <w:rFonts w:cs="Times New Roman"/>
          <w:lang w:val="en-GB"/>
        </w:rPr>
        <w:t xml:space="preserve"> Rfe/Rl Inc. and Others v. Azerbaijan (Applications nos. 56138/18 and 3 others - 13.09.2024), the ECtHR examined the widespread application of restrictive measures on four media outlets by the Azerbaijani Government on the grounds that some of the articles published by the applicants contained content that allegedly contained false, misleading, and defamatory information prohibited by national media law and was therefore considered illegal. The ECtHR found that the actions of the Azerbaijani authorities constituted unjustified interference with freedom of the press, in violation of Article 10 of the Convention.</w:t>
      </w:r>
    </w:p>
  </w:footnote>
  <w:footnote w:id="238">
    <w:p w14:paraId="191F029A" w14:textId="3D71DB62" w:rsidR="00D37C36" w:rsidRPr="002D79FD" w:rsidRDefault="00D37C36" w:rsidP="00C1129C">
      <w:pPr>
        <w:pStyle w:val="FootnoteText"/>
        <w:spacing w:line="480" w:lineRule="auto"/>
        <w:jc w:val="both"/>
        <w:rPr>
          <w:rFonts w:cs="Times New Roman"/>
          <w:lang w:val="en-GB"/>
        </w:rPr>
      </w:pPr>
      <w:r w:rsidRPr="002D79FD">
        <w:rPr>
          <w:rStyle w:val="FootnoteReference"/>
          <w:rFonts w:cs="Times New Roman"/>
        </w:rPr>
        <w:footnoteRef/>
      </w:r>
      <w:r w:rsidRPr="002D79FD">
        <w:rPr>
          <w:rFonts w:cs="Times New Roman"/>
        </w:rPr>
        <w:t xml:space="preserve"> </w:t>
      </w:r>
      <w:r w:rsidR="00D13344">
        <w:rPr>
          <w:rFonts w:cs="Times New Roman"/>
        </w:rPr>
        <w:t>F</w:t>
      </w:r>
      <w:r w:rsidRPr="002D79FD">
        <w:rPr>
          <w:rFonts w:cs="Times New Roman"/>
        </w:rPr>
        <w:t>or ex</w:t>
      </w:r>
      <w:r w:rsidR="00D13344">
        <w:rPr>
          <w:rFonts w:cs="Times New Roman"/>
        </w:rPr>
        <w:t>a</w:t>
      </w:r>
      <w:r w:rsidRPr="002D79FD">
        <w:rPr>
          <w:rFonts w:cs="Times New Roman"/>
        </w:rPr>
        <w:t>mpl</w:t>
      </w:r>
      <w:r w:rsidR="00D13344">
        <w:rPr>
          <w:rFonts w:cs="Times New Roman"/>
        </w:rPr>
        <w:t>e</w:t>
      </w:r>
      <w:r w:rsidRPr="002D79FD">
        <w:rPr>
          <w:rFonts w:cs="Times New Roman"/>
        </w:rPr>
        <w:t xml:space="preserve">, Lopes Gomes da Silva v. Portugal (28.09.2000); Almeida Azevedo v. Portugal (23.01.2007); Colaço Mestre e SIC v. Portugal (26.04.2007); Leonel Azevedo v. Portugal (27.03.2008); Laranjeira Lopes da Silva v. Portugal (09.01.2010); Público — Comunicação Social, SA and others v. Portugal (07.12.2010); Pinto Coelho v. Portugal (28.06.2011); Sampaio e Paiva de Melo v. Portugal (23.07.2013); Medipress — Sociedade Jornalística, Lda. v. Portugal (30.08.2016). </w:t>
      </w:r>
      <w:r w:rsidRPr="002D79FD">
        <w:rPr>
          <w:rFonts w:cs="Times New Roman"/>
          <w:lang w:val="en-GB"/>
        </w:rPr>
        <w:t xml:space="preserve">See </w:t>
      </w:r>
      <w:hyperlink r:id="rId30" w:anchor="{%22documentcollectionid2%22:[%22GRANDCHAMBER%22,%22CHAMBER%22]}" w:history="1">
        <w:r w:rsidRPr="002D79FD">
          <w:rPr>
            <w:rStyle w:val="Hyperlink"/>
            <w:rFonts w:cs="Times New Roman"/>
            <w:lang w:val="en-GB"/>
          </w:rPr>
          <w:t>https://hudoc.</w:t>
        </w:r>
        <w:r>
          <w:rPr>
            <w:rStyle w:val="Hyperlink"/>
            <w:rFonts w:cs="Times New Roman"/>
            <w:lang w:val="en-GB"/>
          </w:rPr>
          <w:t>ECtHR</w:t>
        </w:r>
        <w:r w:rsidRPr="002D79FD">
          <w:rPr>
            <w:rStyle w:val="Hyperlink"/>
            <w:rFonts w:cs="Times New Roman"/>
            <w:lang w:val="en-GB"/>
          </w:rPr>
          <w:t>.coe.int/eng#{%22documentcollectionid2%22:[%22GRANDCHAMBER%22,%22CHAMBER%22]}</w:t>
        </w:r>
      </w:hyperlink>
      <w:r w:rsidRPr="002D79FD">
        <w:rPr>
          <w:rFonts w:cs="Times New Roman"/>
          <w:lang w:val="en-GB"/>
        </w:rPr>
        <w:t xml:space="preserve"> </w:t>
      </w:r>
    </w:p>
  </w:footnote>
  <w:footnote w:id="239">
    <w:p w14:paraId="61D85244" w14:textId="65C66A89" w:rsidR="00297DE4" w:rsidRPr="002D79FD" w:rsidRDefault="00297DE4" w:rsidP="00C1129C">
      <w:pPr>
        <w:pStyle w:val="FootnoteText"/>
        <w:spacing w:line="480" w:lineRule="auto"/>
        <w:jc w:val="both"/>
        <w:rPr>
          <w:rFonts w:cs="Times New Roman"/>
        </w:rPr>
      </w:pPr>
      <w:r w:rsidRPr="002D79FD">
        <w:rPr>
          <w:rStyle w:val="FootnoteReference"/>
          <w:rFonts w:cs="Times New Roman"/>
        </w:rPr>
        <w:footnoteRef/>
      </w:r>
      <w:r w:rsidR="00A56C02" w:rsidRPr="002D79FD">
        <w:rPr>
          <w:rFonts w:cs="Times New Roman"/>
        </w:rPr>
        <w:t xml:space="preserve"> </w:t>
      </w:r>
      <w:r w:rsidR="0070744A" w:rsidRPr="002D79FD">
        <w:rPr>
          <w:rFonts w:cs="Times New Roman"/>
        </w:rPr>
        <w:t>Moreira das Neves (2016)</w:t>
      </w:r>
      <w:r w:rsidRPr="002D79FD">
        <w:rPr>
          <w:rFonts w:cs="Times New Roman"/>
        </w:rPr>
        <w:t xml:space="preserve"> </w:t>
      </w:r>
      <w:r w:rsidR="0070744A" w:rsidRPr="002D79FD">
        <w:rPr>
          <w:rFonts w:cs="Times New Roman"/>
        </w:rPr>
        <w:t>90.</w:t>
      </w:r>
    </w:p>
  </w:footnote>
  <w:footnote w:id="240">
    <w:p w14:paraId="541854AE" w14:textId="77777777" w:rsidR="005A5447" w:rsidRPr="003F4B82" w:rsidRDefault="005A5447" w:rsidP="00C1129C">
      <w:pPr>
        <w:pStyle w:val="FootnoteText"/>
        <w:spacing w:line="480" w:lineRule="auto"/>
        <w:jc w:val="both"/>
        <w:rPr>
          <w:rFonts w:cs="Times New Roman"/>
        </w:rPr>
      </w:pPr>
      <w:r w:rsidRPr="002D79FD">
        <w:rPr>
          <w:rStyle w:val="FootnoteReference"/>
          <w:rFonts w:cs="Times New Roman"/>
        </w:rPr>
        <w:footnoteRef/>
      </w:r>
      <w:r w:rsidRPr="003F4B82">
        <w:rPr>
          <w:rFonts w:cs="Times New Roman"/>
        </w:rPr>
        <w:t xml:space="preserve"> Proc. 1272/04.7TBBCL-G1.S1, in </w:t>
      </w:r>
      <w:hyperlink r:id="rId31" w:history="1">
        <w:r w:rsidRPr="003F4B82">
          <w:rPr>
            <w:rStyle w:val="Hyperlink"/>
            <w:rFonts w:cs="Times New Roman"/>
          </w:rPr>
          <w:t>www.dgsi.pt/jstj</w:t>
        </w:r>
      </w:hyperlink>
    </w:p>
  </w:footnote>
  <w:footnote w:id="241">
    <w:p w14:paraId="4A3C1E64" w14:textId="77777777" w:rsidR="00C571D7" w:rsidRPr="005A5447" w:rsidRDefault="00C571D7" w:rsidP="00C1129C">
      <w:pPr>
        <w:pStyle w:val="FootnoteText"/>
        <w:spacing w:line="480" w:lineRule="auto"/>
        <w:jc w:val="both"/>
        <w:rPr>
          <w:rFonts w:cs="Times New Roman"/>
          <w:lang w:val="en-GB"/>
        </w:rPr>
      </w:pPr>
      <w:r w:rsidRPr="002D79FD">
        <w:rPr>
          <w:rStyle w:val="FootnoteReference"/>
          <w:rFonts w:cs="Times New Roman"/>
        </w:rPr>
        <w:footnoteRef/>
      </w:r>
      <w:r w:rsidRPr="005A5447">
        <w:rPr>
          <w:rFonts w:cs="Times New Roman"/>
          <w:lang w:val="en-GB"/>
        </w:rPr>
        <w:t xml:space="preserve"> Proc. 24555/17.1T8LSB.L</w:t>
      </w:r>
      <w:r w:rsidRPr="005A5447">
        <w:rPr>
          <w:rFonts w:cs="Times New Roman"/>
          <w:lang w:val="en-GB"/>
        </w:rPr>
        <w:t>1.S1, in </w:t>
      </w:r>
      <w:hyperlink r:id="rId32" w:history="1">
        <w:r w:rsidRPr="005A5447">
          <w:rPr>
            <w:rStyle w:val="Hyperlink"/>
            <w:rFonts w:cs="Times New Roman"/>
            <w:lang w:val="en-GB"/>
          </w:rPr>
          <w:t>www.dgsi.pt/jstj</w:t>
        </w:r>
      </w:hyperlink>
    </w:p>
  </w:footnote>
  <w:footnote w:id="242">
    <w:p w14:paraId="7A83719F" w14:textId="07720B13" w:rsidR="00C571D7" w:rsidRPr="003F4B82" w:rsidRDefault="00C571D7"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lang w:val="en-GB"/>
        </w:rPr>
        <w:t xml:space="preserve"> Proc. 16687/16.0T8PRT.L</w:t>
      </w:r>
      <w:r w:rsidRPr="003F4B82">
        <w:rPr>
          <w:rFonts w:cs="Times New Roman"/>
          <w:lang w:val="en-GB"/>
        </w:rPr>
        <w:t xml:space="preserve">1.S1. </w:t>
      </w:r>
      <w:r w:rsidR="008D09A4" w:rsidRPr="008D09A4">
        <w:rPr>
          <w:rFonts w:cs="Times New Roman"/>
          <w:lang w:val="en-GB"/>
        </w:rPr>
        <w:t>In line with Rulings from</w:t>
      </w:r>
      <w:r w:rsidRPr="008D09A4">
        <w:rPr>
          <w:rFonts w:cs="Times New Roman"/>
          <w:lang w:val="en-GB"/>
        </w:rPr>
        <w:t xml:space="preserve"> 31.01.2017 (Proc. 1454/09.5TVLSB.L1.S1), </w:t>
      </w:r>
      <w:r w:rsidR="008D09A4">
        <w:rPr>
          <w:rFonts w:cs="Times New Roman"/>
          <w:lang w:val="en-GB"/>
        </w:rPr>
        <w:t>from</w:t>
      </w:r>
      <w:r w:rsidRPr="008D09A4">
        <w:rPr>
          <w:rFonts w:cs="Times New Roman"/>
          <w:lang w:val="en-GB"/>
        </w:rPr>
        <w:t xml:space="preserve"> 06.09.2016 (Proc. 60/09. </w:t>
      </w:r>
      <w:r w:rsidRPr="003F4B82">
        <w:rPr>
          <w:rFonts w:cs="Times New Roman"/>
          <w:lang w:val="en-GB"/>
        </w:rPr>
        <w:t xml:space="preserve">9TCFUN.L1.S1), </w:t>
      </w:r>
      <w:r w:rsidR="008D09A4" w:rsidRPr="003F4B82">
        <w:rPr>
          <w:rFonts w:cs="Times New Roman"/>
          <w:lang w:val="en-GB"/>
        </w:rPr>
        <w:t>and from</w:t>
      </w:r>
      <w:r w:rsidRPr="003F4B82">
        <w:rPr>
          <w:rFonts w:cs="Times New Roman"/>
          <w:lang w:val="en-GB"/>
        </w:rPr>
        <w:t xml:space="preserve"> 13.07.2017 (Proc. 1405/07. 1TCSNT.L1.S1), in </w:t>
      </w:r>
      <w:hyperlink r:id="rId33" w:history="1">
        <w:r w:rsidRPr="003F4B82">
          <w:rPr>
            <w:rStyle w:val="Hyperlink"/>
            <w:rFonts w:cs="Times New Roman"/>
            <w:lang w:val="en-GB"/>
          </w:rPr>
          <w:t>www.dgsi.pt</w:t>
        </w:r>
      </w:hyperlink>
    </w:p>
  </w:footnote>
  <w:footnote w:id="243">
    <w:p w14:paraId="474F0B90" w14:textId="27CBBA60" w:rsidR="00B9207B" w:rsidRPr="003F4B82" w:rsidRDefault="00B9207B"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lang w:val="en-GB"/>
        </w:rPr>
        <w:t xml:space="preserve"> </w:t>
      </w:r>
      <w:r w:rsidR="00C125DC" w:rsidRPr="003F4B82">
        <w:rPr>
          <w:rFonts w:cs="Times New Roman"/>
          <w:lang w:val="en-GB"/>
        </w:rPr>
        <w:t>Camponez (2009) 512.</w:t>
      </w:r>
    </w:p>
  </w:footnote>
  <w:footnote w:id="244">
    <w:p w14:paraId="67ADC75D" w14:textId="77777777" w:rsidR="00DF2CE2" w:rsidRPr="003F4B82" w:rsidRDefault="00DF2CE2"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lang w:val="en-GB"/>
        </w:rPr>
        <w:t xml:space="preserve"> </w:t>
      </w:r>
      <w:r w:rsidRPr="003F4B82">
        <w:rPr>
          <w:rFonts w:cs="Times New Roman"/>
          <w:lang w:val="en-GB"/>
        </w:rPr>
        <w:t>Camponez (2009) 511, 513.</w:t>
      </w:r>
    </w:p>
  </w:footnote>
  <w:footnote w:id="245">
    <w:p w14:paraId="343529FB" w14:textId="2C2F499A" w:rsidR="00DF2CE2" w:rsidRPr="002D79FD" w:rsidRDefault="00DF2CE2" w:rsidP="00C1129C">
      <w:pPr>
        <w:pStyle w:val="FootnoteText"/>
        <w:spacing w:line="480" w:lineRule="auto"/>
        <w:jc w:val="both"/>
        <w:rPr>
          <w:rFonts w:cs="Times New Roman"/>
        </w:rPr>
      </w:pPr>
      <w:r w:rsidRPr="002D79FD">
        <w:rPr>
          <w:rStyle w:val="FootnoteReference"/>
          <w:rFonts w:cs="Times New Roman"/>
        </w:rPr>
        <w:footnoteRef/>
      </w:r>
      <w:r w:rsidRPr="00963F9B">
        <w:rPr>
          <w:rFonts w:cs="Times New Roman"/>
          <w:lang w:val="en-GB"/>
        </w:rPr>
        <w:t xml:space="preserve"> </w:t>
      </w:r>
      <w:r w:rsidR="00963F9B" w:rsidRPr="00963F9B">
        <w:rPr>
          <w:rFonts w:cs="Times New Roman"/>
          <w:lang w:val="en-GB"/>
        </w:rPr>
        <w:t>The Portuguese Press Council, unlike most others, is not merely a “moral court” for ethical duties, but has developed its activity mainly in other areas, namely, within its wide range of powers, the independence of the press from political and economic power, or the classification of periodicals</w:t>
      </w:r>
      <w:r w:rsidRPr="00963F9B">
        <w:rPr>
          <w:rFonts w:cs="Times New Roman"/>
          <w:lang w:val="en-GB"/>
        </w:rPr>
        <w:t xml:space="preserve">. </w:t>
      </w:r>
      <w:r w:rsidRPr="002D79FD">
        <w:rPr>
          <w:rFonts w:cs="Times New Roman"/>
        </w:rPr>
        <w:t xml:space="preserve">Fidalgo, J. (2010). O regresso do Conselho de Imprensa? </w:t>
      </w:r>
      <w:r w:rsidRPr="002D79FD">
        <w:rPr>
          <w:rFonts w:cs="Times New Roman"/>
          <w:i/>
          <w:iCs/>
        </w:rPr>
        <w:t>Observatorio (OBS*)</w:t>
      </w:r>
      <w:r w:rsidRPr="002D79FD">
        <w:rPr>
          <w:rFonts w:cs="Times New Roman"/>
        </w:rPr>
        <w:t xml:space="preserve">, </w:t>
      </w:r>
      <w:r w:rsidRPr="002D79FD">
        <w:rPr>
          <w:rFonts w:cs="Times New Roman"/>
          <w:i/>
          <w:iCs/>
        </w:rPr>
        <w:t>4</w:t>
      </w:r>
      <w:r w:rsidRPr="002D79FD">
        <w:rPr>
          <w:rFonts w:cs="Times New Roman"/>
        </w:rPr>
        <w:t>(1), 43.</w:t>
      </w:r>
    </w:p>
  </w:footnote>
  <w:footnote w:id="246">
    <w:p w14:paraId="00BD617F" w14:textId="77777777" w:rsidR="00FC6E19" w:rsidRPr="002D79FD" w:rsidRDefault="00FC6E19"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285; Camponez (2009) 511.</w:t>
      </w:r>
    </w:p>
  </w:footnote>
  <w:footnote w:id="247">
    <w:p w14:paraId="28B5CFBF" w14:textId="2E5BF565" w:rsidR="005C31ED" w:rsidRPr="002D79FD" w:rsidRDefault="005C31ED"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285.</w:t>
      </w:r>
    </w:p>
  </w:footnote>
  <w:footnote w:id="248">
    <w:p w14:paraId="39AA9DA2" w14:textId="7D78A264" w:rsidR="006E66A8" w:rsidRPr="003F4B82" w:rsidRDefault="006E66A8"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lang w:val="en-GB"/>
        </w:rPr>
        <w:t xml:space="preserve"> Santos de Miranda (2018) </w:t>
      </w:r>
      <w:r w:rsidR="00855907" w:rsidRPr="003F4B82">
        <w:rPr>
          <w:rFonts w:cs="Times New Roman"/>
          <w:lang w:val="en-GB"/>
        </w:rPr>
        <w:t>364.</w:t>
      </w:r>
    </w:p>
  </w:footnote>
  <w:footnote w:id="249">
    <w:p w14:paraId="1544FD71" w14:textId="62FF22DA" w:rsidR="004262B7" w:rsidRPr="002B6E6B" w:rsidRDefault="004262B7" w:rsidP="00C1129C">
      <w:pPr>
        <w:pStyle w:val="FootnoteText"/>
        <w:spacing w:line="480" w:lineRule="auto"/>
        <w:jc w:val="both"/>
        <w:rPr>
          <w:rFonts w:cs="Times New Roman"/>
          <w:lang w:val="en-GB"/>
        </w:rPr>
      </w:pPr>
      <w:r w:rsidRPr="002D79FD">
        <w:rPr>
          <w:rStyle w:val="FootnoteReference"/>
          <w:rFonts w:cs="Times New Roman"/>
        </w:rPr>
        <w:footnoteRef/>
      </w:r>
      <w:r w:rsidRPr="002B6E6B">
        <w:rPr>
          <w:rFonts w:cs="Times New Roman"/>
          <w:lang w:val="en-GB"/>
        </w:rPr>
        <w:t xml:space="preserve"> </w:t>
      </w:r>
      <w:r w:rsidR="002B6E6B" w:rsidRPr="002B6E6B">
        <w:rPr>
          <w:rFonts w:cs="Times New Roman"/>
          <w:lang w:val="en-GB"/>
        </w:rPr>
        <w:t>About the Press Council's activity figures</w:t>
      </w:r>
      <w:r w:rsidRPr="002B6E6B">
        <w:rPr>
          <w:rFonts w:cs="Times New Roman"/>
          <w:lang w:val="en-GB"/>
        </w:rPr>
        <w:t xml:space="preserve">, Santos de Miranda (2018) 324 ss. </w:t>
      </w:r>
    </w:p>
  </w:footnote>
  <w:footnote w:id="250">
    <w:p w14:paraId="182D0B5C" w14:textId="77777777" w:rsidR="004262B7" w:rsidRPr="003F4B82" w:rsidRDefault="004262B7"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lang w:val="en-GB"/>
        </w:rPr>
        <w:t xml:space="preserve"> </w:t>
      </w:r>
      <w:r w:rsidRPr="003F4B82">
        <w:rPr>
          <w:rFonts w:cs="Times New Roman"/>
          <w:lang w:val="en-GB"/>
        </w:rPr>
        <w:t>Camponez (2009) 514.</w:t>
      </w:r>
    </w:p>
  </w:footnote>
  <w:footnote w:id="251">
    <w:p w14:paraId="63CB660F" w14:textId="7B52C9A7" w:rsidR="004262B7" w:rsidRPr="00043AE7" w:rsidRDefault="004262B7" w:rsidP="00C1129C">
      <w:pPr>
        <w:pStyle w:val="FootnoteText"/>
        <w:spacing w:line="480" w:lineRule="auto"/>
        <w:jc w:val="both"/>
        <w:rPr>
          <w:rFonts w:cs="Times New Roman"/>
          <w:lang w:val="en-GB"/>
        </w:rPr>
      </w:pPr>
      <w:r w:rsidRPr="002D79FD">
        <w:rPr>
          <w:rStyle w:val="FootnoteReference"/>
          <w:rFonts w:cs="Times New Roman"/>
        </w:rPr>
        <w:footnoteRef/>
      </w:r>
      <w:r w:rsidRPr="00043AE7">
        <w:rPr>
          <w:rFonts w:cs="Times New Roman"/>
          <w:lang w:val="en-GB"/>
        </w:rPr>
        <w:t xml:space="preserve"> Santos de Miranda (2018) 284, </w:t>
      </w:r>
      <w:r w:rsidR="00043AE7" w:rsidRPr="00043AE7">
        <w:rPr>
          <w:rFonts w:cs="Times New Roman"/>
          <w:lang w:val="en-GB"/>
        </w:rPr>
        <w:t>recalls that the Press Council not only had almost no technical resources, but was also based on a rotating work system in which its members had to reconcile their activities on the Council with their professional lives</w:t>
      </w:r>
      <w:r w:rsidRPr="00043AE7">
        <w:rPr>
          <w:rFonts w:cs="Times New Roman"/>
          <w:lang w:val="en-GB"/>
        </w:rPr>
        <w:t>.</w:t>
      </w:r>
    </w:p>
  </w:footnote>
  <w:footnote w:id="252">
    <w:p w14:paraId="0404E169" w14:textId="1649B0D5" w:rsidR="004262B7" w:rsidRPr="00B952F0" w:rsidRDefault="004262B7"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lang w:val="en-GB"/>
        </w:rPr>
        <w:t xml:space="preserve"> Fidalgo (2010) 51 ss. </w:t>
      </w:r>
      <w:r w:rsidR="00043AE7" w:rsidRPr="00B952F0">
        <w:rPr>
          <w:rFonts w:cs="Times New Roman"/>
          <w:lang w:val="en-GB"/>
        </w:rPr>
        <w:t xml:space="preserve">See also the history compiled by </w:t>
      </w:r>
      <w:r w:rsidRPr="00B952F0">
        <w:rPr>
          <w:rFonts w:cs="Times New Roman"/>
          <w:lang w:val="en-GB"/>
        </w:rPr>
        <w:t xml:space="preserve">Camponez (2009) 518-519, </w:t>
      </w:r>
      <w:r w:rsidR="00B952F0" w:rsidRPr="00B952F0">
        <w:rPr>
          <w:rFonts w:cs="Times New Roman"/>
          <w:lang w:val="en-GB"/>
        </w:rPr>
        <w:t>on the calls and attempts to create a “private” Press Council</w:t>
      </w:r>
      <w:r w:rsidR="00B952F0">
        <w:rPr>
          <w:rFonts w:cs="Times New Roman"/>
          <w:lang w:val="en-GB"/>
        </w:rPr>
        <w:t>,</w:t>
      </w:r>
      <w:r w:rsidR="00B952F0" w:rsidRPr="00B952F0">
        <w:rPr>
          <w:rFonts w:cs="Times New Roman"/>
          <w:lang w:val="en-GB"/>
        </w:rPr>
        <w:t xml:space="preserve"> and</w:t>
      </w:r>
      <w:r w:rsidRPr="00B952F0">
        <w:rPr>
          <w:rFonts w:cs="Times New Roman"/>
          <w:lang w:val="en-GB"/>
        </w:rPr>
        <w:t xml:space="preserve"> Santos de Miranda (2018) 286, 409-410.</w:t>
      </w:r>
    </w:p>
  </w:footnote>
  <w:footnote w:id="253">
    <w:p w14:paraId="0D01336B" w14:textId="51D5CB64" w:rsidR="001B10DF" w:rsidRPr="002D79FD" w:rsidRDefault="001B10D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EC1533" w:rsidRPr="002D79FD">
        <w:rPr>
          <w:rFonts w:cs="Times New Roman"/>
        </w:rPr>
        <w:t>Santos de Miranda (2018) 284, not</w:t>
      </w:r>
      <w:r w:rsidR="00B952F0">
        <w:rPr>
          <w:rFonts w:cs="Times New Roman"/>
        </w:rPr>
        <w:t>e</w:t>
      </w:r>
      <w:r w:rsidR="00EC1533" w:rsidRPr="002D79FD">
        <w:rPr>
          <w:rFonts w:cs="Times New Roman"/>
        </w:rPr>
        <w:t xml:space="preserve"> 292.</w:t>
      </w:r>
    </w:p>
  </w:footnote>
  <w:footnote w:id="254">
    <w:p w14:paraId="507EF62A" w14:textId="77777777" w:rsidR="009C4F2F" w:rsidRPr="002D79FD" w:rsidRDefault="009C4F2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351-352.</w:t>
      </w:r>
    </w:p>
  </w:footnote>
  <w:footnote w:id="255">
    <w:p w14:paraId="114AFB1D" w14:textId="405B808F" w:rsidR="002537AF" w:rsidRPr="002D79FD" w:rsidRDefault="002537A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097CB9" w:rsidRPr="00097CB9">
        <w:rPr>
          <w:rFonts w:cs="Times New Roman"/>
        </w:rPr>
        <w:t>For all, with comparative review</w:t>
      </w:r>
      <w:r w:rsidRPr="002D79FD">
        <w:rPr>
          <w:rFonts w:cs="Times New Roman"/>
        </w:rPr>
        <w:t>, Santos de Miranda (2018) 360-396; Camponez (2009) 199-217; Fidalgo (2006) 510-511.</w:t>
      </w:r>
    </w:p>
  </w:footnote>
  <w:footnote w:id="256">
    <w:p w14:paraId="781E77DD" w14:textId="77777777" w:rsidR="002537AF" w:rsidRPr="002D79FD" w:rsidRDefault="002537A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Fidalgo (2010) 38.</w:t>
      </w:r>
    </w:p>
  </w:footnote>
  <w:footnote w:id="257">
    <w:p w14:paraId="1A0F9259" w14:textId="77777777" w:rsidR="00C51DEE" w:rsidRPr="00ED1D95" w:rsidRDefault="00C51DEE" w:rsidP="00C1129C">
      <w:pPr>
        <w:pStyle w:val="FootnoteText"/>
        <w:spacing w:line="480" w:lineRule="auto"/>
        <w:jc w:val="both"/>
        <w:rPr>
          <w:rFonts w:cs="Times New Roman"/>
          <w:lang w:val="en-GB"/>
        </w:rPr>
      </w:pPr>
      <w:r w:rsidRPr="002D79FD">
        <w:rPr>
          <w:rStyle w:val="FootnoteReference"/>
          <w:rFonts w:cs="Times New Roman"/>
        </w:rPr>
        <w:footnoteRef/>
      </w:r>
      <w:r w:rsidRPr="00ED1D95">
        <w:rPr>
          <w:rFonts w:cs="Times New Roman"/>
          <w:lang w:val="en-GB"/>
        </w:rPr>
        <w:t xml:space="preserve"> On these </w:t>
      </w:r>
      <w:r>
        <w:rPr>
          <w:rFonts w:cs="Times New Roman"/>
          <w:lang w:val="en-GB"/>
        </w:rPr>
        <w:t>t</w:t>
      </w:r>
      <w:r w:rsidRPr="00ED1D95">
        <w:rPr>
          <w:rFonts w:cs="Times New Roman"/>
          <w:lang w:val="en-GB"/>
        </w:rPr>
        <w:t xml:space="preserve">houghts, Fidalgo (2010) 59 ss; </w:t>
      </w:r>
      <w:r w:rsidRPr="00ED1D95">
        <w:rPr>
          <w:rFonts w:cs="Times New Roman"/>
          <w:lang w:val="en-GB"/>
        </w:rPr>
        <w:t>Camponez (2009) 214 ss.</w:t>
      </w:r>
    </w:p>
  </w:footnote>
  <w:footnote w:id="258">
    <w:p w14:paraId="23AD0F67" w14:textId="77777777" w:rsidR="00C51DEE" w:rsidRPr="00C51DEE" w:rsidRDefault="00C51DEE" w:rsidP="00C1129C">
      <w:pPr>
        <w:pStyle w:val="FootnoteText"/>
        <w:spacing w:line="480" w:lineRule="auto"/>
        <w:jc w:val="both"/>
        <w:rPr>
          <w:rFonts w:cs="Times New Roman"/>
          <w:lang w:val="en-GB"/>
        </w:rPr>
      </w:pPr>
      <w:r w:rsidRPr="002D79FD">
        <w:rPr>
          <w:rStyle w:val="FootnoteReference"/>
          <w:rFonts w:cs="Times New Roman"/>
        </w:rPr>
        <w:footnoteRef/>
      </w:r>
      <w:r w:rsidRPr="00C51DEE">
        <w:rPr>
          <w:rFonts w:cs="Times New Roman"/>
          <w:lang w:val="en-GB"/>
        </w:rPr>
        <w:t xml:space="preserve"> Fidalgo (2010) 60-61.</w:t>
      </w:r>
    </w:p>
  </w:footnote>
  <w:footnote w:id="259">
    <w:p w14:paraId="29981713" w14:textId="77777777" w:rsidR="000230C9" w:rsidRPr="000230C9" w:rsidRDefault="000230C9" w:rsidP="00C1129C">
      <w:pPr>
        <w:pStyle w:val="FootnoteText"/>
        <w:spacing w:line="480" w:lineRule="auto"/>
        <w:jc w:val="both"/>
        <w:rPr>
          <w:rFonts w:cs="Times New Roman"/>
          <w:lang w:val="en-GB"/>
        </w:rPr>
      </w:pPr>
      <w:r w:rsidRPr="002D79FD">
        <w:rPr>
          <w:rStyle w:val="FootnoteReference"/>
          <w:rFonts w:cs="Times New Roman"/>
        </w:rPr>
        <w:footnoteRef/>
      </w:r>
      <w:r w:rsidRPr="000230C9">
        <w:rPr>
          <w:rFonts w:cs="Times New Roman"/>
          <w:lang w:val="en-GB"/>
        </w:rPr>
        <w:t xml:space="preserve"> </w:t>
      </w:r>
      <w:r w:rsidRPr="000230C9">
        <w:rPr>
          <w:rFonts w:cs="Times New Roman"/>
          <w:lang w:val="en-GB"/>
        </w:rPr>
        <w:t>Camponez (2009) 209. Also, Fidalgo (2010) 41.</w:t>
      </w:r>
    </w:p>
  </w:footnote>
  <w:footnote w:id="260">
    <w:p w14:paraId="00B165AA" w14:textId="1F379E6A" w:rsidR="000E1D2B" w:rsidRPr="000D4E0C" w:rsidRDefault="000E1D2B" w:rsidP="00C1129C">
      <w:pPr>
        <w:pStyle w:val="FootnoteText"/>
        <w:spacing w:line="480" w:lineRule="auto"/>
        <w:jc w:val="both"/>
        <w:rPr>
          <w:rFonts w:cs="Times New Roman"/>
          <w:lang w:val="en-GB"/>
        </w:rPr>
      </w:pPr>
      <w:r w:rsidRPr="002D79FD">
        <w:rPr>
          <w:rStyle w:val="FootnoteReference"/>
          <w:rFonts w:cs="Times New Roman"/>
        </w:rPr>
        <w:footnoteRef/>
      </w:r>
      <w:r w:rsidRPr="000D4E0C">
        <w:rPr>
          <w:rFonts w:cs="Times New Roman"/>
          <w:lang w:val="en-GB"/>
        </w:rPr>
        <w:t xml:space="preserve"> </w:t>
      </w:r>
      <w:r w:rsidR="000D4E0C" w:rsidRPr="000D4E0C">
        <w:rPr>
          <w:rFonts w:cs="Times New Roman"/>
          <w:lang w:val="en-GB"/>
        </w:rPr>
        <w:t>Also with the same understan</w:t>
      </w:r>
      <w:r w:rsidR="000D4E0C">
        <w:rPr>
          <w:rFonts w:cs="Times New Roman"/>
          <w:lang w:val="en-GB"/>
        </w:rPr>
        <w:t>ding</w:t>
      </w:r>
      <w:r w:rsidRPr="000D4E0C">
        <w:rPr>
          <w:rFonts w:cs="Times New Roman"/>
          <w:lang w:val="en-GB"/>
        </w:rPr>
        <w:t xml:space="preserve">, Santos de Miranda (2018) </w:t>
      </w:r>
      <w:r w:rsidR="002D3281" w:rsidRPr="000D4E0C">
        <w:rPr>
          <w:rFonts w:cs="Times New Roman"/>
          <w:lang w:val="en-GB"/>
        </w:rPr>
        <w:t>414-415.</w:t>
      </w:r>
    </w:p>
  </w:footnote>
  <w:footnote w:id="261">
    <w:p w14:paraId="53ECF1C0" w14:textId="5243D786" w:rsidR="000A25E5" w:rsidRDefault="000A25E5" w:rsidP="00C1129C">
      <w:pPr>
        <w:pStyle w:val="FootnoteText"/>
        <w:spacing w:line="480" w:lineRule="auto"/>
        <w:jc w:val="both"/>
      </w:pPr>
      <w:r>
        <w:rPr>
          <w:rStyle w:val="FootnoteReference"/>
        </w:rPr>
        <w:footnoteRef/>
      </w:r>
      <w:r>
        <w:t xml:space="preserve"> </w:t>
      </w:r>
      <w:r w:rsidR="00387320" w:rsidRPr="00DE1C54">
        <w:t>Russ-Mohl (2015) 18.</w:t>
      </w:r>
    </w:p>
  </w:footnote>
  <w:footnote w:id="262">
    <w:p w14:paraId="39A41BCC" w14:textId="77777777" w:rsidR="00B013D5" w:rsidRPr="002D79FD" w:rsidRDefault="00B013D5"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Pr>
          <w:rFonts w:cs="Times New Roman"/>
        </w:rPr>
        <w:t>For a deeper reflexion</w:t>
      </w:r>
      <w:r w:rsidRPr="002D79FD">
        <w:rPr>
          <w:rFonts w:cs="Times New Roman"/>
        </w:rPr>
        <w:t>, Camponez (2009) 467 ss.</w:t>
      </w:r>
    </w:p>
  </w:footnote>
  <w:footnote w:id="263">
    <w:p w14:paraId="055E407E" w14:textId="1D4D909F" w:rsidR="00A17F02" w:rsidRPr="002D79FD" w:rsidRDefault="00A17F02"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Santos de Miranda (2018) </w:t>
      </w:r>
      <w:r w:rsidR="008C719C" w:rsidRPr="002D79FD">
        <w:rPr>
          <w:rFonts w:cs="Times New Roman"/>
        </w:rPr>
        <w:t xml:space="preserve">351, </w:t>
      </w:r>
      <w:r w:rsidR="001520B6">
        <w:rPr>
          <w:rFonts w:cs="Times New Roman"/>
        </w:rPr>
        <w:t>note</w:t>
      </w:r>
      <w:r w:rsidR="008C719C" w:rsidRPr="002D79FD">
        <w:rPr>
          <w:rFonts w:cs="Times New Roman"/>
        </w:rPr>
        <w:t xml:space="preserve"> 453.</w:t>
      </w:r>
    </w:p>
  </w:footnote>
  <w:footnote w:id="264">
    <w:p w14:paraId="43FD6AF2" w14:textId="6D96BB25" w:rsidR="00DA40BC" w:rsidRPr="002D79FD" w:rsidRDefault="00DA40BC"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Camponez (2009) </w:t>
      </w:r>
      <w:r w:rsidR="000C382D" w:rsidRPr="002D79FD">
        <w:rPr>
          <w:rFonts w:cs="Times New Roman"/>
        </w:rPr>
        <w:t>483</w:t>
      </w:r>
      <w:r w:rsidR="007A062C" w:rsidRPr="002D79FD">
        <w:rPr>
          <w:rFonts w:cs="Times New Roman"/>
        </w:rPr>
        <w:t>-484</w:t>
      </w:r>
      <w:r w:rsidR="000C382D" w:rsidRPr="002D79FD">
        <w:rPr>
          <w:rFonts w:cs="Times New Roman"/>
        </w:rPr>
        <w:t>.</w:t>
      </w:r>
    </w:p>
  </w:footnote>
  <w:footnote w:id="265">
    <w:p w14:paraId="357BDDED" w14:textId="45B9D2DD" w:rsidR="006D788A" w:rsidRPr="002D79FD" w:rsidRDefault="006D788A"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r w:rsidR="00BA48CE" w:rsidRPr="002D79FD">
        <w:rPr>
          <w:rFonts w:cs="Times New Roman"/>
        </w:rPr>
        <w:t>Sousa &amp; Fidalgo (2007) 16.</w:t>
      </w:r>
    </w:p>
  </w:footnote>
  <w:footnote w:id="266">
    <w:p w14:paraId="22003DF7" w14:textId="187F9D4F" w:rsidR="00EE21FF" w:rsidRPr="002D79FD" w:rsidRDefault="00EE21FF" w:rsidP="00C1129C">
      <w:pPr>
        <w:pStyle w:val="FootnoteText"/>
        <w:spacing w:line="480" w:lineRule="auto"/>
        <w:jc w:val="both"/>
        <w:rPr>
          <w:rFonts w:cs="Times New Roman"/>
        </w:rPr>
      </w:pPr>
      <w:r w:rsidRPr="002D79FD">
        <w:rPr>
          <w:rStyle w:val="FootnoteReference"/>
          <w:rFonts w:cs="Times New Roman"/>
        </w:rPr>
        <w:footnoteRef/>
      </w:r>
      <w:r w:rsidRPr="002D79FD">
        <w:rPr>
          <w:rFonts w:cs="Times New Roman"/>
        </w:rPr>
        <w:t xml:space="preserve"> </w:t>
      </w:r>
      <w:hyperlink r:id="rId34" w:history="1">
        <w:r w:rsidR="0002151C" w:rsidRPr="002D79FD">
          <w:rPr>
            <w:rStyle w:val="Hyperlink"/>
            <w:rFonts w:cs="Times New Roman"/>
          </w:rPr>
          <w:t>https://www.erc.pt/imagem/Eixos%20Estrat%C3%A9gicos%20ERC%202023-2028.pdf</w:t>
        </w:r>
      </w:hyperlink>
      <w:r w:rsidR="0002151C" w:rsidRPr="002D79FD">
        <w:rPr>
          <w:rFonts w:cs="Times New Roman"/>
        </w:rPr>
        <w:t xml:space="preserve"> </w:t>
      </w:r>
    </w:p>
  </w:footnote>
  <w:footnote w:id="267">
    <w:p w14:paraId="2B1293D3" w14:textId="77777777" w:rsidR="00C916C1" w:rsidRDefault="00C916C1" w:rsidP="00C1129C">
      <w:pPr>
        <w:pStyle w:val="FootnoteText"/>
        <w:spacing w:line="480" w:lineRule="auto"/>
        <w:jc w:val="both"/>
      </w:pPr>
      <w:r>
        <w:rPr>
          <w:rStyle w:val="FootnoteReference"/>
        </w:rPr>
        <w:footnoteRef/>
      </w:r>
      <w:r>
        <w:t xml:space="preserve"> Lopes Militão (2023) 266.</w:t>
      </w:r>
    </w:p>
  </w:footnote>
  <w:footnote w:id="268">
    <w:p w14:paraId="2AEA4BF1" w14:textId="1B97AE6F" w:rsidR="00A11819" w:rsidRDefault="00A11819" w:rsidP="00C1129C">
      <w:pPr>
        <w:pStyle w:val="FootnoteText"/>
        <w:spacing w:line="480" w:lineRule="auto"/>
        <w:jc w:val="both"/>
      </w:pPr>
      <w:r>
        <w:rPr>
          <w:rStyle w:val="FootnoteReference"/>
        </w:rPr>
        <w:footnoteRef/>
      </w:r>
      <w:r>
        <w:t xml:space="preserve"> </w:t>
      </w:r>
      <w:r w:rsidR="007E1098">
        <w:t xml:space="preserve"> </w:t>
      </w:r>
      <w:r w:rsidR="008B3EB9">
        <w:t>Lopes Militão</w:t>
      </w:r>
      <w:r w:rsidR="008D10DD">
        <w:t xml:space="preserve"> </w:t>
      </w:r>
      <w:r w:rsidR="008B3EB9">
        <w:t>(2023)</w:t>
      </w:r>
      <w:r w:rsidR="008D10DD">
        <w:t xml:space="preserve"> </w:t>
      </w:r>
      <w:r w:rsidR="0059792C">
        <w:t xml:space="preserve">266, </w:t>
      </w:r>
      <w:r w:rsidR="008B3EB9">
        <w:t>not</w:t>
      </w:r>
      <w:r w:rsidR="001520B6">
        <w:t>e</w:t>
      </w:r>
      <w:r w:rsidR="008B3EB9">
        <w:t xml:space="preserve"> </w:t>
      </w:r>
      <w:r w:rsidR="0059792C">
        <w:t xml:space="preserve">46; </w:t>
      </w:r>
      <w:r w:rsidR="0010291E">
        <w:rPr>
          <w:rFonts w:cs="Times New Roman"/>
        </w:rPr>
        <w:t>Moreira das Neves</w:t>
      </w:r>
      <w:r w:rsidR="00694591" w:rsidRPr="002D79FD">
        <w:rPr>
          <w:rFonts w:cs="Times New Roman"/>
        </w:rPr>
        <w:t xml:space="preserve"> (201</w:t>
      </w:r>
      <w:r w:rsidR="0010291E">
        <w:rPr>
          <w:rFonts w:cs="Times New Roman"/>
        </w:rPr>
        <w:t>6</w:t>
      </w:r>
      <w:r w:rsidR="00694591" w:rsidRPr="002D79FD">
        <w:rPr>
          <w:rFonts w:cs="Times New Roman"/>
        </w:rPr>
        <w:t>)</w:t>
      </w:r>
      <w:r w:rsidR="0010291E">
        <w:rPr>
          <w:rFonts w:cs="Times New Roman"/>
        </w:rPr>
        <w:t xml:space="preserve"> 85.</w:t>
      </w:r>
    </w:p>
  </w:footnote>
  <w:footnote w:id="269">
    <w:p w14:paraId="3782C22E" w14:textId="77777777" w:rsidR="00C63830" w:rsidRPr="003F4B82" w:rsidRDefault="00C63830"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lang w:val="en-GB"/>
        </w:rPr>
        <w:t xml:space="preserve"> Teixeira da Mota (2017) 185-186.</w:t>
      </w:r>
    </w:p>
  </w:footnote>
  <w:footnote w:id="270">
    <w:p w14:paraId="0F668FE3" w14:textId="77777777" w:rsidR="00002604" w:rsidRPr="003F4B82" w:rsidRDefault="00002604" w:rsidP="00C1129C">
      <w:pPr>
        <w:pStyle w:val="FootnoteText"/>
        <w:spacing w:line="480" w:lineRule="auto"/>
        <w:jc w:val="both"/>
      </w:pPr>
      <w:r>
        <w:rPr>
          <w:rStyle w:val="FootnoteReference"/>
        </w:rPr>
        <w:footnoteRef/>
      </w:r>
      <w:r w:rsidRPr="009073BC">
        <w:rPr>
          <w:lang w:val="en-GB"/>
        </w:rPr>
        <w:t xml:space="preserve"> IPI (2015). </w:t>
      </w:r>
      <w:r w:rsidRPr="008C4800">
        <w:rPr>
          <w:lang w:val="en-GB"/>
        </w:rPr>
        <w:t xml:space="preserve">Briefing: </w:t>
      </w:r>
      <w:r>
        <w:rPr>
          <w:lang w:val="en-GB"/>
        </w:rPr>
        <w:t xml:space="preserve">Criminal Defamation in Portugal. Report of the IPI working Visit, 8. </w:t>
      </w:r>
      <w:hyperlink r:id="rId35" w:history="1">
        <w:r w:rsidRPr="003F4B82">
          <w:rPr>
            <w:rStyle w:val="Hyperlink"/>
          </w:rPr>
          <w:t>https://ipi.media/wp-content/uploads/2016/08/PortugalCriminalDef_IPI_ENG.pdf</w:t>
        </w:r>
      </w:hyperlink>
      <w:r w:rsidRPr="003F4B82">
        <w:t xml:space="preserve"> </w:t>
      </w:r>
    </w:p>
  </w:footnote>
  <w:footnote w:id="271">
    <w:p w14:paraId="2F0943FB" w14:textId="77777777" w:rsidR="004F686B" w:rsidRDefault="004F686B" w:rsidP="00C1129C">
      <w:pPr>
        <w:pStyle w:val="FootnoteText"/>
        <w:spacing w:line="480" w:lineRule="auto"/>
        <w:jc w:val="both"/>
      </w:pPr>
      <w:r>
        <w:rPr>
          <w:rStyle w:val="FootnoteReference"/>
        </w:rPr>
        <w:footnoteRef/>
      </w:r>
      <w:r>
        <w:t xml:space="preserve"> Lopes Militão (2023) 321-323.</w:t>
      </w:r>
    </w:p>
  </w:footnote>
  <w:footnote w:id="272">
    <w:p w14:paraId="0BFEAEF4" w14:textId="77777777" w:rsidR="00C45660" w:rsidRPr="003F4B82" w:rsidRDefault="00C45660" w:rsidP="00C1129C">
      <w:pPr>
        <w:pStyle w:val="FootnoteText"/>
        <w:spacing w:line="480" w:lineRule="auto"/>
        <w:jc w:val="both"/>
        <w:rPr>
          <w:lang w:val="en-GB"/>
        </w:rPr>
      </w:pPr>
      <w:r>
        <w:rPr>
          <w:rStyle w:val="FootnoteReference"/>
        </w:rPr>
        <w:footnoteRef/>
      </w:r>
      <w:r w:rsidRPr="003F4B82">
        <w:rPr>
          <w:lang w:val="en-GB"/>
        </w:rPr>
        <w:t xml:space="preserve"> IPI (2015) 22.</w:t>
      </w:r>
    </w:p>
  </w:footnote>
  <w:footnote w:id="273">
    <w:p w14:paraId="0B5D254D" w14:textId="71FCA9C5" w:rsidR="006353BD" w:rsidRPr="00E538E7" w:rsidRDefault="006353BD" w:rsidP="00C1129C">
      <w:pPr>
        <w:pStyle w:val="FootnoteText"/>
        <w:spacing w:line="480" w:lineRule="auto"/>
        <w:jc w:val="both"/>
        <w:rPr>
          <w:rFonts w:cs="Times New Roman"/>
          <w:lang w:val="en-GB"/>
        </w:rPr>
      </w:pPr>
      <w:r w:rsidRPr="002D79FD">
        <w:rPr>
          <w:rStyle w:val="FootnoteReference"/>
          <w:rFonts w:cs="Times New Roman"/>
        </w:rPr>
        <w:footnoteRef/>
      </w:r>
      <w:r w:rsidRPr="00E538E7">
        <w:rPr>
          <w:rFonts w:cs="Times New Roman"/>
          <w:lang w:val="en-GB"/>
        </w:rPr>
        <w:t xml:space="preserve"> </w:t>
      </w:r>
      <w:r w:rsidR="00E538E7" w:rsidRPr="00E538E7">
        <w:rPr>
          <w:rFonts w:cs="Times New Roman"/>
          <w:lang w:val="en-GB"/>
        </w:rPr>
        <w:t>Regulation (EU) 2024/1689 of the European Parliament and of the Council of June 13, 2024, establishing harmonized rules on artificial intelligence and amending Regulations (EC) No. 300/2008, (EU) No. 167/2013, (EU) No. 168/2013, (EU) 2018/858, (EU) 2018/1139, and (EU) 2019/2144, and Directives 2014/90/EU, (EU) 2016/797, and (EU) 2020/1828 (Artificial Intelligence Regulation).</w:t>
      </w:r>
    </w:p>
  </w:footnote>
  <w:footnote w:id="274">
    <w:p w14:paraId="684E70C9" w14:textId="77777777" w:rsidR="00452FA4" w:rsidRPr="003F4B82" w:rsidRDefault="00452FA4" w:rsidP="00C1129C">
      <w:pPr>
        <w:pStyle w:val="FootnoteText"/>
        <w:spacing w:line="480" w:lineRule="auto"/>
        <w:jc w:val="both"/>
        <w:rPr>
          <w:rFonts w:cs="Times New Roman"/>
          <w:lang w:val="en-GB"/>
        </w:rPr>
      </w:pPr>
      <w:r w:rsidRPr="002D79FD">
        <w:rPr>
          <w:rStyle w:val="FootnoteReference"/>
          <w:rFonts w:cs="Times New Roman"/>
        </w:rPr>
        <w:footnoteRef/>
      </w:r>
      <w:r w:rsidRPr="003F4B82">
        <w:rPr>
          <w:rFonts w:cs="Times New Roman"/>
          <w:lang w:val="en-GB"/>
        </w:rPr>
        <w:t xml:space="preserve"> </w:t>
      </w:r>
      <w:hyperlink r:id="rId36" w:history="1">
        <w:r w:rsidRPr="003F4B82">
          <w:rPr>
            <w:rStyle w:val="Hyperlink"/>
            <w:rFonts w:cs="Times New Roman"/>
            <w:lang w:val="en-GB"/>
          </w:rPr>
          <w:t>https://www.pewresearch.org/short-reads/2025/04/24/americans-remain-concerned-about-press-freedoms-but-partisan-views-have-flipped-since-2024/</w:t>
        </w:r>
      </w:hyperlink>
      <w:r w:rsidRPr="003F4B82">
        <w:rPr>
          <w:rFonts w:cs="Times New Roman"/>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B69"/>
    <w:multiLevelType w:val="hybridMultilevel"/>
    <w:tmpl w:val="66A4427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64C390E"/>
    <w:multiLevelType w:val="multilevel"/>
    <w:tmpl w:val="21DA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D15F0"/>
    <w:multiLevelType w:val="multilevel"/>
    <w:tmpl w:val="8128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05E98"/>
    <w:multiLevelType w:val="hybridMultilevel"/>
    <w:tmpl w:val="FF423D30"/>
    <w:lvl w:ilvl="0" w:tplc="E9E45D48">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B6F5387"/>
    <w:multiLevelType w:val="multilevel"/>
    <w:tmpl w:val="6EE0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D1D09"/>
    <w:multiLevelType w:val="multilevel"/>
    <w:tmpl w:val="5698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41ED4"/>
    <w:multiLevelType w:val="multilevel"/>
    <w:tmpl w:val="D1C4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C1B90"/>
    <w:multiLevelType w:val="multilevel"/>
    <w:tmpl w:val="3E1A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20A72"/>
    <w:multiLevelType w:val="hybridMultilevel"/>
    <w:tmpl w:val="EE2ED938"/>
    <w:lvl w:ilvl="0" w:tplc="D3EC91EE">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58B3718"/>
    <w:multiLevelType w:val="hybridMultilevel"/>
    <w:tmpl w:val="0178C758"/>
    <w:lvl w:ilvl="0" w:tplc="A3989022">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71C319E"/>
    <w:multiLevelType w:val="hybridMultilevel"/>
    <w:tmpl w:val="78AE1F6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A642A80"/>
    <w:multiLevelType w:val="multilevel"/>
    <w:tmpl w:val="4A08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33F5C"/>
    <w:multiLevelType w:val="multilevel"/>
    <w:tmpl w:val="F07E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D5317"/>
    <w:multiLevelType w:val="multilevel"/>
    <w:tmpl w:val="B60A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AA4420"/>
    <w:multiLevelType w:val="hybridMultilevel"/>
    <w:tmpl w:val="BD9EE122"/>
    <w:lvl w:ilvl="0" w:tplc="91CA7952">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5706CE6"/>
    <w:multiLevelType w:val="multilevel"/>
    <w:tmpl w:val="E130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695460"/>
    <w:multiLevelType w:val="hybridMultilevel"/>
    <w:tmpl w:val="6DA85F00"/>
    <w:lvl w:ilvl="0" w:tplc="3D48782A">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9847485"/>
    <w:multiLevelType w:val="multilevel"/>
    <w:tmpl w:val="D8CC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6F5BAD"/>
    <w:multiLevelType w:val="multilevel"/>
    <w:tmpl w:val="9DCA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21FF5"/>
    <w:multiLevelType w:val="hybridMultilevel"/>
    <w:tmpl w:val="69F8E2C0"/>
    <w:lvl w:ilvl="0" w:tplc="D3EC91EE">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134668E"/>
    <w:multiLevelType w:val="multilevel"/>
    <w:tmpl w:val="311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F1785"/>
    <w:multiLevelType w:val="hybridMultilevel"/>
    <w:tmpl w:val="D9B6ADAA"/>
    <w:lvl w:ilvl="0" w:tplc="D3EC91EE">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7631FCC"/>
    <w:multiLevelType w:val="hybridMultilevel"/>
    <w:tmpl w:val="07F0FF74"/>
    <w:lvl w:ilvl="0" w:tplc="D3EC91EE">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2575112"/>
    <w:multiLevelType w:val="multilevel"/>
    <w:tmpl w:val="AD8C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047BA2"/>
    <w:multiLevelType w:val="multilevel"/>
    <w:tmpl w:val="8494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99379F"/>
    <w:multiLevelType w:val="hybridMultilevel"/>
    <w:tmpl w:val="399EB388"/>
    <w:lvl w:ilvl="0" w:tplc="D3EC91EE">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5BC78CD"/>
    <w:multiLevelType w:val="hybridMultilevel"/>
    <w:tmpl w:val="5D5600DE"/>
    <w:lvl w:ilvl="0" w:tplc="D3EC91EE">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6991B12"/>
    <w:multiLevelType w:val="hybridMultilevel"/>
    <w:tmpl w:val="64D4843C"/>
    <w:lvl w:ilvl="0" w:tplc="9C9824C8">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4A87582D"/>
    <w:multiLevelType w:val="multilevel"/>
    <w:tmpl w:val="E754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6C1F24"/>
    <w:multiLevelType w:val="multilevel"/>
    <w:tmpl w:val="D36C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D09A9"/>
    <w:multiLevelType w:val="multilevel"/>
    <w:tmpl w:val="A82E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67625"/>
    <w:multiLevelType w:val="hybridMultilevel"/>
    <w:tmpl w:val="B7E2DA00"/>
    <w:lvl w:ilvl="0" w:tplc="942E396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1F576BD"/>
    <w:multiLevelType w:val="multilevel"/>
    <w:tmpl w:val="FB1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F8308D"/>
    <w:multiLevelType w:val="multilevel"/>
    <w:tmpl w:val="AEA6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5101F6"/>
    <w:multiLevelType w:val="multilevel"/>
    <w:tmpl w:val="AC6A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DE017B"/>
    <w:multiLevelType w:val="hybridMultilevel"/>
    <w:tmpl w:val="7F4861FE"/>
    <w:lvl w:ilvl="0" w:tplc="5308D64A">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580B65C0"/>
    <w:multiLevelType w:val="hybridMultilevel"/>
    <w:tmpl w:val="71F41B76"/>
    <w:lvl w:ilvl="0" w:tplc="D3EC91EE">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590C572C"/>
    <w:multiLevelType w:val="multilevel"/>
    <w:tmpl w:val="125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054EFD"/>
    <w:multiLevelType w:val="multilevel"/>
    <w:tmpl w:val="E970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FE0CE7"/>
    <w:multiLevelType w:val="multilevel"/>
    <w:tmpl w:val="72CED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403D14"/>
    <w:multiLevelType w:val="hybridMultilevel"/>
    <w:tmpl w:val="3C3E8E5A"/>
    <w:lvl w:ilvl="0" w:tplc="7A987BC2">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6517795B"/>
    <w:multiLevelType w:val="hybridMultilevel"/>
    <w:tmpl w:val="6122C81A"/>
    <w:lvl w:ilvl="0" w:tplc="84AAE95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6C0D736E"/>
    <w:multiLevelType w:val="hybridMultilevel"/>
    <w:tmpl w:val="218E9F04"/>
    <w:lvl w:ilvl="0" w:tplc="88B633F2">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6EE92E8D"/>
    <w:multiLevelType w:val="multilevel"/>
    <w:tmpl w:val="29FA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181B4A"/>
    <w:multiLevelType w:val="multilevel"/>
    <w:tmpl w:val="455E85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F045C6"/>
    <w:multiLevelType w:val="hybridMultilevel"/>
    <w:tmpl w:val="005C1B32"/>
    <w:lvl w:ilvl="0" w:tplc="D3EC91EE">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744B231E"/>
    <w:multiLevelType w:val="multilevel"/>
    <w:tmpl w:val="A8D0E37E"/>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7C19E3"/>
    <w:multiLevelType w:val="multilevel"/>
    <w:tmpl w:val="B78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1850C8"/>
    <w:multiLevelType w:val="multilevel"/>
    <w:tmpl w:val="7CA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860B25"/>
    <w:multiLevelType w:val="multilevel"/>
    <w:tmpl w:val="6D5A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245064">
    <w:abstractNumId w:val="30"/>
  </w:num>
  <w:num w:numId="2" w16cid:durableId="1457406219">
    <w:abstractNumId w:val="49"/>
  </w:num>
  <w:num w:numId="3" w16cid:durableId="1058556066">
    <w:abstractNumId w:val="13"/>
  </w:num>
  <w:num w:numId="4" w16cid:durableId="265043564">
    <w:abstractNumId w:val="47"/>
  </w:num>
  <w:num w:numId="5" w16cid:durableId="933703332">
    <w:abstractNumId w:val="8"/>
  </w:num>
  <w:num w:numId="6" w16cid:durableId="1142845712">
    <w:abstractNumId w:val="31"/>
  </w:num>
  <w:num w:numId="7" w16cid:durableId="2018070578">
    <w:abstractNumId w:val="39"/>
  </w:num>
  <w:num w:numId="8" w16cid:durableId="1495224229">
    <w:abstractNumId w:val="44"/>
  </w:num>
  <w:num w:numId="9" w16cid:durableId="644551186">
    <w:abstractNumId w:val="20"/>
  </w:num>
  <w:num w:numId="10" w16cid:durableId="1085030130">
    <w:abstractNumId w:val="4"/>
  </w:num>
  <w:num w:numId="11" w16cid:durableId="1948343480">
    <w:abstractNumId w:val="2"/>
  </w:num>
  <w:num w:numId="12" w16cid:durableId="2117825068">
    <w:abstractNumId w:val="34"/>
  </w:num>
  <w:num w:numId="13" w16cid:durableId="1568540406">
    <w:abstractNumId w:val="29"/>
  </w:num>
  <w:num w:numId="14" w16cid:durableId="259804043">
    <w:abstractNumId w:val="28"/>
  </w:num>
  <w:num w:numId="15" w16cid:durableId="86539476">
    <w:abstractNumId w:val="22"/>
  </w:num>
  <w:num w:numId="16" w16cid:durableId="518084849">
    <w:abstractNumId w:val="27"/>
  </w:num>
  <w:num w:numId="17" w16cid:durableId="681514922">
    <w:abstractNumId w:val="43"/>
  </w:num>
  <w:num w:numId="18" w16cid:durableId="1267227189">
    <w:abstractNumId w:val="45"/>
  </w:num>
  <w:num w:numId="19" w16cid:durableId="193352847">
    <w:abstractNumId w:val="35"/>
  </w:num>
  <w:num w:numId="20" w16cid:durableId="1738094116">
    <w:abstractNumId w:val="21"/>
  </w:num>
  <w:num w:numId="21" w16cid:durableId="380523026">
    <w:abstractNumId w:val="41"/>
  </w:num>
  <w:num w:numId="22" w16cid:durableId="835847015">
    <w:abstractNumId w:val="17"/>
  </w:num>
  <w:num w:numId="23" w16cid:durableId="356736590">
    <w:abstractNumId w:val="1"/>
  </w:num>
  <w:num w:numId="24" w16cid:durableId="644899639">
    <w:abstractNumId w:val="23"/>
  </w:num>
  <w:num w:numId="25" w16cid:durableId="1122961100">
    <w:abstractNumId w:val="15"/>
  </w:num>
  <w:num w:numId="26" w16cid:durableId="1721054344">
    <w:abstractNumId w:val="38"/>
  </w:num>
  <w:num w:numId="27" w16cid:durableId="1650354438">
    <w:abstractNumId w:val="26"/>
  </w:num>
  <w:num w:numId="28" w16cid:durableId="1796366679">
    <w:abstractNumId w:val="16"/>
  </w:num>
  <w:num w:numId="29" w16cid:durableId="1634866978">
    <w:abstractNumId w:val="32"/>
  </w:num>
  <w:num w:numId="30" w16cid:durableId="1724013372">
    <w:abstractNumId w:val="36"/>
  </w:num>
  <w:num w:numId="31" w16cid:durableId="80881590">
    <w:abstractNumId w:val="40"/>
  </w:num>
  <w:num w:numId="32" w16cid:durableId="792483695">
    <w:abstractNumId w:val="24"/>
  </w:num>
  <w:num w:numId="33" w16cid:durableId="415902062">
    <w:abstractNumId w:val="7"/>
  </w:num>
  <w:num w:numId="34" w16cid:durableId="594703369">
    <w:abstractNumId w:val="6"/>
  </w:num>
  <w:num w:numId="35" w16cid:durableId="623072787">
    <w:abstractNumId w:val="37"/>
  </w:num>
  <w:num w:numId="36" w16cid:durableId="742023735">
    <w:abstractNumId w:val="33"/>
  </w:num>
  <w:num w:numId="37" w16cid:durableId="1842161739">
    <w:abstractNumId w:val="5"/>
  </w:num>
  <w:num w:numId="38" w16cid:durableId="20784534">
    <w:abstractNumId w:val="48"/>
  </w:num>
  <w:num w:numId="39" w16cid:durableId="126511117">
    <w:abstractNumId w:val="18"/>
  </w:num>
  <w:num w:numId="40" w16cid:durableId="153685803">
    <w:abstractNumId w:val="11"/>
  </w:num>
  <w:num w:numId="41" w16cid:durableId="406072456">
    <w:abstractNumId w:val="12"/>
  </w:num>
  <w:num w:numId="42" w16cid:durableId="188959879">
    <w:abstractNumId w:val="19"/>
  </w:num>
  <w:num w:numId="43" w16cid:durableId="1064530222">
    <w:abstractNumId w:val="14"/>
  </w:num>
  <w:num w:numId="44" w16cid:durableId="1969554200">
    <w:abstractNumId w:val="46"/>
  </w:num>
  <w:num w:numId="45" w16cid:durableId="512426571">
    <w:abstractNumId w:val="10"/>
  </w:num>
  <w:num w:numId="46" w16cid:durableId="1633630937">
    <w:abstractNumId w:val="9"/>
  </w:num>
  <w:num w:numId="47" w16cid:durableId="1674334034">
    <w:abstractNumId w:val="25"/>
  </w:num>
  <w:num w:numId="48" w16cid:durableId="1881745743">
    <w:abstractNumId w:val="3"/>
  </w:num>
  <w:num w:numId="49" w16cid:durableId="51276983">
    <w:abstractNumId w:val="0"/>
  </w:num>
  <w:num w:numId="50" w16cid:durableId="196642883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A9"/>
    <w:rsid w:val="000003A4"/>
    <w:rsid w:val="00000F61"/>
    <w:rsid w:val="0000105A"/>
    <w:rsid w:val="00001A2F"/>
    <w:rsid w:val="00001EDE"/>
    <w:rsid w:val="00001FB1"/>
    <w:rsid w:val="0000217A"/>
    <w:rsid w:val="00002604"/>
    <w:rsid w:val="00003165"/>
    <w:rsid w:val="000045E0"/>
    <w:rsid w:val="00004D8C"/>
    <w:rsid w:val="00005860"/>
    <w:rsid w:val="0000640C"/>
    <w:rsid w:val="000065CA"/>
    <w:rsid w:val="00006C2A"/>
    <w:rsid w:val="00006C43"/>
    <w:rsid w:val="00006C98"/>
    <w:rsid w:val="00007F8A"/>
    <w:rsid w:val="00010526"/>
    <w:rsid w:val="00010BF6"/>
    <w:rsid w:val="00010C50"/>
    <w:rsid w:val="000114CF"/>
    <w:rsid w:val="00011D4D"/>
    <w:rsid w:val="000133B5"/>
    <w:rsid w:val="00013E9C"/>
    <w:rsid w:val="00014658"/>
    <w:rsid w:val="00014FFD"/>
    <w:rsid w:val="0001514C"/>
    <w:rsid w:val="000154F0"/>
    <w:rsid w:val="00015718"/>
    <w:rsid w:val="00015C3F"/>
    <w:rsid w:val="00015DA8"/>
    <w:rsid w:val="00015DCA"/>
    <w:rsid w:val="00016A51"/>
    <w:rsid w:val="000170DF"/>
    <w:rsid w:val="0001733D"/>
    <w:rsid w:val="00017B1A"/>
    <w:rsid w:val="00020101"/>
    <w:rsid w:val="000201E7"/>
    <w:rsid w:val="0002056C"/>
    <w:rsid w:val="000208B1"/>
    <w:rsid w:val="0002097F"/>
    <w:rsid w:val="00020B9B"/>
    <w:rsid w:val="00020BC9"/>
    <w:rsid w:val="000212DA"/>
    <w:rsid w:val="0002151C"/>
    <w:rsid w:val="000216F9"/>
    <w:rsid w:val="00021E54"/>
    <w:rsid w:val="000230C9"/>
    <w:rsid w:val="00023236"/>
    <w:rsid w:val="00023C68"/>
    <w:rsid w:val="000257A4"/>
    <w:rsid w:val="000258E6"/>
    <w:rsid w:val="00025BB5"/>
    <w:rsid w:val="00025CEA"/>
    <w:rsid w:val="00026513"/>
    <w:rsid w:val="00026BFE"/>
    <w:rsid w:val="00026F5D"/>
    <w:rsid w:val="000271C9"/>
    <w:rsid w:val="0003028B"/>
    <w:rsid w:val="000302A9"/>
    <w:rsid w:val="000304B2"/>
    <w:rsid w:val="00030577"/>
    <w:rsid w:val="0003094F"/>
    <w:rsid w:val="00031335"/>
    <w:rsid w:val="00031E19"/>
    <w:rsid w:val="000327DF"/>
    <w:rsid w:val="00032DA3"/>
    <w:rsid w:val="00032DB3"/>
    <w:rsid w:val="0003333A"/>
    <w:rsid w:val="000336B7"/>
    <w:rsid w:val="0003389F"/>
    <w:rsid w:val="000339A3"/>
    <w:rsid w:val="00033B6E"/>
    <w:rsid w:val="000344A4"/>
    <w:rsid w:val="00034596"/>
    <w:rsid w:val="0003537B"/>
    <w:rsid w:val="00035518"/>
    <w:rsid w:val="00035E26"/>
    <w:rsid w:val="000364AB"/>
    <w:rsid w:val="00036881"/>
    <w:rsid w:val="0003710A"/>
    <w:rsid w:val="0003748B"/>
    <w:rsid w:val="00037947"/>
    <w:rsid w:val="00037AF1"/>
    <w:rsid w:val="000405E6"/>
    <w:rsid w:val="000407BE"/>
    <w:rsid w:val="000425EC"/>
    <w:rsid w:val="00042CE7"/>
    <w:rsid w:val="00043AE7"/>
    <w:rsid w:val="00043C40"/>
    <w:rsid w:val="0004452A"/>
    <w:rsid w:val="00044610"/>
    <w:rsid w:val="00044F07"/>
    <w:rsid w:val="000459F0"/>
    <w:rsid w:val="00045BD2"/>
    <w:rsid w:val="00046036"/>
    <w:rsid w:val="000467B0"/>
    <w:rsid w:val="00046AFA"/>
    <w:rsid w:val="0004735F"/>
    <w:rsid w:val="00047734"/>
    <w:rsid w:val="000477B9"/>
    <w:rsid w:val="00047F0B"/>
    <w:rsid w:val="000502D0"/>
    <w:rsid w:val="000503A7"/>
    <w:rsid w:val="000508DB"/>
    <w:rsid w:val="00050EAB"/>
    <w:rsid w:val="00050F10"/>
    <w:rsid w:val="000511F3"/>
    <w:rsid w:val="000513DF"/>
    <w:rsid w:val="0005202E"/>
    <w:rsid w:val="00052116"/>
    <w:rsid w:val="000529F8"/>
    <w:rsid w:val="00052A18"/>
    <w:rsid w:val="00052B9F"/>
    <w:rsid w:val="000535B1"/>
    <w:rsid w:val="000536D1"/>
    <w:rsid w:val="000538A9"/>
    <w:rsid w:val="0005402E"/>
    <w:rsid w:val="00054240"/>
    <w:rsid w:val="00054542"/>
    <w:rsid w:val="0005488D"/>
    <w:rsid w:val="00054E96"/>
    <w:rsid w:val="00055146"/>
    <w:rsid w:val="000553CF"/>
    <w:rsid w:val="00056C0F"/>
    <w:rsid w:val="00056D4C"/>
    <w:rsid w:val="00056F8E"/>
    <w:rsid w:val="00057269"/>
    <w:rsid w:val="00057459"/>
    <w:rsid w:val="00060DD1"/>
    <w:rsid w:val="000610DC"/>
    <w:rsid w:val="000612F2"/>
    <w:rsid w:val="000614C8"/>
    <w:rsid w:val="00061772"/>
    <w:rsid w:val="000620B7"/>
    <w:rsid w:val="000627EA"/>
    <w:rsid w:val="0006298A"/>
    <w:rsid w:val="000633A4"/>
    <w:rsid w:val="000634CD"/>
    <w:rsid w:val="00064066"/>
    <w:rsid w:val="000644F3"/>
    <w:rsid w:val="00064633"/>
    <w:rsid w:val="00064899"/>
    <w:rsid w:val="00064B3B"/>
    <w:rsid w:val="00065210"/>
    <w:rsid w:val="000654E4"/>
    <w:rsid w:val="00065A26"/>
    <w:rsid w:val="00065C44"/>
    <w:rsid w:val="000661FC"/>
    <w:rsid w:val="000662E7"/>
    <w:rsid w:val="0006680B"/>
    <w:rsid w:val="00067025"/>
    <w:rsid w:val="000670A5"/>
    <w:rsid w:val="000674C3"/>
    <w:rsid w:val="00067769"/>
    <w:rsid w:val="00067ECE"/>
    <w:rsid w:val="00067EF1"/>
    <w:rsid w:val="00070524"/>
    <w:rsid w:val="00070BB9"/>
    <w:rsid w:val="00070EF6"/>
    <w:rsid w:val="00072456"/>
    <w:rsid w:val="00072D9C"/>
    <w:rsid w:val="0007377E"/>
    <w:rsid w:val="00073943"/>
    <w:rsid w:val="00073CC8"/>
    <w:rsid w:val="000746BA"/>
    <w:rsid w:val="000749C8"/>
    <w:rsid w:val="000752F2"/>
    <w:rsid w:val="000763AE"/>
    <w:rsid w:val="000764FB"/>
    <w:rsid w:val="000769B8"/>
    <w:rsid w:val="00076C47"/>
    <w:rsid w:val="00077B67"/>
    <w:rsid w:val="00081250"/>
    <w:rsid w:val="00081609"/>
    <w:rsid w:val="0008185E"/>
    <w:rsid w:val="00081B63"/>
    <w:rsid w:val="0008209F"/>
    <w:rsid w:val="000821C0"/>
    <w:rsid w:val="000829EB"/>
    <w:rsid w:val="00082F24"/>
    <w:rsid w:val="00083286"/>
    <w:rsid w:val="000836DD"/>
    <w:rsid w:val="00083D00"/>
    <w:rsid w:val="00084035"/>
    <w:rsid w:val="00084506"/>
    <w:rsid w:val="000848BD"/>
    <w:rsid w:val="00084DA1"/>
    <w:rsid w:val="00085D23"/>
    <w:rsid w:val="0008612A"/>
    <w:rsid w:val="0008630C"/>
    <w:rsid w:val="00086DC8"/>
    <w:rsid w:val="00086E6C"/>
    <w:rsid w:val="00086F8D"/>
    <w:rsid w:val="0008717B"/>
    <w:rsid w:val="0008774E"/>
    <w:rsid w:val="00090384"/>
    <w:rsid w:val="0009058B"/>
    <w:rsid w:val="000912E0"/>
    <w:rsid w:val="0009175D"/>
    <w:rsid w:val="00091DFE"/>
    <w:rsid w:val="00091F88"/>
    <w:rsid w:val="00092E93"/>
    <w:rsid w:val="00092FE7"/>
    <w:rsid w:val="000930E9"/>
    <w:rsid w:val="000934E7"/>
    <w:rsid w:val="00093879"/>
    <w:rsid w:val="00095F30"/>
    <w:rsid w:val="000961A2"/>
    <w:rsid w:val="000966EA"/>
    <w:rsid w:val="000972F8"/>
    <w:rsid w:val="00097CB9"/>
    <w:rsid w:val="00097CDB"/>
    <w:rsid w:val="00097E26"/>
    <w:rsid w:val="000A0032"/>
    <w:rsid w:val="000A00C0"/>
    <w:rsid w:val="000A0A7C"/>
    <w:rsid w:val="000A0DE4"/>
    <w:rsid w:val="000A1236"/>
    <w:rsid w:val="000A16CF"/>
    <w:rsid w:val="000A247F"/>
    <w:rsid w:val="000A25E5"/>
    <w:rsid w:val="000A4148"/>
    <w:rsid w:val="000A4E4C"/>
    <w:rsid w:val="000A503C"/>
    <w:rsid w:val="000A5319"/>
    <w:rsid w:val="000A5F17"/>
    <w:rsid w:val="000A6151"/>
    <w:rsid w:val="000A6972"/>
    <w:rsid w:val="000A7784"/>
    <w:rsid w:val="000B017B"/>
    <w:rsid w:val="000B04F2"/>
    <w:rsid w:val="000B151F"/>
    <w:rsid w:val="000B1A2E"/>
    <w:rsid w:val="000B2496"/>
    <w:rsid w:val="000B2945"/>
    <w:rsid w:val="000B36BE"/>
    <w:rsid w:val="000B387B"/>
    <w:rsid w:val="000B4459"/>
    <w:rsid w:val="000B493E"/>
    <w:rsid w:val="000B49EB"/>
    <w:rsid w:val="000B4A05"/>
    <w:rsid w:val="000B4F63"/>
    <w:rsid w:val="000B59BE"/>
    <w:rsid w:val="000B5E56"/>
    <w:rsid w:val="000B618A"/>
    <w:rsid w:val="000B61F9"/>
    <w:rsid w:val="000B67C6"/>
    <w:rsid w:val="000B7CB9"/>
    <w:rsid w:val="000C0EA4"/>
    <w:rsid w:val="000C16B1"/>
    <w:rsid w:val="000C1E1C"/>
    <w:rsid w:val="000C2668"/>
    <w:rsid w:val="000C350F"/>
    <w:rsid w:val="000C382D"/>
    <w:rsid w:val="000C3A86"/>
    <w:rsid w:val="000C44DC"/>
    <w:rsid w:val="000C497C"/>
    <w:rsid w:val="000C49ED"/>
    <w:rsid w:val="000C4DD6"/>
    <w:rsid w:val="000C61EF"/>
    <w:rsid w:val="000C6AE2"/>
    <w:rsid w:val="000C6C1F"/>
    <w:rsid w:val="000C6EAD"/>
    <w:rsid w:val="000C708D"/>
    <w:rsid w:val="000C729F"/>
    <w:rsid w:val="000C7767"/>
    <w:rsid w:val="000C7B30"/>
    <w:rsid w:val="000D0497"/>
    <w:rsid w:val="000D091E"/>
    <w:rsid w:val="000D0A68"/>
    <w:rsid w:val="000D1947"/>
    <w:rsid w:val="000D20C6"/>
    <w:rsid w:val="000D230B"/>
    <w:rsid w:val="000D256B"/>
    <w:rsid w:val="000D2C73"/>
    <w:rsid w:val="000D309B"/>
    <w:rsid w:val="000D40CF"/>
    <w:rsid w:val="000D4801"/>
    <w:rsid w:val="000D4E0C"/>
    <w:rsid w:val="000D4EBB"/>
    <w:rsid w:val="000D4F16"/>
    <w:rsid w:val="000D528B"/>
    <w:rsid w:val="000D581F"/>
    <w:rsid w:val="000D5CA9"/>
    <w:rsid w:val="000D6351"/>
    <w:rsid w:val="000E0396"/>
    <w:rsid w:val="000E05FD"/>
    <w:rsid w:val="000E0677"/>
    <w:rsid w:val="000E11E1"/>
    <w:rsid w:val="000E1587"/>
    <w:rsid w:val="000E1D2B"/>
    <w:rsid w:val="000E2D33"/>
    <w:rsid w:val="000E2E31"/>
    <w:rsid w:val="000E31A5"/>
    <w:rsid w:val="000E3812"/>
    <w:rsid w:val="000E45B9"/>
    <w:rsid w:val="000E51CD"/>
    <w:rsid w:val="000E567E"/>
    <w:rsid w:val="000E5733"/>
    <w:rsid w:val="000E588F"/>
    <w:rsid w:val="000E5C76"/>
    <w:rsid w:val="000E5E2D"/>
    <w:rsid w:val="000E6651"/>
    <w:rsid w:val="000E7826"/>
    <w:rsid w:val="000E7F32"/>
    <w:rsid w:val="000F0085"/>
    <w:rsid w:val="000F158F"/>
    <w:rsid w:val="000F1797"/>
    <w:rsid w:val="000F2D8A"/>
    <w:rsid w:val="000F2EE5"/>
    <w:rsid w:val="000F3837"/>
    <w:rsid w:val="000F38DA"/>
    <w:rsid w:val="000F497B"/>
    <w:rsid w:val="000F4BA7"/>
    <w:rsid w:val="000F4C1B"/>
    <w:rsid w:val="000F531B"/>
    <w:rsid w:val="000F5EFE"/>
    <w:rsid w:val="000F5F3B"/>
    <w:rsid w:val="000F5FA4"/>
    <w:rsid w:val="000F6206"/>
    <w:rsid w:val="000F6375"/>
    <w:rsid w:val="000F71B7"/>
    <w:rsid w:val="000F7A62"/>
    <w:rsid w:val="000F7B60"/>
    <w:rsid w:val="000F7D34"/>
    <w:rsid w:val="000F7D35"/>
    <w:rsid w:val="000F7DC1"/>
    <w:rsid w:val="00100185"/>
    <w:rsid w:val="0010074E"/>
    <w:rsid w:val="00100A4F"/>
    <w:rsid w:val="0010120D"/>
    <w:rsid w:val="00101360"/>
    <w:rsid w:val="0010154E"/>
    <w:rsid w:val="00101A04"/>
    <w:rsid w:val="0010227A"/>
    <w:rsid w:val="0010291E"/>
    <w:rsid w:val="0010371C"/>
    <w:rsid w:val="00103BBE"/>
    <w:rsid w:val="0010456D"/>
    <w:rsid w:val="00105310"/>
    <w:rsid w:val="00105A43"/>
    <w:rsid w:val="001061BE"/>
    <w:rsid w:val="0010682E"/>
    <w:rsid w:val="00106E65"/>
    <w:rsid w:val="00106F47"/>
    <w:rsid w:val="00107F8B"/>
    <w:rsid w:val="00110E2F"/>
    <w:rsid w:val="0011123D"/>
    <w:rsid w:val="001116B1"/>
    <w:rsid w:val="00111927"/>
    <w:rsid w:val="0011224A"/>
    <w:rsid w:val="001131C6"/>
    <w:rsid w:val="001135D8"/>
    <w:rsid w:val="0011367E"/>
    <w:rsid w:val="00113F50"/>
    <w:rsid w:val="0011419E"/>
    <w:rsid w:val="00115066"/>
    <w:rsid w:val="0011524C"/>
    <w:rsid w:val="001155CA"/>
    <w:rsid w:val="00115670"/>
    <w:rsid w:val="00116F73"/>
    <w:rsid w:val="00117743"/>
    <w:rsid w:val="00120F0F"/>
    <w:rsid w:val="00121CF2"/>
    <w:rsid w:val="00122BB4"/>
    <w:rsid w:val="00123224"/>
    <w:rsid w:val="001239D4"/>
    <w:rsid w:val="00123C89"/>
    <w:rsid w:val="00124377"/>
    <w:rsid w:val="00124606"/>
    <w:rsid w:val="00124A00"/>
    <w:rsid w:val="00124F7C"/>
    <w:rsid w:val="0012505F"/>
    <w:rsid w:val="0012594D"/>
    <w:rsid w:val="001264AE"/>
    <w:rsid w:val="001268BA"/>
    <w:rsid w:val="00126ABD"/>
    <w:rsid w:val="001275A1"/>
    <w:rsid w:val="00127ADE"/>
    <w:rsid w:val="00127AE9"/>
    <w:rsid w:val="00130111"/>
    <w:rsid w:val="0013073E"/>
    <w:rsid w:val="001310E8"/>
    <w:rsid w:val="00131BA9"/>
    <w:rsid w:val="00131DA2"/>
    <w:rsid w:val="00131E5F"/>
    <w:rsid w:val="0013229B"/>
    <w:rsid w:val="0013231A"/>
    <w:rsid w:val="0013259C"/>
    <w:rsid w:val="001325A0"/>
    <w:rsid w:val="001325C8"/>
    <w:rsid w:val="00132709"/>
    <w:rsid w:val="001327C5"/>
    <w:rsid w:val="00132CDF"/>
    <w:rsid w:val="00132F60"/>
    <w:rsid w:val="00133D65"/>
    <w:rsid w:val="0013408C"/>
    <w:rsid w:val="0013477B"/>
    <w:rsid w:val="001356CA"/>
    <w:rsid w:val="00136AE7"/>
    <w:rsid w:val="00136B13"/>
    <w:rsid w:val="00136BCC"/>
    <w:rsid w:val="00137827"/>
    <w:rsid w:val="00140D07"/>
    <w:rsid w:val="0014128F"/>
    <w:rsid w:val="001412C3"/>
    <w:rsid w:val="00141B93"/>
    <w:rsid w:val="00141D63"/>
    <w:rsid w:val="0014221C"/>
    <w:rsid w:val="00142319"/>
    <w:rsid w:val="0014406B"/>
    <w:rsid w:val="001444D7"/>
    <w:rsid w:val="001449A2"/>
    <w:rsid w:val="00144E5F"/>
    <w:rsid w:val="00145A61"/>
    <w:rsid w:val="00145E04"/>
    <w:rsid w:val="00146522"/>
    <w:rsid w:val="00146F2E"/>
    <w:rsid w:val="001477F9"/>
    <w:rsid w:val="00147DA2"/>
    <w:rsid w:val="00150344"/>
    <w:rsid w:val="00150384"/>
    <w:rsid w:val="00150464"/>
    <w:rsid w:val="001507AF"/>
    <w:rsid w:val="00150BCC"/>
    <w:rsid w:val="00150E3A"/>
    <w:rsid w:val="00150E44"/>
    <w:rsid w:val="00150EDE"/>
    <w:rsid w:val="00151038"/>
    <w:rsid w:val="00151E42"/>
    <w:rsid w:val="001520B6"/>
    <w:rsid w:val="00152497"/>
    <w:rsid w:val="001534F0"/>
    <w:rsid w:val="001539C5"/>
    <w:rsid w:val="00153B67"/>
    <w:rsid w:val="00153DCC"/>
    <w:rsid w:val="00154512"/>
    <w:rsid w:val="001553CA"/>
    <w:rsid w:val="00155496"/>
    <w:rsid w:val="001559DB"/>
    <w:rsid w:val="001559E0"/>
    <w:rsid w:val="00155F45"/>
    <w:rsid w:val="001566E4"/>
    <w:rsid w:val="00156B87"/>
    <w:rsid w:val="00156DC6"/>
    <w:rsid w:val="00156F46"/>
    <w:rsid w:val="00156FF5"/>
    <w:rsid w:val="001572DB"/>
    <w:rsid w:val="001579B7"/>
    <w:rsid w:val="0016055F"/>
    <w:rsid w:val="0016092D"/>
    <w:rsid w:val="00160E65"/>
    <w:rsid w:val="0016104F"/>
    <w:rsid w:val="00161317"/>
    <w:rsid w:val="00162598"/>
    <w:rsid w:val="00162D2E"/>
    <w:rsid w:val="00162D8E"/>
    <w:rsid w:val="0016360D"/>
    <w:rsid w:val="001639E1"/>
    <w:rsid w:val="0016412E"/>
    <w:rsid w:val="00164404"/>
    <w:rsid w:val="00164BC4"/>
    <w:rsid w:val="00165E5B"/>
    <w:rsid w:val="00166018"/>
    <w:rsid w:val="001662E8"/>
    <w:rsid w:val="00166801"/>
    <w:rsid w:val="001669A4"/>
    <w:rsid w:val="00166C3E"/>
    <w:rsid w:val="00167AE5"/>
    <w:rsid w:val="00167C09"/>
    <w:rsid w:val="00170735"/>
    <w:rsid w:val="00170B68"/>
    <w:rsid w:val="00171362"/>
    <w:rsid w:val="00171A30"/>
    <w:rsid w:val="00171B5A"/>
    <w:rsid w:val="0017201C"/>
    <w:rsid w:val="0017206B"/>
    <w:rsid w:val="00172465"/>
    <w:rsid w:val="001725D7"/>
    <w:rsid w:val="00172A3B"/>
    <w:rsid w:val="00172BB8"/>
    <w:rsid w:val="001731D4"/>
    <w:rsid w:val="00173831"/>
    <w:rsid w:val="00173DC8"/>
    <w:rsid w:val="00174A68"/>
    <w:rsid w:val="00174DCD"/>
    <w:rsid w:val="00174E76"/>
    <w:rsid w:val="0017552B"/>
    <w:rsid w:val="00175CAA"/>
    <w:rsid w:val="00175DDB"/>
    <w:rsid w:val="00176E2F"/>
    <w:rsid w:val="00177370"/>
    <w:rsid w:val="0017760A"/>
    <w:rsid w:val="001800CC"/>
    <w:rsid w:val="00180657"/>
    <w:rsid w:val="0018073F"/>
    <w:rsid w:val="00180B82"/>
    <w:rsid w:val="00180FC1"/>
    <w:rsid w:val="001817AB"/>
    <w:rsid w:val="001817C1"/>
    <w:rsid w:val="001822AA"/>
    <w:rsid w:val="001824B8"/>
    <w:rsid w:val="00182BF6"/>
    <w:rsid w:val="00182D9F"/>
    <w:rsid w:val="00182DE5"/>
    <w:rsid w:val="001843F9"/>
    <w:rsid w:val="00184A5C"/>
    <w:rsid w:val="00184E44"/>
    <w:rsid w:val="00185250"/>
    <w:rsid w:val="001852FB"/>
    <w:rsid w:val="001854DE"/>
    <w:rsid w:val="00185739"/>
    <w:rsid w:val="001857D1"/>
    <w:rsid w:val="00185844"/>
    <w:rsid w:val="0018610B"/>
    <w:rsid w:val="0018620E"/>
    <w:rsid w:val="0018658A"/>
    <w:rsid w:val="00186685"/>
    <w:rsid w:val="00186B25"/>
    <w:rsid w:val="00186BDD"/>
    <w:rsid w:val="001871EA"/>
    <w:rsid w:val="001914E9"/>
    <w:rsid w:val="001918F1"/>
    <w:rsid w:val="001919BB"/>
    <w:rsid w:val="00192094"/>
    <w:rsid w:val="00192745"/>
    <w:rsid w:val="00192FD0"/>
    <w:rsid w:val="001930B4"/>
    <w:rsid w:val="0019310C"/>
    <w:rsid w:val="00193127"/>
    <w:rsid w:val="001933DA"/>
    <w:rsid w:val="00193B5C"/>
    <w:rsid w:val="00193CB0"/>
    <w:rsid w:val="0019435D"/>
    <w:rsid w:val="00194C5D"/>
    <w:rsid w:val="00194F87"/>
    <w:rsid w:val="001955ED"/>
    <w:rsid w:val="00196203"/>
    <w:rsid w:val="00196274"/>
    <w:rsid w:val="0019672B"/>
    <w:rsid w:val="00196958"/>
    <w:rsid w:val="00196969"/>
    <w:rsid w:val="00196B9D"/>
    <w:rsid w:val="00196BE0"/>
    <w:rsid w:val="00197080"/>
    <w:rsid w:val="001A0097"/>
    <w:rsid w:val="001A0C1D"/>
    <w:rsid w:val="001A1136"/>
    <w:rsid w:val="001A11DD"/>
    <w:rsid w:val="001A131C"/>
    <w:rsid w:val="001A16C3"/>
    <w:rsid w:val="001A1957"/>
    <w:rsid w:val="001A19B0"/>
    <w:rsid w:val="001A2691"/>
    <w:rsid w:val="001A29B1"/>
    <w:rsid w:val="001A32DF"/>
    <w:rsid w:val="001A393A"/>
    <w:rsid w:val="001A39B7"/>
    <w:rsid w:val="001A41F3"/>
    <w:rsid w:val="001A428E"/>
    <w:rsid w:val="001A4902"/>
    <w:rsid w:val="001A4E11"/>
    <w:rsid w:val="001A51AE"/>
    <w:rsid w:val="001A57DA"/>
    <w:rsid w:val="001A5DB0"/>
    <w:rsid w:val="001A64BA"/>
    <w:rsid w:val="001A6866"/>
    <w:rsid w:val="001A6BE7"/>
    <w:rsid w:val="001A6C8E"/>
    <w:rsid w:val="001A6D0E"/>
    <w:rsid w:val="001A6EFB"/>
    <w:rsid w:val="001A7F7E"/>
    <w:rsid w:val="001B003D"/>
    <w:rsid w:val="001B0E26"/>
    <w:rsid w:val="001B10DF"/>
    <w:rsid w:val="001B1981"/>
    <w:rsid w:val="001B1D54"/>
    <w:rsid w:val="001B1FAB"/>
    <w:rsid w:val="001B256E"/>
    <w:rsid w:val="001B2BBD"/>
    <w:rsid w:val="001B2BC5"/>
    <w:rsid w:val="001B3B68"/>
    <w:rsid w:val="001B40C7"/>
    <w:rsid w:val="001B431E"/>
    <w:rsid w:val="001B4506"/>
    <w:rsid w:val="001B4532"/>
    <w:rsid w:val="001B4854"/>
    <w:rsid w:val="001B5589"/>
    <w:rsid w:val="001B583D"/>
    <w:rsid w:val="001B5CB7"/>
    <w:rsid w:val="001B62AE"/>
    <w:rsid w:val="001B632F"/>
    <w:rsid w:val="001B6381"/>
    <w:rsid w:val="001B67A5"/>
    <w:rsid w:val="001B698F"/>
    <w:rsid w:val="001B6DB4"/>
    <w:rsid w:val="001C00E8"/>
    <w:rsid w:val="001C0EB8"/>
    <w:rsid w:val="001C19FA"/>
    <w:rsid w:val="001C1C70"/>
    <w:rsid w:val="001C2345"/>
    <w:rsid w:val="001C25C8"/>
    <w:rsid w:val="001C280D"/>
    <w:rsid w:val="001C2B68"/>
    <w:rsid w:val="001C2BF9"/>
    <w:rsid w:val="001C2D4E"/>
    <w:rsid w:val="001C358F"/>
    <w:rsid w:val="001C4190"/>
    <w:rsid w:val="001C4D0C"/>
    <w:rsid w:val="001C4D7A"/>
    <w:rsid w:val="001C4F38"/>
    <w:rsid w:val="001C50CF"/>
    <w:rsid w:val="001C5F81"/>
    <w:rsid w:val="001C62D1"/>
    <w:rsid w:val="001C6773"/>
    <w:rsid w:val="001C7A45"/>
    <w:rsid w:val="001D00FD"/>
    <w:rsid w:val="001D04D6"/>
    <w:rsid w:val="001D0B6B"/>
    <w:rsid w:val="001D13FD"/>
    <w:rsid w:val="001D1933"/>
    <w:rsid w:val="001D1A92"/>
    <w:rsid w:val="001D28F0"/>
    <w:rsid w:val="001D2A35"/>
    <w:rsid w:val="001D2C5A"/>
    <w:rsid w:val="001D2F3C"/>
    <w:rsid w:val="001D4329"/>
    <w:rsid w:val="001D4DB8"/>
    <w:rsid w:val="001D4F51"/>
    <w:rsid w:val="001D54C8"/>
    <w:rsid w:val="001D57E6"/>
    <w:rsid w:val="001D5B66"/>
    <w:rsid w:val="001D6A9F"/>
    <w:rsid w:val="001D6C33"/>
    <w:rsid w:val="001D6EE4"/>
    <w:rsid w:val="001D7812"/>
    <w:rsid w:val="001E05D5"/>
    <w:rsid w:val="001E0A8F"/>
    <w:rsid w:val="001E0C64"/>
    <w:rsid w:val="001E0D64"/>
    <w:rsid w:val="001E164B"/>
    <w:rsid w:val="001E20BD"/>
    <w:rsid w:val="001E2175"/>
    <w:rsid w:val="001E38AF"/>
    <w:rsid w:val="001E3A7A"/>
    <w:rsid w:val="001E3C6A"/>
    <w:rsid w:val="001E3CC4"/>
    <w:rsid w:val="001E49A5"/>
    <w:rsid w:val="001E4C90"/>
    <w:rsid w:val="001E5126"/>
    <w:rsid w:val="001E5A85"/>
    <w:rsid w:val="001E6042"/>
    <w:rsid w:val="001E6CBA"/>
    <w:rsid w:val="001E703B"/>
    <w:rsid w:val="001E76B0"/>
    <w:rsid w:val="001E7CB4"/>
    <w:rsid w:val="001E7EFB"/>
    <w:rsid w:val="001F0AB8"/>
    <w:rsid w:val="001F1E3D"/>
    <w:rsid w:val="001F228C"/>
    <w:rsid w:val="001F23D8"/>
    <w:rsid w:val="001F2969"/>
    <w:rsid w:val="001F2F1C"/>
    <w:rsid w:val="001F3262"/>
    <w:rsid w:val="001F3815"/>
    <w:rsid w:val="001F3C0A"/>
    <w:rsid w:val="001F3F55"/>
    <w:rsid w:val="001F4AA4"/>
    <w:rsid w:val="001F4AD2"/>
    <w:rsid w:val="001F4C19"/>
    <w:rsid w:val="001F4FA1"/>
    <w:rsid w:val="001F516C"/>
    <w:rsid w:val="001F5172"/>
    <w:rsid w:val="001F518E"/>
    <w:rsid w:val="001F53D4"/>
    <w:rsid w:val="001F59B3"/>
    <w:rsid w:val="001F5D02"/>
    <w:rsid w:val="001F5E13"/>
    <w:rsid w:val="001F657B"/>
    <w:rsid w:val="001F66F7"/>
    <w:rsid w:val="001F6D0A"/>
    <w:rsid w:val="001F7006"/>
    <w:rsid w:val="001F7321"/>
    <w:rsid w:val="001F7A0A"/>
    <w:rsid w:val="001F7A99"/>
    <w:rsid w:val="002000CF"/>
    <w:rsid w:val="002000F6"/>
    <w:rsid w:val="0020082C"/>
    <w:rsid w:val="00200BB7"/>
    <w:rsid w:val="00200C58"/>
    <w:rsid w:val="00200E3C"/>
    <w:rsid w:val="00200EDA"/>
    <w:rsid w:val="00201092"/>
    <w:rsid w:val="002018EF"/>
    <w:rsid w:val="00201E37"/>
    <w:rsid w:val="002021E0"/>
    <w:rsid w:val="00202A20"/>
    <w:rsid w:val="00202F19"/>
    <w:rsid w:val="00203438"/>
    <w:rsid w:val="0020383A"/>
    <w:rsid w:val="00204288"/>
    <w:rsid w:val="0020429C"/>
    <w:rsid w:val="00204770"/>
    <w:rsid w:val="0020505F"/>
    <w:rsid w:val="00205894"/>
    <w:rsid w:val="002065D5"/>
    <w:rsid w:val="00206A5B"/>
    <w:rsid w:val="00206D1C"/>
    <w:rsid w:val="00207A04"/>
    <w:rsid w:val="00207E99"/>
    <w:rsid w:val="00210697"/>
    <w:rsid w:val="002107F6"/>
    <w:rsid w:val="00210AA9"/>
    <w:rsid w:val="00210BE5"/>
    <w:rsid w:val="00210CF8"/>
    <w:rsid w:val="002110FA"/>
    <w:rsid w:val="00211359"/>
    <w:rsid w:val="00211361"/>
    <w:rsid w:val="00211453"/>
    <w:rsid w:val="00211528"/>
    <w:rsid w:val="00211B8B"/>
    <w:rsid w:val="002129C0"/>
    <w:rsid w:val="00212A57"/>
    <w:rsid w:val="00212E3A"/>
    <w:rsid w:val="0021346B"/>
    <w:rsid w:val="002135EB"/>
    <w:rsid w:val="00214664"/>
    <w:rsid w:val="00214CB2"/>
    <w:rsid w:val="0021582B"/>
    <w:rsid w:val="00216717"/>
    <w:rsid w:val="0021676B"/>
    <w:rsid w:val="00216BB5"/>
    <w:rsid w:val="00217114"/>
    <w:rsid w:val="00217950"/>
    <w:rsid w:val="00217F94"/>
    <w:rsid w:val="00220694"/>
    <w:rsid w:val="002206D1"/>
    <w:rsid w:val="00220910"/>
    <w:rsid w:val="0022161C"/>
    <w:rsid w:val="00221D48"/>
    <w:rsid w:val="00222186"/>
    <w:rsid w:val="002229F4"/>
    <w:rsid w:val="0022317F"/>
    <w:rsid w:val="00223524"/>
    <w:rsid w:val="00224786"/>
    <w:rsid w:val="00224B98"/>
    <w:rsid w:val="00224FFF"/>
    <w:rsid w:val="0022555C"/>
    <w:rsid w:val="0022571A"/>
    <w:rsid w:val="0022586D"/>
    <w:rsid w:val="0022597C"/>
    <w:rsid w:val="00225F2B"/>
    <w:rsid w:val="002268B1"/>
    <w:rsid w:val="00227411"/>
    <w:rsid w:val="0022783C"/>
    <w:rsid w:val="002300A1"/>
    <w:rsid w:val="002312B7"/>
    <w:rsid w:val="0023183C"/>
    <w:rsid w:val="0023187F"/>
    <w:rsid w:val="00231D3A"/>
    <w:rsid w:val="00231E8A"/>
    <w:rsid w:val="00231F35"/>
    <w:rsid w:val="00232918"/>
    <w:rsid w:val="00233AB8"/>
    <w:rsid w:val="00233D90"/>
    <w:rsid w:val="00234A53"/>
    <w:rsid w:val="00234B34"/>
    <w:rsid w:val="00234FFF"/>
    <w:rsid w:val="00235057"/>
    <w:rsid w:val="002354D6"/>
    <w:rsid w:val="00235D95"/>
    <w:rsid w:val="002367E2"/>
    <w:rsid w:val="002367FA"/>
    <w:rsid w:val="00237325"/>
    <w:rsid w:val="00237BF6"/>
    <w:rsid w:val="002402E8"/>
    <w:rsid w:val="00240654"/>
    <w:rsid w:val="0024091B"/>
    <w:rsid w:val="00241022"/>
    <w:rsid w:val="00242026"/>
    <w:rsid w:val="0024229F"/>
    <w:rsid w:val="0024273A"/>
    <w:rsid w:val="00242968"/>
    <w:rsid w:val="00242C17"/>
    <w:rsid w:val="002431D7"/>
    <w:rsid w:val="00243CB9"/>
    <w:rsid w:val="002454AF"/>
    <w:rsid w:val="00245605"/>
    <w:rsid w:val="002459A1"/>
    <w:rsid w:val="002459C8"/>
    <w:rsid w:val="00245CFB"/>
    <w:rsid w:val="0024605E"/>
    <w:rsid w:val="002463D4"/>
    <w:rsid w:val="002466EC"/>
    <w:rsid w:val="0024670F"/>
    <w:rsid w:val="00246C72"/>
    <w:rsid w:val="00246C88"/>
    <w:rsid w:val="00246CE8"/>
    <w:rsid w:val="00246E5C"/>
    <w:rsid w:val="00246EA1"/>
    <w:rsid w:val="00247256"/>
    <w:rsid w:val="002473AD"/>
    <w:rsid w:val="00247A3D"/>
    <w:rsid w:val="00250B78"/>
    <w:rsid w:val="00251356"/>
    <w:rsid w:val="00251DC2"/>
    <w:rsid w:val="00251F46"/>
    <w:rsid w:val="00251F8E"/>
    <w:rsid w:val="0025253E"/>
    <w:rsid w:val="00252802"/>
    <w:rsid w:val="002531C0"/>
    <w:rsid w:val="002537AF"/>
    <w:rsid w:val="002538A3"/>
    <w:rsid w:val="00253C27"/>
    <w:rsid w:val="00254001"/>
    <w:rsid w:val="00254107"/>
    <w:rsid w:val="002546D8"/>
    <w:rsid w:val="00254942"/>
    <w:rsid w:val="00254E91"/>
    <w:rsid w:val="00254EC3"/>
    <w:rsid w:val="002554E1"/>
    <w:rsid w:val="002557A0"/>
    <w:rsid w:val="00255EFD"/>
    <w:rsid w:val="00257321"/>
    <w:rsid w:val="00257694"/>
    <w:rsid w:val="00257D79"/>
    <w:rsid w:val="00260093"/>
    <w:rsid w:val="002603A4"/>
    <w:rsid w:val="002603B8"/>
    <w:rsid w:val="002605EB"/>
    <w:rsid w:val="00260F06"/>
    <w:rsid w:val="00260F49"/>
    <w:rsid w:val="002616C5"/>
    <w:rsid w:val="00261C18"/>
    <w:rsid w:val="002625B3"/>
    <w:rsid w:val="002634D0"/>
    <w:rsid w:val="00263C4E"/>
    <w:rsid w:val="00263F2E"/>
    <w:rsid w:val="002641CD"/>
    <w:rsid w:val="0026457F"/>
    <w:rsid w:val="00264596"/>
    <w:rsid w:val="00264FB6"/>
    <w:rsid w:val="002660E6"/>
    <w:rsid w:val="002662EE"/>
    <w:rsid w:val="002667D7"/>
    <w:rsid w:val="00266EA7"/>
    <w:rsid w:val="00266FC8"/>
    <w:rsid w:val="00267348"/>
    <w:rsid w:val="00267BD8"/>
    <w:rsid w:val="00270120"/>
    <w:rsid w:val="002701C5"/>
    <w:rsid w:val="002701FA"/>
    <w:rsid w:val="002707F1"/>
    <w:rsid w:val="00271422"/>
    <w:rsid w:val="00271840"/>
    <w:rsid w:val="00271A48"/>
    <w:rsid w:val="00271F76"/>
    <w:rsid w:val="00272E08"/>
    <w:rsid w:val="00273724"/>
    <w:rsid w:val="00273A40"/>
    <w:rsid w:val="00273F12"/>
    <w:rsid w:val="00274A8B"/>
    <w:rsid w:val="00274AA3"/>
    <w:rsid w:val="00274E5C"/>
    <w:rsid w:val="002751DD"/>
    <w:rsid w:val="00275390"/>
    <w:rsid w:val="0027646C"/>
    <w:rsid w:val="0027681D"/>
    <w:rsid w:val="00277528"/>
    <w:rsid w:val="00277F22"/>
    <w:rsid w:val="002807A7"/>
    <w:rsid w:val="00280BED"/>
    <w:rsid w:val="00280DAD"/>
    <w:rsid w:val="00280DD8"/>
    <w:rsid w:val="00281B57"/>
    <w:rsid w:val="002821DD"/>
    <w:rsid w:val="00282AC2"/>
    <w:rsid w:val="0028327B"/>
    <w:rsid w:val="00283724"/>
    <w:rsid w:val="002841DF"/>
    <w:rsid w:val="002844B8"/>
    <w:rsid w:val="002848B1"/>
    <w:rsid w:val="00284A01"/>
    <w:rsid w:val="00284C21"/>
    <w:rsid w:val="00285104"/>
    <w:rsid w:val="0028526A"/>
    <w:rsid w:val="0028582F"/>
    <w:rsid w:val="00286E5F"/>
    <w:rsid w:val="002872C2"/>
    <w:rsid w:val="00287510"/>
    <w:rsid w:val="0028779A"/>
    <w:rsid w:val="00287952"/>
    <w:rsid w:val="00287C4E"/>
    <w:rsid w:val="00287C93"/>
    <w:rsid w:val="00290123"/>
    <w:rsid w:val="0029120B"/>
    <w:rsid w:val="00291480"/>
    <w:rsid w:val="002918F4"/>
    <w:rsid w:val="0029223A"/>
    <w:rsid w:val="002922B2"/>
    <w:rsid w:val="0029271B"/>
    <w:rsid w:val="00292C1F"/>
    <w:rsid w:val="00292DD5"/>
    <w:rsid w:val="0029333F"/>
    <w:rsid w:val="002933DC"/>
    <w:rsid w:val="0029395C"/>
    <w:rsid w:val="00293E87"/>
    <w:rsid w:val="002941F5"/>
    <w:rsid w:val="002943E8"/>
    <w:rsid w:val="0029484E"/>
    <w:rsid w:val="00296A79"/>
    <w:rsid w:val="002976CF"/>
    <w:rsid w:val="00297DE4"/>
    <w:rsid w:val="002A01C8"/>
    <w:rsid w:val="002A04C4"/>
    <w:rsid w:val="002A0D10"/>
    <w:rsid w:val="002A0EFF"/>
    <w:rsid w:val="002A1868"/>
    <w:rsid w:val="002A1CED"/>
    <w:rsid w:val="002A205B"/>
    <w:rsid w:val="002A21A7"/>
    <w:rsid w:val="002A34BF"/>
    <w:rsid w:val="002A3FF2"/>
    <w:rsid w:val="002A3FFA"/>
    <w:rsid w:val="002A45F9"/>
    <w:rsid w:val="002A46D2"/>
    <w:rsid w:val="002A486B"/>
    <w:rsid w:val="002A4C2B"/>
    <w:rsid w:val="002A5534"/>
    <w:rsid w:val="002A5790"/>
    <w:rsid w:val="002A585C"/>
    <w:rsid w:val="002A5B7A"/>
    <w:rsid w:val="002A6315"/>
    <w:rsid w:val="002A644E"/>
    <w:rsid w:val="002A68EF"/>
    <w:rsid w:val="002A6BB0"/>
    <w:rsid w:val="002A7061"/>
    <w:rsid w:val="002A7730"/>
    <w:rsid w:val="002A7EC5"/>
    <w:rsid w:val="002A7EF6"/>
    <w:rsid w:val="002A7F39"/>
    <w:rsid w:val="002B0DB0"/>
    <w:rsid w:val="002B0F51"/>
    <w:rsid w:val="002B164B"/>
    <w:rsid w:val="002B1DCF"/>
    <w:rsid w:val="002B260C"/>
    <w:rsid w:val="002B270C"/>
    <w:rsid w:val="002B33B1"/>
    <w:rsid w:val="002B355A"/>
    <w:rsid w:val="002B40B2"/>
    <w:rsid w:val="002B4649"/>
    <w:rsid w:val="002B4AEE"/>
    <w:rsid w:val="002B5858"/>
    <w:rsid w:val="002B6E6B"/>
    <w:rsid w:val="002B7344"/>
    <w:rsid w:val="002B7D53"/>
    <w:rsid w:val="002B7E7C"/>
    <w:rsid w:val="002C034C"/>
    <w:rsid w:val="002C04A4"/>
    <w:rsid w:val="002C057C"/>
    <w:rsid w:val="002C0BBD"/>
    <w:rsid w:val="002C0D73"/>
    <w:rsid w:val="002C236C"/>
    <w:rsid w:val="002C37DE"/>
    <w:rsid w:val="002C3AD5"/>
    <w:rsid w:val="002C3BEE"/>
    <w:rsid w:val="002C4769"/>
    <w:rsid w:val="002C4D14"/>
    <w:rsid w:val="002C5614"/>
    <w:rsid w:val="002C5869"/>
    <w:rsid w:val="002C5A29"/>
    <w:rsid w:val="002C5B4E"/>
    <w:rsid w:val="002C6D70"/>
    <w:rsid w:val="002C6DCA"/>
    <w:rsid w:val="002D064F"/>
    <w:rsid w:val="002D0712"/>
    <w:rsid w:val="002D0CDC"/>
    <w:rsid w:val="002D103C"/>
    <w:rsid w:val="002D255D"/>
    <w:rsid w:val="002D258B"/>
    <w:rsid w:val="002D2B8B"/>
    <w:rsid w:val="002D3281"/>
    <w:rsid w:val="002D3DF8"/>
    <w:rsid w:val="002D4338"/>
    <w:rsid w:val="002D4977"/>
    <w:rsid w:val="002D4B6D"/>
    <w:rsid w:val="002D4C00"/>
    <w:rsid w:val="002D513D"/>
    <w:rsid w:val="002D5182"/>
    <w:rsid w:val="002D5402"/>
    <w:rsid w:val="002D56FA"/>
    <w:rsid w:val="002D5C6C"/>
    <w:rsid w:val="002D620B"/>
    <w:rsid w:val="002D67DC"/>
    <w:rsid w:val="002D6F60"/>
    <w:rsid w:val="002D7476"/>
    <w:rsid w:val="002D79FD"/>
    <w:rsid w:val="002D7C39"/>
    <w:rsid w:val="002D7FDA"/>
    <w:rsid w:val="002E09C0"/>
    <w:rsid w:val="002E0C88"/>
    <w:rsid w:val="002E0ED3"/>
    <w:rsid w:val="002E1484"/>
    <w:rsid w:val="002E14C3"/>
    <w:rsid w:val="002E186B"/>
    <w:rsid w:val="002E1A1B"/>
    <w:rsid w:val="002E1EB0"/>
    <w:rsid w:val="002E1F5F"/>
    <w:rsid w:val="002E38DC"/>
    <w:rsid w:val="002E3950"/>
    <w:rsid w:val="002E455D"/>
    <w:rsid w:val="002E4576"/>
    <w:rsid w:val="002E4997"/>
    <w:rsid w:val="002E4A24"/>
    <w:rsid w:val="002E4D91"/>
    <w:rsid w:val="002E4F0C"/>
    <w:rsid w:val="002E5080"/>
    <w:rsid w:val="002E50F9"/>
    <w:rsid w:val="002E5B89"/>
    <w:rsid w:val="002E690B"/>
    <w:rsid w:val="002E7B89"/>
    <w:rsid w:val="002E7C5A"/>
    <w:rsid w:val="002E7F47"/>
    <w:rsid w:val="002F017F"/>
    <w:rsid w:val="002F19B9"/>
    <w:rsid w:val="002F1E16"/>
    <w:rsid w:val="002F243B"/>
    <w:rsid w:val="002F25C3"/>
    <w:rsid w:val="002F28FB"/>
    <w:rsid w:val="002F2DAD"/>
    <w:rsid w:val="002F3DBB"/>
    <w:rsid w:val="002F408A"/>
    <w:rsid w:val="002F4349"/>
    <w:rsid w:val="002F50EC"/>
    <w:rsid w:val="002F54C0"/>
    <w:rsid w:val="002F599E"/>
    <w:rsid w:val="002F5B33"/>
    <w:rsid w:val="002F6B2A"/>
    <w:rsid w:val="002F716E"/>
    <w:rsid w:val="002F739B"/>
    <w:rsid w:val="002F7725"/>
    <w:rsid w:val="00300687"/>
    <w:rsid w:val="00300C37"/>
    <w:rsid w:val="00300D7E"/>
    <w:rsid w:val="003013D5"/>
    <w:rsid w:val="003013F0"/>
    <w:rsid w:val="00301BB2"/>
    <w:rsid w:val="00302427"/>
    <w:rsid w:val="003029D1"/>
    <w:rsid w:val="00303271"/>
    <w:rsid w:val="00303407"/>
    <w:rsid w:val="003034EF"/>
    <w:rsid w:val="00303A9E"/>
    <w:rsid w:val="0030453B"/>
    <w:rsid w:val="0030481C"/>
    <w:rsid w:val="00304D89"/>
    <w:rsid w:val="00304EA5"/>
    <w:rsid w:val="00304F52"/>
    <w:rsid w:val="0030565D"/>
    <w:rsid w:val="00305B74"/>
    <w:rsid w:val="003064EC"/>
    <w:rsid w:val="00306628"/>
    <w:rsid w:val="003067AA"/>
    <w:rsid w:val="00306856"/>
    <w:rsid w:val="00306E82"/>
    <w:rsid w:val="00306F74"/>
    <w:rsid w:val="0030732A"/>
    <w:rsid w:val="003073C0"/>
    <w:rsid w:val="0030756C"/>
    <w:rsid w:val="00307AE8"/>
    <w:rsid w:val="00307E1D"/>
    <w:rsid w:val="00310108"/>
    <w:rsid w:val="00310136"/>
    <w:rsid w:val="00310BD3"/>
    <w:rsid w:val="003121E4"/>
    <w:rsid w:val="003124C8"/>
    <w:rsid w:val="00313D80"/>
    <w:rsid w:val="00315416"/>
    <w:rsid w:val="0031595B"/>
    <w:rsid w:val="00315DD7"/>
    <w:rsid w:val="003161D3"/>
    <w:rsid w:val="0031623C"/>
    <w:rsid w:val="003162BE"/>
    <w:rsid w:val="003162C3"/>
    <w:rsid w:val="00316B17"/>
    <w:rsid w:val="00317823"/>
    <w:rsid w:val="003178EA"/>
    <w:rsid w:val="00317DF8"/>
    <w:rsid w:val="00317E7D"/>
    <w:rsid w:val="0032008E"/>
    <w:rsid w:val="00320208"/>
    <w:rsid w:val="003213BE"/>
    <w:rsid w:val="00321B48"/>
    <w:rsid w:val="00321C1F"/>
    <w:rsid w:val="00322A40"/>
    <w:rsid w:val="00323BEB"/>
    <w:rsid w:val="00324165"/>
    <w:rsid w:val="00324397"/>
    <w:rsid w:val="00324530"/>
    <w:rsid w:val="00325305"/>
    <w:rsid w:val="00325993"/>
    <w:rsid w:val="00326574"/>
    <w:rsid w:val="003268EA"/>
    <w:rsid w:val="00326A8B"/>
    <w:rsid w:val="00327735"/>
    <w:rsid w:val="00330090"/>
    <w:rsid w:val="003300BC"/>
    <w:rsid w:val="00330568"/>
    <w:rsid w:val="003305EC"/>
    <w:rsid w:val="003314A1"/>
    <w:rsid w:val="003318D0"/>
    <w:rsid w:val="00331B9F"/>
    <w:rsid w:val="00331DD7"/>
    <w:rsid w:val="00332C49"/>
    <w:rsid w:val="00332E9F"/>
    <w:rsid w:val="00334849"/>
    <w:rsid w:val="003349D2"/>
    <w:rsid w:val="003349E9"/>
    <w:rsid w:val="00334EB6"/>
    <w:rsid w:val="00335BD8"/>
    <w:rsid w:val="0033629E"/>
    <w:rsid w:val="003372B2"/>
    <w:rsid w:val="00337587"/>
    <w:rsid w:val="00340B51"/>
    <w:rsid w:val="00340F53"/>
    <w:rsid w:val="00340F86"/>
    <w:rsid w:val="00341442"/>
    <w:rsid w:val="00341AAC"/>
    <w:rsid w:val="00341B78"/>
    <w:rsid w:val="00342136"/>
    <w:rsid w:val="00342CCF"/>
    <w:rsid w:val="00344201"/>
    <w:rsid w:val="00344F7F"/>
    <w:rsid w:val="00345927"/>
    <w:rsid w:val="00345D07"/>
    <w:rsid w:val="00346CF8"/>
    <w:rsid w:val="003474EB"/>
    <w:rsid w:val="003478EE"/>
    <w:rsid w:val="00347B89"/>
    <w:rsid w:val="00347C4E"/>
    <w:rsid w:val="00347CFD"/>
    <w:rsid w:val="00347EE4"/>
    <w:rsid w:val="00347F68"/>
    <w:rsid w:val="003504E3"/>
    <w:rsid w:val="0035096E"/>
    <w:rsid w:val="00352A48"/>
    <w:rsid w:val="00353969"/>
    <w:rsid w:val="00353E17"/>
    <w:rsid w:val="003542DA"/>
    <w:rsid w:val="00354326"/>
    <w:rsid w:val="00354679"/>
    <w:rsid w:val="00354837"/>
    <w:rsid w:val="00354A8D"/>
    <w:rsid w:val="00355237"/>
    <w:rsid w:val="00355CC5"/>
    <w:rsid w:val="0035696A"/>
    <w:rsid w:val="00356BD0"/>
    <w:rsid w:val="00356D29"/>
    <w:rsid w:val="00356E29"/>
    <w:rsid w:val="0035729C"/>
    <w:rsid w:val="00360724"/>
    <w:rsid w:val="00360ED7"/>
    <w:rsid w:val="00360FD3"/>
    <w:rsid w:val="003610CD"/>
    <w:rsid w:val="00361362"/>
    <w:rsid w:val="0036147B"/>
    <w:rsid w:val="003618E0"/>
    <w:rsid w:val="00361DD9"/>
    <w:rsid w:val="00363845"/>
    <w:rsid w:val="00363FA2"/>
    <w:rsid w:val="00364E0A"/>
    <w:rsid w:val="003653C4"/>
    <w:rsid w:val="0036624F"/>
    <w:rsid w:val="00366C96"/>
    <w:rsid w:val="00367883"/>
    <w:rsid w:val="00367930"/>
    <w:rsid w:val="003703BF"/>
    <w:rsid w:val="00370747"/>
    <w:rsid w:val="00371547"/>
    <w:rsid w:val="0037161A"/>
    <w:rsid w:val="003717A3"/>
    <w:rsid w:val="003727D6"/>
    <w:rsid w:val="00372BBA"/>
    <w:rsid w:val="00372DFD"/>
    <w:rsid w:val="003736A3"/>
    <w:rsid w:val="0037489E"/>
    <w:rsid w:val="00374E03"/>
    <w:rsid w:val="00375CDD"/>
    <w:rsid w:val="00375EDC"/>
    <w:rsid w:val="0037620A"/>
    <w:rsid w:val="0038066C"/>
    <w:rsid w:val="003812E9"/>
    <w:rsid w:val="003813AC"/>
    <w:rsid w:val="00381860"/>
    <w:rsid w:val="00381D25"/>
    <w:rsid w:val="00382170"/>
    <w:rsid w:val="00382CFA"/>
    <w:rsid w:val="00383736"/>
    <w:rsid w:val="003839A7"/>
    <w:rsid w:val="00384604"/>
    <w:rsid w:val="0038543D"/>
    <w:rsid w:val="00385567"/>
    <w:rsid w:val="00387320"/>
    <w:rsid w:val="0038755B"/>
    <w:rsid w:val="003878F9"/>
    <w:rsid w:val="0039014E"/>
    <w:rsid w:val="00391806"/>
    <w:rsid w:val="0039199E"/>
    <w:rsid w:val="003919AA"/>
    <w:rsid w:val="00391FDC"/>
    <w:rsid w:val="0039233E"/>
    <w:rsid w:val="003925F1"/>
    <w:rsid w:val="00392618"/>
    <w:rsid w:val="00392E68"/>
    <w:rsid w:val="00393850"/>
    <w:rsid w:val="003939EE"/>
    <w:rsid w:val="00393A6A"/>
    <w:rsid w:val="00393F35"/>
    <w:rsid w:val="00394724"/>
    <w:rsid w:val="003948D4"/>
    <w:rsid w:val="00395217"/>
    <w:rsid w:val="003957A9"/>
    <w:rsid w:val="00395DDC"/>
    <w:rsid w:val="0039690D"/>
    <w:rsid w:val="003971ED"/>
    <w:rsid w:val="00397590"/>
    <w:rsid w:val="003977D6"/>
    <w:rsid w:val="00397ACA"/>
    <w:rsid w:val="003A009B"/>
    <w:rsid w:val="003A093F"/>
    <w:rsid w:val="003A0C8E"/>
    <w:rsid w:val="003A0CDE"/>
    <w:rsid w:val="003A0EE6"/>
    <w:rsid w:val="003A144B"/>
    <w:rsid w:val="003A21B4"/>
    <w:rsid w:val="003A2277"/>
    <w:rsid w:val="003A3150"/>
    <w:rsid w:val="003A36C5"/>
    <w:rsid w:val="003A3884"/>
    <w:rsid w:val="003A3E65"/>
    <w:rsid w:val="003A43E0"/>
    <w:rsid w:val="003A45EC"/>
    <w:rsid w:val="003A4793"/>
    <w:rsid w:val="003A5657"/>
    <w:rsid w:val="003A569F"/>
    <w:rsid w:val="003A5881"/>
    <w:rsid w:val="003A5EE0"/>
    <w:rsid w:val="003A6304"/>
    <w:rsid w:val="003A6838"/>
    <w:rsid w:val="003A6A24"/>
    <w:rsid w:val="003A6BAF"/>
    <w:rsid w:val="003A7132"/>
    <w:rsid w:val="003A7545"/>
    <w:rsid w:val="003A7814"/>
    <w:rsid w:val="003A7C91"/>
    <w:rsid w:val="003B04A1"/>
    <w:rsid w:val="003B0961"/>
    <w:rsid w:val="003B0EDD"/>
    <w:rsid w:val="003B1814"/>
    <w:rsid w:val="003B1B1D"/>
    <w:rsid w:val="003B1BFC"/>
    <w:rsid w:val="003B1E93"/>
    <w:rsid w:val="003B26B2"/>
    <w:rsid w:val="003B336A"/>
    <w:rsid w:val="003B4522"/>
    <w:rsid w:val="003B47C0"/>
    <w:rsid w:val="003B4C20"/>
    <w:rsid w:val="003B5356"/>
    <w:rsid w:val="003B5815"/>
    <w:rsid w:val="003B5876"/>
    <w:rsid w:val="003B59E3"/>
    <w:rsid w:val="003B5F0E"/>
    <w:rsid w:val="003B60C5"/>
    <w:rsid w:val="003B6134"/>
    <w:rsid w:val="003B66DE"/>
    <w:rsid w:val="003B6CC7"/>
    <w:rsid w:val="003B6CE5"/>
    <w:rsid w:val="003B6E4C"/>
    <w:rsid w:val="003B6E98"/>
    <w:rsid w:val="003B6F47"/>
    <w:rsid w:val="003B722D"/>
    <w:rsid w:val="003B7441"/>
    <w:rsid w:val="003B7DCE"/>
    <w:rsid w:val="003C07C4"/>
    <w:rsid w:val="003C0C9E"/>
    <w:rsid w:val="003C0D2A"/>
    <w:rsid w:val="003C0D50"/>
    <w:rsid w:val="003C0EE1"/>
    <w:rsid w:val="003C13F7"/>
    <w:rsid w:val="003C15BE"/>
    <w:rsid w:val="003C1726"/>
    <w:rsid w:val="003C1F25"/>
    <w:rsid w:val="003C2531"/>
    <w:rsid w:val="003C2558"/>
    <w:rsid w:val="003C2BCC"/>
    <w:rsid w:val="003C30F3"/>
    <w:rsid w:val="003C332A"/>
    <w:rsid w:val="003C37A0"/>
    <w:rsid w:val="003C44B1"/>
    <w:rsid w:val="003C44DE"/>
    <w:rsid w:val="003C46B8"/>
    <w:rsid w:val="003C4801"/>
    <w:rsid w:val="003C4E13"/>
    <w:rsid w:val="003C53A3"/>
    <w:rsid w:val="003C588F"/>
    <w:rsid w:val="003C66AB"/>
    <w:rsid w:val="003C6AD3"/>
    <w:rsid w:val="003C6CBF"/>
    <w:rsid w:val="003C742E"/>
    <w:rsid w:val="003C7AFC"/>
    <w:rsid w:val="003C7B23"/>
    <w:rsid w:val="003D006C"/>
    <w:rsid w:val="003D08D6"/>
    <w:rsid w:val="003D0ED0"/>
    <w:rsid w:val="003D142A"/>
    <w:rsid w:val="003D1976"/>
    <w:rsid w:val="003D1D2E"/>
    <w:rsid w:val="003D20EB"/>
    <w:rsid w:val="003D2290"/>
    <w:rsid w:val="003D2454"/>
    <w:rsid w:val="003D2568"/>
    <w:rsid w:val="003D2C15"/>
    <w:rsid w:val="003D2C26"/>
    <w:rsid w:val="003D2CEE"/>
    <w:rsid w:val="003D3A56"/>
    <w:rsid w:val="003D4DD7"/>
    <w:rsid w:val="003D5545"/>
    <w:rsid w:val="003D56DC"/>
    <w:rsid w:val="003D5AAF"/>
    <w:rsid w:val="003D5C35"/>
    <w:rsid w:val="003D5D72"/>
    <w:rsid w:val="003D5E75"/>
    <w:rsid w:val="003D615B"/>
    <w:rsid w:val="003D6549"/>
    <w:rsid w:val="003D6A98"/>
    <w:rsid w:val="003D6BAA"/>
    <w:rsid w:val="003D6ECD"/>
    <w:rsid w:val="003D78F0"/>
    <w:rsid w:val="003E0CC5"/>
    <w:rsid w:val="003E1CE4"/>
    <w:rsid w:val="003E1D6E"/>
    <w:rsid w:val="003E22A1"/>
    <w:rsid w:val="003E2411"/>
    <w:rsid w:val="003E2495"/>
    <w:rsid w:val="003E2EF1"/>
    <w:rsid w:val="003E3F2E"/>
    <w:rsid w:val="003E4D5C"/>
    <w:rsid w:val="003E501B"/>
    <w:rsid w:val="003E57D0"/>
    <w:rsid w:val="003E5EE9"/>
    <w:rsid w:val="003E60EB"/>
    <w:rsid w:val="003E6B05"/>
    <w:rsid w:val="003E730B"/>
    <w:rsid w:val="003E7334"/>
    <w:rsid w:val="003E7457"/>
    <w:rsid w:val="003E74B1"/>
    <w:rsid w:val="003E7B58"/>
    <w:rsid w:val="003E7D95"/>
    <w:rsid w:val="003E7DCA"/>
    <w:rsid w:val="003F15FA"/>
    <w:rsid w:val="003F1882"/>
    <w:rsid w:val="003F20F2"/>
    <w:rsid w:val="003F2312"/>
    <w:rsid w:val="003F36F8"/>
    <w:rsid w:val="003F3B04"/>
    <w:rsid w:val="003F442C"/>
    <w:rsid w:val="003F4B44"/>
    <w:rsid w:val="003F4B4C"/>
    <w:rsid w:val="003F4B82"/>
    <w:rsid w:val="003F4BC6"/>
    <w:rsid w:val="003F4C2A"/>
    <w:rsid w:val="003F5920"/>
    <w:rsid w:val="003F5B2C"/>
    <w:rsid w:val="003F5BF1"/>
    <w:rsid w:val="003F60CE"/>
    <w:rsid w:val="003F6571"/>
    <w:rsid w:val="003F6658"/>
    <w:rsid w:val="003F6716"/>
    <w:rsid w:val="003F6A56"/>
    <w:rsid w:val="003F7E28"/>
    <w:rsid w:val="004003F3"/>
    <w:rsid w:val="00400570"/>
    <w:rsid w:val="00401BB8"/>
    <w:rsid w:val="00401EFE"/>
    <w:rsid w:val="00402518"/>
    <w:rsid w:val="004029CC"/>
    <w:rsid w:val="00402AB8"/>
    <w:rsid w:val="00402EA7"/>
    <w:rsid w:val="004033C0"/>
    <w:rsid w:val="0040389D"/>
    <w:rsid w:val="00403A86"/>
    <w:rsid w:val="00404724"/>
    <w:rsid w:val="00405237"/>
    <w:rsid w:val="00405640"/>
    <w:rsid w:val="00405B51"/>
    <w:rsid w:val="00405D1C"/>
    <w:rsid w:val="00405D51"/>
    <w:rsid w:val="00405F53"/>
    <w:rsid w:val="0040603E"/>
    <w:rsid w:val="0040630B"/>
    <w:rsid w:val="004064CB"/>
    <w:rsid w:val="0041024D"/>
    <w:rsid w:val="00410B62"/>
    <w:rsid w:val="00410F13"/>
    <w:rsid w:val="004114A0"/>
    <w:rsid w:val="004114F3"/>
    <w:rsid w:val="00411C4C"/>
    <w:rsid w:val="004122D6"/>
    <w:rsid w:val="0041271D"/>
    <w:rsid w:val="00412C51"/>
    <w:rsid w:val="00413846"/>
    <w:rsid w:val="00413F33"/>
    <w:rsid w:val="004140B6"/>
    <w:rsid w:val="00414471"/>
    <w:rsid w:val="00415018"/>
    <w:rsid w:val="00416A48"/>
    <w:rsid w:val="004173E7"/>
    <w:rsid w:val="0041786F"/>
    <w:rsid w:val="00420415"/>
    <w:rsid w:val="00420DAC"/>
    <w:rsid w:val="004213F1"/>
    <w:rsid w:val="0042183D"/>
    <w:rsid w:val="004218CC"/>
    <w:rsid w:val="004220B3"/>
    <w:rsid w:val="004221AB"/>
    <w:rsid w:val="00422F51"/>
    <w:rsid w:val="004231BA"/>
    <w:rsid w:val="00423569"/>
    <w:rsid w:val="0042395A"/>
    <w:rsid w:val="00424EEB"/>
    <w:rsid w:val="00424F6F"/>
    <w:rsid w:val="0042622F"/>
    <w:rsid w:val="004262B7"/>
    <w:rsid w:val="00426390"/>
    <w:rsid w:val="00426787"/>
    <w:rsid w:val="00427379"/>
    <w:rsid w:val="004275B3"/>
    <w:rsid w:val="00427AF4"/>
    <w:rsid w:val="00427CB1"/>
    <w:rsid w:val="0043002B"/>
    <w:rsid w:val="00430877"/>
    <w:rsid w:val="00430FEC"/>
    <w:rsid w:val="00432132"/>
    <w:rsid w:val="00432B43"/>
    <w:rsid w:val="0043344D"/>
    <w:rsid w:val="004339DE"/>
    <w:rsid w:val="00434375"/>
    <w:rsid w:val="00434421"/>
    <w:rsid w:val="0043482B"/>
    <w:rsid w:val="00434E3C"/>
    <w:rsid w:val="004355EE"/>
    <w:rsid w:val="004356E8"/>
    <w:rsid w:val="00435C4E"/>
    <w:rsid w:val="00436115"/>
    <w:rsid w:val="0043629A"/>
    <w:rsid w:val="004363CC"/>
    <w:rsid w:val="004363FF"/>
    <w:rsid w:val="0043672A"/>
    <w:rsid w:val="00436AB2"/>
    <w:rsid w:val="004370F9"/>
    <w:rsid w:val="00437468"/>
    <w:rsid w:val="00437E27"/>
    <w:rsid w:val="00440C72"/>
    <w:rsid w:val="00440EF0"/>
    <w:rsid w:val="00441AD7"/>
    <w:rsid w:val="00441CE4"/>
    <w:rsid w:val="00441DBC"/>
    <w:rsid w:val="00441EFC"/>
    <w:rsid w:val="00442A97"/>
    <w:rsid w:val="00443805"/>
    <w:rsid w:val="004438F9"/>
    <w:rsid w:val="0044482D"/>
    <w:rsid w:val="0044511F"/>
    <w:rsid w:val="004453A6"/>
    <w:rsid w:val="00445602"/>
    <w:rsid w:val="00445AC3"/>
    <w:rsid w:val="00445BAB"/>
    <w:rsid w:val="00445E65"/>
    <w:rsid w:val="00445FE8"/>
    <w:rsid w:val="004467E8"/>
    <w:rsid w:val="00446FA7"/>
    <w:rsid w:val="00446FD5"/>
    <w:rsid w:val="0044713D"/>
    <w:rsid w:val="0044760C"/>
    <w:rsid w:val="00447E17"/>
    <w:rsid w:val="00450559"/>
    <w:rsid w:val="00450651"/>
    <w:rsid w:val="00450A8C"/>
    <w:rsid w:val="004514B6"/>
    <w:rsid w:val="00451C86"/>
    <w:rsid w:val="004527A2"/>
    <w:rsid w:val="00452B8E"/>
    <w:rsid w:val="00452D84"/>
    <w:rsid w:val="00452FA4"/>
    <w:rsid w:val="004537BF"/>
    <w:rsid w:val="00454112"/>
    <w:rsid w:val="00454F38"/>
    <w:rsid w:val="00454F76"/>
    <w:rsid w:val="00455CEA"/>
    <w:rsid w:val="00455E6D"/>
    <w:rsid w:val="00456AD6"/>
    <w:rsid w:val="00456F38"/>
    <w:rsid w:val="004571C2"/>
    <w:rsid w:val="004574C8"/>
    <w:rsid w:val="0045799D"/>
    <w:rsid w:val="00457C54"/>
    <w:rsid w:val="00460DAF"/>
    <w:rsid w:val="004612ED"/>
    <w:rsid w:val="00461F24"/>
    <w:rsid w:val="0046202F"/>
    <w:rsid w:val="004627CF"/>
    <w:rsid w:val="00463403"/>
    <w:rsid w:val="0046457E"/>
    <w:rsid w:val="00464986"/>
    <w:rsid w:val="00464FEA"/>
    <w:rsid w:val="00465914"/>
    <w:rsid w:val="00465AA4"/>
    <w:rsid w:val="00465CA4"/>
    <w:rsid w:val="00466009"/>
    <w:rsid w:val="0046679F"/>
    <w:rsid w:val="004668CC"/>
    <w:rsid w:val="00467624"/>
    <w:rsid w:val="0046766F"/>
    <w:rsid w:val="0047036D"/>
    <w:rsid w:val="00470A0B"/>
    <w:rsid w:val="00470FEB"/>
    <w:rsid w:val="00471113"/>
    <w:rsid w:val="0047176D"/>
    <w:rsid w:val="00471868"/>
    <w:rsid w:val="00472134"/>
    <w:rsid w:val="0047226E"/>
    <w:rsid w:val="0047229C"/>
    <w:rsid w:val="004722EF"/>
    <w:rsid w:val="00473371"/>
    <w:rsid w:val="00473522"/>
    <w:rsid w:val="004738B2"/>
    <w:rsid w:val="004740D1"/>
    <w:rsid w:val="00474AB7"/>
    <w:rsid w:val="004751DA"/>
    <w:rsid w:val="00475808"/>
    <w:rsid w:val="004758EA"/>
    <w:rsid w:val="0047598C"/>
    <w:rsid w:val="00475A27"/>
    <w:rsid w:val="00476083"/>
    <w:rsid w:val="004763E0"/>
    <w:rsid w:val="004767A8"/>
    <w:rsid w:val="00476D60"/>
    <w:rsid w:val="00476DE7"/>
    <w:rsid w:val="00480147"/>
    <w:rsid w:val="00480675"/>
    <w:rsid w:val="004809D2"/>
    <w:rsid w:val="00480C23"/>
    <w:rsid w:val="004811BA"/>
    <w:rsid w:val="00481C63"/>
    <w:rsid w:val="004821DE"/>
    <w:rsid w:val="00482892"/>
    <w:rsid w:val="0048352B"/>
    <w:rsid w:val="00483CD0"/>
    <w:rsid w:val="00484D1C"/>
    <w:rsid w:val="00484F74"/>
    <w:rsid w:val="00485F09"/>
    <w:rsid w:val="00486213"/>
    <w:rsid w:val="004864BE"/>
    <w:rsid w:val="00486609"/>
    <w:rsid w:val="00486927"/>
    <w:rsid w:val="00486AB9"/>
    <w:rsid w:val="004873D4"/>
    <w:rsid w:val="00487852"/>
    <w:rsid w:val="00487D71"/>
    <w:rsid w:val="00487FF3"/>
    <w:rsid w:val="00490012"/>
    <w:rsid w:val="00490807"/>
    <w:rsid w:val="00490D50"/>
    <w:rsid w:val="00490ED7"/>
    <w:rsid w:val="00491132"/>
    <w:rsid w:val="004912D9"/>
    <w:rsid w:val="00491961"/>
    <w:rsid w:val="00491B17"/>
    <w:rsid w:val="00492243"/>
    <w:rsid w:val="004930EC"/>
    <w:rsid w:val="004939AD"/>
    <w:rsid w:val="00493C44"/>
    <w:rsid w:val="0049421B"/>
    <w:rsid w:val="00494358"/>
    <w:rsid w:val="004948E7"/>
    <w:rsid w:val="00495CFA"/>
    <w:rsid w:val="0049628B"/>
    <w:rsid w:val="004967A1"/>
    <w:rsid w:val="004971CA"/>
    <w:rsid w:val="0049730E"/>
    <w:rsid w:val="00497473"/>
    <w:rsid w:val="0049758E"/>
    <w:rsid w:val="00497D28"/>
    <w:rsid w:val="004A058D"/>
    <w:rsid w:val="004A09B7"/>
    <w:rsid w:val="004A0AAC"/>
    <w:rsid w:val="004A0CE6"/>
    <w:rsid w:val="004A196C"/>
    <w:rsid w:val="004A1C19"/>
    <w:rsid w:val="004A29DC"/>
    <w:rsid w:val="004A2B92"/>
    <w:rsid w:val="004A2CC6"/>
    <w:rsid w:val="004A30F3"/>
    <w:rsid w:val="004A32CF"/>
    <w:rsid w:val="004A3590"/>
    <w:rsid w:val="004A392D"/>
    <w:rsid w:val="004A399E"/>
    <w:rsid w:val="004A4081"/>
    <w:rsid w:val="004A4168"/>
    <w:rsid w:val="004A4B6B"/>
    <w:rsid w:val="004A512F"/>
    <w:rsid w:val="004A5753"/>
    <w:rsid w:val="004A5964"/>
    <w:rsid w:val="004A5F38"/>
    <w:rsid w:val="004A5FA7"/>
    <w:rsid w:val="004A614B"/>
    <w:rsid w:val="004A78F8"/>
    <w:rsid w:val="004A7D40"/>
    <w:rsid w:val="004B0108"/>
    <w:rsid w:val="004B0C98"/>
    <w:rsid w:val="004B0DE6"/>
    <w:rsid w:val="004B0E8C"/>
    <w:rsid w:val="004B1124"/>
    <w:rsid w:val="004B1E8C"/>
    <w:rsid w:val="004B1FAD"/>
    <w:rsid w:val="004B2788"/>
    <w:rsid w:val="004B2FA0"/>
    <w:rsid w:val="004B335B"/>
    <w:rsid w:val="004B3571"/>
    <w:rsid w:val="004B37AC"/>
    <w:rsid w:val="004B40FD"/>
    <w:rsid w:val="004B427C"/>
    <w:rsid w:val="004B463C"/>
    <w:rsid w:val="004B472A"/>
    <w:rsid w:val="004B5044"/>
    <w:rsid w:val="004B5D66"/>
    <w:rsid w:val="004B5E0A"/>
    <w:rsid w:val="004B62E1"/>
    <w:rsid w:val="004B68AE"/>
    <w:rsid w:val="004B695B"/>
    <w:rsid w:val="004B6F1D"/>
    <w:rsid w:val="004B734D"/>
    <w:rsid w:val="004B79B8"/>
    <w:rsid w:val="004B7C95"/>
    <w:rsid w:val="004B7ED7"/>
    <w:rsid w:val="004C0CF8"/>
    <w:rsid w:val="004C12CC"/>
    <w:rsid w:val="004C1393"/>
    <w:rsid w:val="004C1EE7"/>
    <w:rsid w:val="004C1F81"/>
    <w:rsid w:val="004C22EE"/>
    <w:rsid w:val="004C265A"/>
    <w:rsid w:val="004C269B"/>
    <w:rsid w:val="004C26CF"/>
    <w:rsid w:val="004C281E"/>
    <w:rsid w:val="004C2DDC"/>
    <w:rsid w:val="004C30CD"/>
    <w:rsid w:val="004C319B"/>
    <w:rsid w:val="004C32FF"/>
    <w:rsid w:val="004C3723"/>
    <w:rsid w:val="004C37DF"/>
    <w:rsid w:val="004C3861"/>
    <w:rsid w:val="004C3C17"/>
    <w:rsid w:val="004C3F94"/>
    <w:rsid w:val="004C53EF"/>
    <w:rsid w:val="004C5918"/>
    <w:rsid w:val="004C5B80"/>
    <w:rsid w:val="004C5BE3"/>
    <w:rsid w:val="004C5D1C"/>
    <w:rsid w:val="004C5DF4"/>
    <w:rsid w:val="004C646A"/>
    <w:rsid w:val="004C6DFD"/>
    <w:rsid w:val="004C7095"/>
    <w:rsid w:val="004C70BE"/>
    <w:rsid w:val="004C72B5"/>
    <w:rsid w:val="004C7625"/>
    <w:rsid w:val="004C77CB"/>
    <w:rsid w:val="004C7A3E"/>
    <w:rsid w:val="004D013D"/>
    <w:rsid w:val="004D041E"/>
    <w:rsid w:val="004D0BB8"/>
    <w:rsid w:val="004D0C48"/>
    <w:rsid w:val="004D0CDE"/>
    <w:rsid w:val="004D0D8F"/>
    <w:rsid w:val="004D2499"/>
    <w:rsid w:val="004D2527"/>
    <w:rsid w:val="004D280D"/>
    <w:rsid w:val="004D2C9A"/>
    <w:rsid w:val="004D2CB8"/>
    <w:rsid w:val="004D2D3D"/>
    <w:rsid w:val="004D30E7"/>
    <w:rsid w:val="004D31B3"/>
    <w:rsid w:val="004D40E9"/>
    <w:rsid w:val="004D4464"/>
    <w:rsid w:val="004D4A65"/>
    <w:rsid w:val="004D50C7"/>
    <w:rsid w:val="004D5177"/>
    <w:rsid w:val="004D5500"/>
    <w:rsid w:val="004D57B7"/>
    <w:rsid w:val="004D5959"/>
    <w:rsid w:val="004D5B19"/>
    <w:rsid w:val="004D5B76"/>
    <w:rsid w:val="004D6431"/>
    <w:rsid w:val="004D657D"/>
    <w:rsid w:val="004D7022"/>
    <w:rsid w:val="004D71A0"/>
    <w:rsid w:val="004E00A7"/>
    <w:rsid w:val="004E0290"/>
    <w:rsid w:val="004E0410"/>
    <w:rsid w:val="004E0A71"/>
    <w:rsid w:val="004E12C6"/>
    <w:rsid w:val="004E143D"/>
    <w:rsid w:val="004E216A"/>
    <w:rsid w:val="004E22D4"/>
    <w:rsid w:val="004E2488"/>
    <w:rsid w:val="004E27E1"/>
    <w:rsid w:val="004E2D93"/>
    <w:rsid w:val="004E3021"/>
    <w:rsid w:val="004E463B"/>
    <w:rsid w:val="004E46FA"/>
    <w:rsid w:val="004E4B7E"/>
    <w:rsid w:val="004E4BAD"/>
    <w:rsid w:val="004E55BB"/>
    <w:rsid w:val="004E5995"/>
    <w:rsid w:val="004E5BAC"/>
    <w:rsid w:val="004E6034"/>
    <w:rsid w:val="004E60CC"/>
    <w:rsid w:val="004E6C45"/>
    <w:rsid w:val="004E6DFC"/>
    <w:rsid w:val="004E7DB5"/>
    <w:rsid w:val="004F0117"/>
    <w:rsid w:val="004F08FB"/>
    <w:rsid w:val="004F1282"/>
    <w:rsid w:val="004F1408"/>
    <w:rsid w:val="004F1547"/>
    <w:rsid w:val="004F1569"/>
    <w:rsid w:val="004F2B03"/>
    <w:rsid w:val="004F3921"/>
    <w:rsid w:val="004F4945"/>
    <w:rsid w:val="004F4FFE"/>
    <w:rsid w:val="004F5111"/>
    <w:rsid w:val="004F5B47"/>
    <w:rsid w:val="004F67F3"/>
    <w:rsid w:val="004F686B"/>
    <w:rsid w:val="004F68CB"/>
    <w:rsid w:val="004F6E1B"/>
    <w:rsid w:val="004F7F44"/>
    <w:rsid w:val="005011FE"/>
    <w:rsid w:val="0050141A"/>
    <w:rsid w:val="00501429"/>
    <w:rsid w:val="00501D74"/>
    <w:rsid w:val="0050208B"/>
    <w:rsid w:val="00502205"/>
    <w:rsid w:val="00502290"/>
    <w:rsid w:val="0050254A"/>
    <w:rsid w:val="00503128"/>
    <w:rsid w:val="0050367D"/>
    <w:rsid w:val="00503714"/>
    <w:rsid w:val="005043C5"/>
    <w:rsid w:val="00504DBA"/>
    <w:rsid w:val="005052A4"/>
    <w:rsid w:val="005057B8"/>
    <w:rsid w:val="00506002"/>
    <w:rsid w:val="00506304"/>
    <w:rsid w:val="00506472"/>
    <w:rsid w:val="005068E6"/>
    <w:rsid w:val="00506B7F"/>
    <w:rsid w:val="00506C9B"/>
    <w:rsid w:val="00506DD3"/>
    <w:rsid w:val="00506E99"/>
    <w:rsid w:val="005075DD"/>
    <w:rsid w:val="00507759"/>
    <w:rsid w:val="00507964"/>
    <w:rsid w:val="0050798E"/>
    <w:rsid w:val="00507F34"/>
    <w:rsid w:val="00510272"/>
    <w:rsid w:val="00510587"/>
    <w:rsid w:val="00510A9C"/>
    <w:rsid w:val="0051204C"/>
    <w:rsid w:val="0051223F"/>
    <w:rsid w:val="00512795"/>
    <w:rsid w:val="00512E3E"/>
    <w:rsid w:val="005130B2"/>
    <w:rsid w:val="005133A7"/>
    <w:rsid w:val="00513468"/>
    <w:rsid w:val="00513824"/>
    <w:rsid w:val="00513B17"/>
    <w:rsid w:val="00514ED6"/>
    <w:rsid w:val="00515161"/>
    <w:rsid w:val="0051536E"/>
    <w:rsid w:val="005157BD"/>
    <w:rsid w:val="00515BFE"/>
    <w:rsid w:val="00515FBE"/>
    <w:rsid w:val="00516AC3"/>
    <w:rsid w:val="00516B8F"/>
    <w:rsid w:val="0051735E"/>
    <w:rsid w:val="0051779A"/>
    <w:rsid w:val="00520B0B"/>
    <w:rsid w:val="00520DBD"/>
    <w:rsid w:val="005213C4"/>
    <w:rsid w:val="005214AA"/>
    <w:rsid w:val="00521C9C"/>
    <w:rsid w:val="00522270"/>
    <w:rsid w:val="00523C3F"/>
    <w:rsid w:val="00525C10"/>
    <w:rsid w:val="00525C13"/>
    <w:rsid w:val="0052609E"/>
    <w:rsid w:val="00527189"/>
    <w:rsid w:val="00527808"/>
    <w:rsid w:val="00527A82"/>
    <w:rsid w:val="00527B4F"/>
    <w:rsid w:val="00527FA6"/>
    <w:rsid w:val="0053003E"/>
    <w:rsid w:val="00531042"/>
    <w:rsid w:val="005316B6"/>
    <w:rsid w:val="00531719"/>
    <w:rsid w:val="005317D5"/>
    <w:rsid w:val="00531AF3"/>
    <w:rsid w:val="005325F2"/>
    <w:rsid w:val="005326D5"/>
    <w:rsid w:val="00533A34"/>
    <w:rsid w:val="00534242"/>
    <w:rsid w:val="00534309"/>
    <w:rsid w:val="00534631"/>
    <w:rsid w:val="00534DA4"/>
    <w:rsid w:val="0053504D"/>
    <w:rsid w:val="00535EA8"/>
    <w:rsid w:val="0053628A"/>
    <w:rsid w:val="0053677F"/>
    <w:rsid w:val="0053699E"/>
    <w:rsid w:val="005369E8"/>
    <w:rsid w:val="00537839"/>
    <w:rsid w:val="005400B0"/>
    <w:rsid w:val="005402DA"/>
    <w:rsid w:val="00540622"/>
    <w:rsid w:val="0054108A"/>
    <w:rsid w:val="00541935"/>
    <w:rsid w:val="00541A8F"/>
    <w:rsid w:val="00541C6F"/>
    <w:rsid w:val="00542071"/>
    <w:rsid w:val="005424A7"/>
    <w:rsid w:val="00542C57"/>
    <w:rsid w:val="005436CF"/>
    <w:rsid w:val="0054377C"/>
    <w:rsid w:val="005443DB"/>
    <w:rsid w:val="0054482F"/>
    <w:rsid w:val="00544836"/>
    <w:rsid w:val="0054486E"/>
    <w:rsid w:val="00544C67"/>
    <w:rsid w:val="005454D3"/>
    <w:rsid w:val="005455D9"/>
    <w:rsid w:val="005459B3"/>
    <w:rsid w:val="00545C28"/>
    <w:rsid w:val="00546AD9"/>
    <w:rsid w:val="00546B5D"/>
    <w:rsid w:val="00547178"/>
    <w:rsid w:val="0055097B"/>
    <w:rsid w:val="00550FDB"/>
    <w:rsid w:val="0055128D"/>
    <w:rsid w:val="005512C5"/>
    <w:rsid w:val="0055157C"/>
    <w:rsid w:val="00551CF6"/>
    <w:rsid w:val="0055239E"/>
    <w:rsid w:val="00552722"/>
    <w:rsid w:val="00552F40"/>
    <w:rsid w:val="0055390F"/>
    <w:rsid w:val="00554F54"/>
    <w:rsid w:val="0055504A"/>
    <w:rsid w:val="005557F8"/>
    <w:rsid w:val="00555CA0"/>
    <w:rsid w:val="00555E2C"/>
    <w:rsid w:val="0055634E"/>
    <w:rsid w:val="005566C4"/>
    <w:rsid w:val="00556CAA"/>
    <w:rsid w:val="005571B7"/>
    <w:rsid w:val="0055740C"/>
    <w:rsid w:val="00557649"/>
    <w:rsid w:val="0055764C"/>
    <w:rsid w:val="00557C6A"/>
    <w:rsid w:val="00557CA2"/>
    <w:rsid w:val="00560824"/>
    <w:rsid w:val="005609A8"/>
    <w:rsid w:val="00560A46"/>
    <w:rsid w:val="00560AA3"/>
    <w:rsid w:val="00560E95"/>
    <w:rsid w:val="00561119"/>
    <w:rsid w:val="00562095"/>
    <w:rsid w:val="00562D05"/>
    <w:rsid w:val="00562F62"/>
    <w:rsid w:val="005632D7"/>
    <w:rsid w:val="0056339A"/>
    <w:rsid w:val="00563A45"/>
    <w:rsid w:val="00563ED9"/>
    <w:rsid w:val="00564796"/>
    <w:rsid w:val="00565134"/>
    <w:rsid w:val="005655A8"/>
    <w:rsid w:val="005657F8"/>
    <w:rsid w:val="00565EF1"/>
    <w:rsid w:val="00566A78"/>
    <w:rsid w:val="00566F74"/>
    <w:rsid w:val="00567775"/>
    <w:rsid w:val="00567FF5"/>
    <w:rsid w:val="005709CC"/>
    <w:rsid w:val="00570FFE"/>
    <w:rsid w:val="00570FFF"/>
    <w:rsid w:val="0057140B"/>
    <w:rsid w:val="00571E08"/>
    <w:rsid w:val="00571E2D"/>
    <w:rsid w:val="005736FE"/>
    <w:rsid w:val="00574029"/>
    <w:rsid w:val="005745A8"/>
    <w:rsid w:val="00574A54"/>
    <w:rsid w:val="00574E85"/>
    <w:rsid w:val="00574FD6"/>
    <w:rsid w:val="0057511C"/>
    <w:rsid w:val="00575479"/>
    <w:rsid w:val="00576497"/>
    <w:rsid w:val="0057657E"/>
    <w:rsid w:val="005776E1"/>
    <w:rsid w:val="00577AD2"/>
    <w:rsid w:val="00577C6A"/>
    <w:rsid w:val="00577D56"/>
    <w:rsid w:val="00577EF8"/>
    <w:rsid w:val="00580B2F"/>
    <w:rsid w:val="00580DA0"/>
    <w:rsid w:val="00580E22"/>
    <w:rsid w:val="005810D1"/>
    <w:rsid w:val="005815ED"/>
    <w:rsid w:val="00581769"/>
    <w:rsid w:val="00581EF3"/>
    <w:rsid w:val="00581F71"/>
    <w:rsid w:val="00583770"/>
    <w:rsid w:val="005839CF"/>
    <w:rsid w:val="00583D70"/>
    <w:rsid w:val="00583E0C"/>
    <w:rsid w:val="00583E6F"/>
    <w:rsid w:val="005841E2"/>
    <w:rsid w:val="005844D6"/>
    <w:rsid w:val="00584867"/>
    <w:rsid w:val="00584871"/>
    <w:rsid w:val="00584975"/>
    <w:rsid w:val="00585669"/>
    <w:rsid w:val="005860EA"/>
    <w:rsid w:val="005861F1"/>
    <w:rsid w:val="005864AE"/>
    <w:rsid w:val="00586B37"/>
    <w:rsid w:val="00586F02"/>
    <w:rsid w:val="00587142"/>
    <w:rsid w:val="005872D5"/>
    <w:rsid w:val="00587870"/>
    <w:rsid w:val="00587AEF"/>
    <w:rsid w:val="00587B16"/>
    <w:rsid w:val="00587C72"/>
    <w:rsid w:val="00587DDE"/>
    <w:rsid w:val="00587F6D"/>
    <w:rsid w:val="005900D2"/>
    <w:rsid w:val="0059034C"/>
    <w:rsid w:val="00591ED0"/>
    <w:rsid w:val="00592959"/>
    <w:rsid w:val="00592A14"/>
    <w:rsid w:val="00592A6D"/>
    <w:rsid w:val="00592EE8"/>
    <w:rsid w:val="00593A92"/>
    <w:rsid w:val="00593D7A"/>
    <w:rsid w:val="00593E81"/>
    <w:rsid w:val="005947F6"/>
    <w:rsid w:val="00595B26"/>
    <w:rsid w:val="00595C58"/>
    <w:rsid w:val="0059646E"/>
    <w:rsid w:val="00596DD7"/>
    <w:rsid w:val="00597021"/>
    <w:rsid w:val="00597687"/>
    <w:rsid w:val="00597809"/>
    <w:rsid w:val="00597827"/>
    <w:rsid w:val="0059792C"/>
    <w:rsid w:val="00597E9D"/>
    <w:rsid w:val="005A00E9"/>
    <w:rsid w:val="005A0B8B"/>
    <w:rsid w:val="005A10CC"/>
    <w:rsid w:val="005A17F9"/>
    <w:rsid w:val="005A22F6"/>
    <w:rsid w:val="005A25A5"/>
    <w:rsid w:val="005A2C64"/>
    <w:rsid w:val="005A30B6"/>
    <w:rsid w:val="005A3EB5"/>
    <w:rsid w:val="005A3F81"/>
    <w:rsid w:val="005A446B"/>
    <w:rsid w:val="005A467A"/>
    <w:rsid w:val="005A46CA"/>
    <w:rsid w:val="005A4939"/>
    <w:rsid w:val="005A4E2F"/>
    <w:rsid w:val="005A531D"/>
    <w:rsid w:val="005A5447"/>
    <w:rsid w:val="005A586A"/>
    <w:rsid w:val="005A672A"/>
    <w:rsid w:val="005A74FB"/>
    <w:rsid w:val="005A7B89"/>
    <w:rsid w:val="005A7C6D"/>
    <w:rsid w:val="005B054C"/>
    <w:rsid w:val="005B0AA9"/>
    <w:rsid w:val="005B0F37"/>
    <w:rsid w:val="005B1223"/>
    <w:rsid w:val="005B18D5"/>
    <w:rsid w:val="005B1A71"/>
    <w:rsid w:val="005B2882"/>
    <w:rsid w:val="005B298B"/>
    <w:rsid w:val="005B2AFE"/>
    <w:rsid w:val="005B2D79"/>
    <w:rsid w:val="005B376D"/>
    <w:rsid w:val="005B3AB7"/>
    <w:rsid w:val="005B4215"/>
    <w:rsid w:val="005B46F9"/>
    <w:rsid w:val="005B518A"/>
    <w:rsid w:val="005B572D"/>
    <w:rsid w:val="005B63BA"/>
    <w:rsid w:val="005B75CB"/>
    <w:rsid w:val="005B79A9"/>
    <w:rsid w:val="005B7CA8"/>
    <w:rsid w:val="005B7F8C"/>
    <w:rsid w:val="005C104E"/>
    <w:rsid w:val="005C159A"/>
    <w:rsid w:val="005C1DE8"/>
    <w:rsid w:val="005C2498"/>
    <w:rsid w:val="005C2753"/>
    <w:rsid w:val="005C2A14"/>
    <w:rsid w:val="005C2E60"/>
    <w:rsid w:val="005C31ED"/>
    <w:rsid w:val="005C357E"/>
    <w:rsid w:val="005C382C"/>
    <w:rsid w:val="005C3EEF"/>
    <w:rsid w:val="005C4248"/>
    <w:rsid w:val="005C4590"/>
    <w:rsid w:val="005C45F9"/>
    <w:rsid w:val="005C4A46"/>
    <w:rsid w:val="005C4A7F"/>
    <w:rsid w:val="005C5971"/>
    <w:rsid w:val="005C6591"/>
    <w:rsid w:val="005C67E1"/>
    <w:rsid w:val="005C6CF3"/>
    <w:rsid w:val="005C7046"/>
    <w:rsid w:val="005C72E8"/>
    <w:rsid w:val="005C756C"/>
    <w:rsid w:val="005C7635"/>
    <w:rsid w:val="005C7A95"/>
    <w:rsid w:val="005C7AAB"/>
    <w:rsid w:val="005D0278"/>
    <w:rsid w:val="005D0812"/>
    <w:rsid w:val="005D177D"/>
    <w:rsid w:val="005D1A3D"/>
    <w:rsid w:val="005D2610"/>
    <w:rsid w:val="005D2A9E"/>
    <w:rsid w:val="005D304E"/>
    <w:rsid w:val="005D3232"/>
    <w:rsid w:val="005D32CB"/>
    <w:rsid w:val="005D3380"/>
    <w:rsid w:val="005D3A82"/>
    <w:rsid w:val="005D4623"/>
    <w:rsid w:val="005D4BB1"/>
    <w:rsid w:val="005D5002"/>
    <w:rsid w:val="005D504F"/>
    <w:rsid w:val="005D5DCE"/>
    <w:rsid w:val="005D5F8B"/>
    <w:rsid w:val="005D65B8"/>
    <w:rsid w:val="005D68F3"/>
    <w:rsid w:val="005D6CF6"/>
    <w:rsid w:val="005D6D61"/>
    <w:rsid w:val="005D6DC5"/>
    <w:rsid w:val="005D718D"/>
    <w:rsid w:val="005D7754"/>
    <w:rsid w:val="005D7C4C"/>
    <w:rsid w:val="005E00B9"/>
    <w:rsid w:val="005E02D3"/>
    <w:rsid w:val="005E07B6"/>
    <w:rsid w:val="005E0CE2"/>
    <w:rsid w:val="005E1510"/>
    <w:rsid w:val="005E1A28"/>
    <w:rsid w:val="005E24BD"/>
    <w:rsid w:val="005E2557"/>
    <w:rsid w:val="005E26F9"/>
    <w:rsid w:val="005E3250"/>
    <w:rsid w:val="005E329B"/>
    <w:rsid w:val="005E3699"/>
    <w:rsid w:val="005E3A14"/>
    <w:rsid w:val="005E4852"/>
    <w:rsid w:val="005E4BFE"/>
    <w:rsid w:val="005E4FF1"/>
    <w:rsid w:val="005E583D"/>
    <w:rsid w:val="005E5D8B"/>
    <w:rsid w:val="005E62E3"/>
    <w:rsid w:val="005E6D32"/>
    <w:rsid w:val="005E6F91"/>
    <w:rsid w:val="005E7AD2"/>
    <w:rsid w:val="005E7FD3"/>
    <w:rsid w:val="005F0005"/>
    <w:rsid w:val="005F04DD"/>
    <w:rsid w:val="005F0805"/>
    <w:rsid w:val="005F0BCE"/>
    <w:rsid w:val="005F1812"/>
    <w:rsid w:val="005F1E7C"/>
    <w:rsid w:val="005F287D"/>
    <w:rsid w:val="005F2940"/>
    <w:rsid w:val="005F3313"/>
    <w:rsid w:val="005F3DE7"/>
    <w:rsid w:val="005F3F0F"/>
    <w:rsid w:val="005F41BF"/>
    <w:rsid w:val="005F43B1"/>
    <w:rsid w:val="005F43EE"/>
    <w:rsid w:val="005F5264"/>
    <w:rsid w:val="005F5329"/>
    <w:rsid w:val="005F5C98"/>
    <w:rsid w:val="005F5E45"/>
    <w:rsid w:val="005F5FDC"/>
    <w:rsid w:val="005F623B"/>
    <w:rsid w:val="005F62CE"/>
    <w:rsid w:val="005F6AD2"/>
    <w:rsid w:val="005F70A9"/>
    <w:rsid w:val="005F72B3"/>
    <w:rsid w:val="005F7BB6"/>
    <w:rsid w:val="006008C8"/>
    <w:rsid w:val="00600E3C"/>
    <w:rsid w:val="00601B71"/>
    <w:rsid w:val="00601DE4"/>
    <w:rsid w:val="006026A2"/>
    <w:rsid w:val="0060351C"/>
    <w:rsid w:val="0060357E"/>
    <w:rsid w:val="00604651"/>
    <w:rsid w:val="006046B9"/>
    <w:rsid w:val="00604F92"/>
    <w:rsid w:val="0060553E"/>
    <w:rsid w:val="006055C0"/>
    <w:rsid w:val="006056EE"/>
    <w:rsid w:val="006059BE"/>
    <w:rsid w:val="00605A2C"/>
    <w:rsid w:val="00605DDE"/>
    <w:rsid w:val="00605EA7"/>
    <w:rsid w:val="0060613B"/>
    <w:rsid w:val="00606345"/>
    <w:rsid w:val="006066BA"/>
    <w:rsid w:val="00606FC9"/>
    <w:rsid w:val="0060711B"/>
    <w:rsid w:val="00607457"/>
    <w:rsid w:val="00607A2D"/>
    <w:rsid w:val="00607DEB"/>
    <w:rsid w:val="00607ED8"/>
    <w:rsid w:val="0061004A"/>
    <w:rsid w:val="0061015F"/>
    <w:rsid w:val="006101E6"/>
    <w:rsid w:val="00610419"/>
    <w:rsid w:val="00610D1F"/>
    <w:rsid w:val="00611143"/>
    <w:rsid w:val="006114B2"/>
    <w:rsid w:val="00611648"/>
    <w:rsid w:val="0061225C"/>
    <w:rsid w:val="006126E7"/>
    <w:rsid w:val="0061361B"/>
    <w:rsid w:val="00614B21"/>
    <w:rsid w:val="00615663"/>
    <w:rsid w:val="00615E29"/>
    <w:rsid w:val="006165F2"/>
    <w:rsid w:val="0061682C"/>
    <w:rsid w:val="00617CFE"/>
    <w:rsid w:val="00620FB6"/>
    <w:rsid w:val="0062119B"/>
    <w:rsid w:val="00621C58"/>
    <w:rsid w:val="00621D80"/>
    <w:rsid w:val="006222FC"/>
    <w:rsid w:val="00622604"/>
    <w:rsid w:val="00622B46"/>
    <w:rsid w:val="0062320A"/>
    <w:rsid w:val="006232DC"/>
    <w:rsid w:val="006233F3"/>
    <w:rsid w:val="006236E0"/>
    <w:rsid w:val="006237AA"/>
    <w:rsid w:val="00623FDC"/>
    <w:rsid w:val="00624269"/>
    <w:rsid w:val="00624B4A"/>
    <w:rsid w:val="00625251"/>
    <w:rsid w:val="0062552E"/>
    <w:rsid w:val="006259F4"/>
    <w:rsid w:val="00625A02"/>
    <w:rsid w:val="00626792"/>
    <w:rsid w:val="00627041"/>
    <w:rsid w:val="006275C5"/>
    <w:rsid w:val="0062789F"/>
    <w:rsid w:val="00627F91"/>
    <w:rsid w:val="00630134"/>
    <w:rsid w:val="006305E1"/>
    <w:rsid w:val="006309F1"/>
    <w:rsid w:val="00631D19"/>
    <w:rsid w:val="00632CD3"/>
    <w:rsid w:val="00633155"/>
    <w:rsid w:val="00633CEF"/>
    <w:rsid w:val="0063424C"/>
    <w:rsid w:val="00634D51"/>
    <w:rsid w:val="006351F8"/>
    <w:rsid w:val="006353BD"/>
    <w:rsid w:val="00635B7B"/>
    <w:rsid w:val="00635E44"/>
    <w:rsid w:val="0063614D"/>
    <w:rsid w:val="00636422"/>
    <w:rsid w:val="0063651D"/>
    <w:rsid w:val="00636A72"/>
    <w:rsid w:val="00637670"/>
    <w:rsid w:val="00637CCE"/>
    <w:rsid w:val="006402BE"/>
    <w:rsid w:val="00640416"/>
    <w:rsid w:val="006417D5"/>
    <w:rsid w:val="00641BBE"/>
    <w:rsid w:val="00641DEE"/>
    <w:rsid w:val="00641EC1"/>
    <w:rsid w:val="00642123"/>
    <w:rsid w:val="006421DF"/>
    <w:rsid w:val="00642897"/>
    <w:rsid w:val="00642EE4"/>
    <w:rsid w:val="00643624"/>
    <w:rsid w:val="00643E47"/>
    <w:rsid w:val="0064484B"/>
    <w:rsid w:val="00644AD1"/>
    <w:rsid w:val="00646980"/>
    <w:rsid w:val="00647733"/>
    <w:rsid w:val="00647A48"/>
    <w:rsid w:val="0065016A"/>
    <w:rsid w:val="00650193"/>
    <w:rsid w:val="0065072D"/>
    <w:rsid w:val="00650F42"/>
    <w:rsid w:val="006514D6"/>
    <w:rsid w:val="0065151B"/>
    <w:rsid w:val="00651C62"/>
    <w:rsid w:val="0065201C"/>
    <w:rsid w:val="0065238A"/>
    <w:rsid w:val="00652A60"/>
    <w:rsid w:val="00652B28"/>
    <w:rsid w:val="00654794"/>
    <w:rsid w:val="00654B9B"/>
    <w:rsid w:val="00655101"/>
    <w:rsid w:val="00655646"/>
    <w:rsid w:val="0065564D"/>
    <w:rsid w:val="00655991"/>
    <w:rsid w:val="00656029"/>
    <w:rsid w:val="0065759C"/>
    <w:rsid w:val="00657992"/>
    <w:rsid w:val="00660186"/>
    <w:rsid w:val="00660207"/>
    <w:rsid w:val="00660262"/>
    <w:rsid w:val="0066086D"/>
    <w:rsid w:val="00660E20"/>
    <w:rsid w:val="00660F5C"/>
    <w:rsid w:val="006610D9"/>
    <w:rsid w:val="0066171A"/>
    <w:rsid w:val="006618D5"/>
    <w:rsid w:val="00661AFA"/>
    <w:rsid w:val="0066248B"/>
    <w:rsid w:val="0066335B"/>
    <w:rsid w:val="006638CE"/>
    <w:rsid w:val="00663D81"/>
    <w:rsid w:val="00664309"/>
    <w:rsid w:val="00664A6E"/>
    <w:rsid w:val="006657B4"/>
    <w:rsid w:val="006657D4"/>
    <w:rsid w:val="00665DCC"/>
    <w:rsid w:val="00665ED5"/>
    <w:rsid w:val="006661BA"/>
    <w:rsid w:val="00666382"/>
    <w:rsid w:val="00667086"/>
    <w:rsid w:val="006676C5"/>
    <w:rsid w:val="006676EF"/>
    <w:rsid w:val="00667E47"/>
    <w:rsid w:val="00670A2E"/>
    <w:rsid w:val="00670DFF"/>
    <w:rsid w:val="00670E18"/>
    <w:rsid w:val="00670E25"/>
    <w:rsid w:val="00670E90"/>
    <w:rsid w:val="00671D1F"/>
    <w:rsid w:val="0067201F"/>
    <w:rsid w:val="0067223F"/>
    <w:rsid w:val="006723DA"/>
    <w:rsid w:val="00672766"/>
    <w:rsid w:val="0067291C"/>
    <w:rsid w:val="00672D6F"/>
    <w:rsid w:val="006732E6"/>
    <w:rsid w:val="00673344"/>
    <w:rsid w:val="0067351A"/>
    <w:rsid w:val="00674710"/>
    <w:rsid w:val="006750F1"/>
    <w:rsid w:val="0067560E"/>
    <w:rsid w:val="00675D35"/>
    <w:rsid w:val="00676682"/>
    <w:rsid w:val="0067682E"/>
    <w:rsid w:val="006769EC"/>
    <w:rsid w:val="00676C63"/>
    <w:rsid w:val="00676F7D"/>
    <w:rsid w:val="006771D9"/>
    <w:rsid w:val="00677288"/>
    <w:rsid w:val="006775A5"/>
    <w:rsid w:val="00677AAB"/>
    <w:rsid w:val="00677FAE"/>
    <w:rsid w:val="006806A0"/>
    <w:rsid w:val="00680D2A"/>
    <w:rsid w:val="00681576"/>
    <w:rsid w:val="00681A53"/>
    <w:rsid w:val="00681CB6"/>
    <w:rsid w:val="006828D1"/>
    <w:rsid w:val="00682DA7"/>
    <w:rsid w:val="006836D1"/>
    <w:rsid w:val="006841F9"/>
    <w:rsid w:val="006849AF"/>
    <w:rsid w:val="00684B2C"/>
    <w:rsid w:val="00684FA0"/>
    <w:rsid w:val="00685107"/>
    <w:rsid w:val="00685F34"/>
    <w:rsid w:val="006862A5"/>
    <w:rsid w:val="006864E7"/>
    <w:rsid w:val="00687092"/>
    <w:rsid w:val="006874C5"/>
    <w:rsid w:val="006875E5"/>
    <w:rsid w:val="00687D74"/>
    <w:rsid w:val="0069010A"/>
    <w:rsid w:val="00690E2C"/>
    <w:rsid w:val="00691C79"/>
    <w:rsid w:val="00691F0D"/>
    <w:rsid w:val="006922C4"/>
    <w:rsid w:val="006924AA"/>
    <w:rsid w:val="00693432"/>
    <w:rsid w:val="006936CD"/>
    <w:rsid w:val="00693849"/>
    <w:rsid w:val="00693C27"/>
    <w:rsid w:val="00694591"/>
    <w:rsid w:val="006959D6"/>
    <w:rsid w:val="00695AE8"/>
    <w:rsid w:val="00695EF3"/>
    <w:rsid w:val="0069621A"/>
    <w:rsid w:val="00696457"/>
    <w:rsid w:val="00696564"/>
    <w:rsid w:val="00696A93"/>
    <w:rsid w:val="00696B1C"/>
    <w:rsid w:val="00696E27"/>
    <w:rsid w:val="0069725E"/>
    <w:rsid w:val="00697AA1"/>
    <w:rsid w:val="00697D0C"/>
    <w:rsid w:val="006A01EB"/>
    <w:rsid w:val="006A04E0"/>
    <w:rsid w:val="006A07E8"/>
    <w:rsid w:val="006A1B4E"/>
    <w:rsid w:val="006A1FB0"/>
    <w:rsid w:val="006A228C"/>
    <w:rsid w:val="006A229D"/>
    <w:rsid w:val="006A3879"/>
    <w:rsid w:val="006A3A12"/>
    <w:rsid w:val="006A3A9A"/>
    <w:rsid w:val="006A4810"/>
    <w:rsid w:val="006A4848"/>
    <w:rsid w:val="006A51FF"/>
    <w:rsid w:val="006A5221"/>
    <w:rsid w:val="006A55C6"/>
    <w:rsid w:val="006A5786"/>
    <w:rsid w:val="006A5F40"/>
    <w:rsid w:val="006A655F"/>
    <w:rsid w:val="006A6CDF"/>
    <w:rsid w:val="006A6CF9"/>
    <w:rsid w:val="006A6FFA"/>
    <w:rsid w:val="006A74B7"/>
    <w:rsid w:val="006B06CA"/>
    <w:rsid w:val="006B073A"/>
    <w:rsid w:val="006B0808"/>
    <w:rsid w:val="006B0B14"/>
    <w:rsid w:val="006B149D"/>
    <w:rsid w:val="006B16BF"/>
    <w:rsid w:val="006B1B57"/>
    <w:rsid w:val="006B1DE1"/>
    <w:rsid w:val="006B1FEE"/>
    <w:rsid w:val="006B4463"/>
    <w:rsid w:val="006B4FFA"/>
    <w:rsid w:val="006B587F"/>
    <w:rsid w:val="006B60EB"/>
    <w:rsid w:val="006B641F"/>
    <w:rsid w:val="006B667D"/>
    <w:rsid w:val="006B67B7"/>
    <w:rsid w:val="006B6F07"/>
    <w:rsid w:val="006B7297"/>
    <w:rsid w:val="006B765D"/>
    <w:rsid w:val="006B78F8"/>
    <w:rsid w:val="006C0285"/>
    <w:rsid w:val="006C083F"/>
    <w:rsid w:val="006C087B"/>
    <w:rsid w:val="006C090F"/>
    <w:rsid w:val="006C09AD"/>
    <w:rsid w:val="006C0BF3"/>
    <w:rsid w:val="006C0C10"/>
    <w:rsid w:val="006C0E7D"/>
    <w:rsid w:val="006C193B"/>
    <w:rsid w:val="006C2B24"/>
    <w:rsid w:val="006C3EB7"/>
    <w:rsid w:val="006C4232"/>
    <w:rsid w:val="006C4DBB"/>
    <w:rsid w:val="006C5E02"/>
    <w:rsid w:val="006C6143"/>
    <w:rsid w:val="006C6483"/>
    <w:rsid w:val="006C65B7"/>
    <w:rsid w:val="006C6BC3"/>
    <w:rsid w:val="006C6E00"/>
    <w:rsid w:val="006C6E88"/>
    <w:rsid w:val="006C76A4"/>
    <w:rsid w:val="006D00CB"/>
    <w:rsid w:val="006D0F0B"/>
    <w:rsid w:val="006D190C"/>
    <w:rsid w:val="006D1FFF"/>
    <w:rsid w:val="006D283D"/>
    <w:rsid w:val="006D2E80"/>
    <w:rsid w:val="006D3A6B"/>
    <w:rsid w:val="006D3E6C"/>
    <w:rsid w:val="006D4251"/>
    <w:rsid w:val="006D4AA0"/>
    <w:rsid w:val="006D6528"/>
    <w:rsid w:val="006D6752"/>
    <w:rsid w:val="006D7245"/>
    <w:rsid w:val="006D764E"/>
    <w:rsid w:val="006D788A"/>
    <w:rsid w:val="006D7A58"/>
    <w:rsid w:val="006E01A4"/>
    <w:rsid w:val="006E046B"/>
    <w:rsid w:val="006E0510"/>
    <w:rsid w:val="006E0B4A"/>
    <w:rsid w:val="006E15AC"/>
    <w:rsid w:val="006E1C74"/>
    <w:rsid w:val="006E2A29"/>
    <w:rsid w:val="006E391B"/>
    <w:rsid w:val="006E3F66"/>
    <w:rsid w:val="006E3F83"/>
    <w:rsid w:val="006E5575"/>
    <w:rsid w:val="006E66A8"/>
    <w:rsid w:val="006E7136"/>
    <w:rsid w:val="006E74AE"/>
    <w:rsid w:val="006E7848"/>
    <w:rsid w:val="006E799F"/>
    <w:rsid w:val="006E7CFA"/>
    <w:rsid w:val="006F03BA"/>
    <w:rsid w:val="006F06F3"/>
    <w:rsid w:val="006F0F24"/>
    <w:rsid w:val="006F15B0"/>
    <w:rsid w:val="006F1F1F"/>
    <w:rsid w:val="006F217B"/>
    <w:rsid w:val="006F21C8"/>
    <w:rsid w:val="006F2B62"/>
    <w:rsid w:val="006F33B5"/>
    <w:rsid w:val="006F3F2F"/>
    <w:rsid w:val="006F4185"/>
    <w:rsid w:val="006F50E9"/>
    <w:rsid w:val="006F617A"/>
    <w:rsid w:val="006F6365"/>
    <w:rsid w:val="006F65B5"/>
    <w:rsid w:val="006F6673"/>
    <w:rsid w:val="006F6C66"/>
    <w:rsid w:val="006F6D02"/>
    <w:rsid w:val="007005B5"/>
    <w:rsid w:val="0070149D"/>
    <w:rsid w:val="00701A6F"/>
    <w:rsid w:val="00701A92"/>
    <w:rsid w:val="00702ADC"/>
    <w:rsid w:val="00703276"/>
    <w:rsid w:val="00703827"/>
    <w:rsid w:val="00703A20"/>
    <w:rsid w:val="00703B51"/>
    <w:rsid w:val="007041DD"/>
    <w:rsid w:val="007044C1"/>
    <w:rsid w:val="007049F3"/>
    <w:rsid w:val="00704FE5"/>
    <w:rsid w:val="00705C71"/>
    <w:rsid w:val="0070663B"/>
    <w:rsid w:val="00706CEB"/>
    <w:rsid w:val="00706DC5"/>
    <w:rsid w:val="0070744A"/>
    <w:rsid w:val="0070768E"/>
    <w:rsid w:val="00710788"/>
    <w:rsid w:val="00711346"/>
    <w:rsid w:val="007119E5"/>
    <w:rsid w:val="00711D3B"/>
    <w:rsid w:val="00712E08"/>
    <w:rsid w:val="00713A42"/>
    <w:rsid w:val="00713BBC"/>
    <w:rsid w:val="00713DA8"/>
    <w:rsid w:val="00713EB8"/>
    <w:rsid w:val="00714BC4"/>
    <w:rsid w:val="00714EBF"/>
    <w:rsid w:val="007156A9"/>
    <w:rsid w:val="007158C5"/>
    <w:rsid w:val="00715EED"/>
    <w:rsid w:val="00716558"/>
    <w:rsid w:val="00716629"/>
    <w:rsid w:val="0071678A"/>
    <w:rsid w:val="007167A7"/>
    <w:rsid w:val="00717300"/>
    <w:rsid w:val="00717401"/>
    <w:rsid w:val="00717F27"/>
    <w:rsid w:val="00720343"/>
    <w:rsid w:val="00720A20"/>
    <w:rsid w:val="0072114D"/>
    <w:rsid w:val="007215DB"/>
    <w:rsid w:val="007218CA"/>
    <w:rsid w:val="00721E13"/>
    <w:rsid w:val="00722E7E"/>
    <w:rsid w:val="00722F77"/>
    <w:rsid w:val="00724585"/>
    <w:rsid w:val="00724587"/>
    <w:rsid w:val="00724BAF"/>
    <w:rsid w:val="00724F83"/>
    <w:rsid w:val="00725291"/>
    <w:rsid w:val="0072649B"/>
    <w:rsid w:val="0072731C"/>
    <w:rsid w:val="00727B60"/>
    <w:rsid w:val="00727D5B"/>
    <w:rsid w:val="0073009F"/>
    <w:rsid w:val="00730ACA"/>
    <w:rsid w:val="007318A4"/>
    <w:rsid w:val="00731C30"/>
    <w:rsid w:val="00731EFC"/>
    <w:rsid w:val="0073213C"/>
    <w:rsid w:val="00732A58"/>
    <w:rsid w:val="0073309D"/>
    <w:rsid w:val="0073325A"/>
    <w:rsid w:val="007336AE"/>
    <w:rsid w:val="007339F6"/>
    <w:rsid w:val="00733A03"/>
    <w:rsid w:val="00734226"/>
    <w:rsid w:val="0073437C"/>
    <w:rsid w:val="007343EE"/>
    <w:rsid w:val="0073446D"/>
    <w:rsid w:val="007345CE"/>
    <w:rsid w:val="007345E8"/>
    <w:rsid w:val="0073493C"/>
    <w:rsid w:val="00734AA6"/>
    <w:rsid w:val="0073560D"/>
    <w:rsid w:val="00735FDB"/>
    <w:rsid w:val="00736711"/>
    <w:rsid w:val="007371FE"/>
    <w:rsid w:val="007402B8"/>
    <w:rsid w:val="007408B5"/>
    <w:rsid w:val="00740F32"/>
    <w:rsid w:val="00740FBD"/>
    <w:rsid w:val="00741061"/>
    <w:rsid w:val="00741461"/>
    <w:rsid w:val="00741FBA"/>
    <w:rsid w:val="007430A9"/>
    <w:rsid w:val="007430D5"/>
    <w:rsid w:val="0074319D"/>
    <w:rsid w:val="00743449"/>
    <w:rsid w:val="0074345A"/>
    <w:rsid w:val="00743537"/>
    <w:rsid w:val="00743D2B"/>
    <w:rsid w:val="007444DE"/>
    <w:rsid w:val="007449F8"/>
    <w:rsid w:val="00744ADE"/>
    <w:rsid w:val="00744FED"/>
    <w:rsid w:val="00745716"/>
    <w:rsid w:val="00746581"/>
    <w:rsid w:val="007466A3"/>
    <w:rsid w:val="00746842"/>
    <w:rsid w:val="00746941"/>
    <w:rsid w:val="00746B88"/>
    <w:rsid w:val="00746F4C"/>
    <w:rsid w:val="00747332"/>
    <w:rsid w:val="00750538"/>
    <w:rsid w:val="00750717"/>
    <w:rsid w:val="00750A08"/>
    <w:rsid w:val="00750B93"/>
    <w:rsid w:val="00750E6D"/>
    <w:rsid w:val="00751174"/>
    <w:rsid w:val="0075141A"/>
    <w:rsid w:val="00751431"/>
    <w:rsid w:val="007515A5"/>
    <w:rsid w:val="007519E5"/>
    <w:rsid w:val="0075248E"/>
    <w:rsid w:val="007527C3"/>
    <w:rsid w:val="0075282C"/>
    <w:rsid w:val="00752B89"/>
    <w:rsid w:val="00752FBF"/>
    <w:rsid w:val="00754E45"/>
    <w:rsid w:val="007561D3"/>
    <w:rsid w:val="00756566"/>
    <w:rsid w:val="007569CB"/>
    <w:rsid w:val="00756CDD"/>
    <w:rsid w:val="007574EB"/>
    <w:rsid w:val="00757B12"/>
    <w:rsid w:val="0076063B"/>
    <w:rsid w:val="007608A1"/>
    <w:rsid w:val="00760C61"/>
    <w:rsid w:val="00760EFC"/>
    <w:rsid w:val="007610B5"/>
    <w:rsid w:val="00761153"/>
    <w:rsid w:val="00761547"/>
    <w:rsid w:val="0076155F"/>
    <w:rsid w:val="00761DF4"/>
    <w:rsid w:val="00762063"/>
    <w:rsid w:val="007625E7"/>
    <w:rsid w:val="0076271B"/>
    <w:rsid w:val="00762AA3"/>
    <w:rsid w:val="0076350A"/>
    <w:rsid w:val="00764188"/>
    <w:rsid w:val="00764936"/>
    <w:rsid w:val="00764C34"/>
    <w:rsid w:val="00765262"/>
    <w:rsid w:val="0076562B"/>
    <w:rsid w:val="00765826"/>
    <w:rsid w:val="007659A7"/>
    <w:rsid w:val="00765FA2"/>
    <w:rsid w:val="00766BF2"/>
    <w:rsid w:val="00766C8C"/>
    <w:rsid w:val="00767576"/>
    <w:rsid w:val="00767DB2"/>
    <w:rsid w:val="00767E6D"/>
    <w:rsid w:val="00770182"/>
    <w:rsid w:val="00770634"/>
    <w:rsid w:val="00770E0B"/>
    <w:rsid w:val="00770E3D"/>
    <w:rsid w:val="00771F4D"/>
    <w:rsid w:val="007728A5"/>
    <w:rsid w:val="007729D5"/>
    <w:rsid w:val="00772DF5"/>
    <w:rsid w:val="007733DA"/>
    <w:rsid w:val="00773C87"/>
    <w:rsid w:val="00774207"/>
    <w:rsid w:val="00774E32"/>
    <w:rsid w:val="00775F12"/>
    <w:rsid w:val="00775F4D"/>
    <w:rsid w:val="007769E2"/>
    <w:rsid w:val="00777B90"/>
    <w:rsid w:val="00777DFC"/>
    <w:rsid w:val="00780221"/>
    <w:rsid w:val="00780ACD"/>
    <w:rsid w:val="00780D06"/>
    <w:rsid w:val="00780EA8"/>
    <w:rsid w:val="00780FB0"/>
    <w:rsid w:val="0078116A"/>
    <w:rsid w:val="00781407"/>
    <w:rsid w:val="00782410"/>
    <w:rsid w:val="00782903"/>
    <w:rsid w:val="0078341B"/>
    <w:rsid w:val="007835F3"/>
    <w:rsid w:val="007838AF"/>
    <w:rsid w:val="00783CA3"/>
    <w:rsid w:val="00783DCE"/>
    <w:rsid w:val="007868D4"/>
    <w:rsid w:val="0078695D"/>
    <w:rsid w:val="00787920"/>
    <w:rsid w:val="007879D8"/>
    <w:rsid w:val="0079011B"/>
    <w:rsid w:val="00790D27"/>
    <w:rsid w:val="007910A2"/>
    <w:rsid w:val="0079151E"/>
    <w:rsid w:val="00791BB9"/>
    <w:rsid w:val="00792120"/>
    <w:rsid w:val="0079216F"/>
    <w:rsid w:val="007921DA"/>
    <w:rsid w:val="007927CD"/>
    <w:rsid w:val="00792860"/>
    <w:rsid w:val="00792AF6"/>
    <w:rsid w:val="00793C55"/>
    <w:rsid w:val="00793EB0"/>
    <w:rsid w:val="00794340"/>
    <w:rsid w:val="007943ED"/>
    <w:rsid w:val="00794E36"/>
    <w:rsid w:val="0079517B"/>
    <w:rsid w:val="0079577F"/>
    <w:rsid w:val="00795ABA"/>
    <w:rsid w:val="00795B31"/>
    <w:rsid w:val="007967EC"/>
    <w:rsid w:val="00796C7F"/>
    <w:rsid w:val="007973DE"/>
    <w:rsid w:val="007973F9"/>
    <w:rsid w:val="00797649"/>
    <w:rsid w:val="00797E8C"/>
    <w:rsid w:val="007A05EE"/>
    <w:rsid w:val="007A062C"/>
    <w:rsid w:val="007A0D4B"/>
    <w:rsid w:val="007A10B0"/>
    <w:rsid w:val="007A2158"/>
    <w:rsid w:val="007A2428"/>
    <w:rsid w:val="007A2A78"/>
    <w:rsid w:val="007A2A85"/>
    <w:rsid w:val="007A2FBC"/>
    <w:rsid w:val="007A4655"/>
    <w:rsid w:val="007A4CFE"/>
    <w:rsid w:val="007A4F97"/>
    <w:rsid w:val="007A5251"/>
    <w:rsid w:val="007A5642"/>
    <w:rsid w:val="007A5AF9"/>
    <w:rsid w:val="007A5D15"/>
    <w:rsid w:val="007A6307"/>
    <w:rsid w:val="007A638A"/>
    <w:rsid w:val="007A6786"/>
    <w:rsid w:val="007A6C1D"/>
    <w:rsid w:val="007A77CE"/>
    <w:rsid w:val="007A7E97"/>
    <w:rsid w:val="007B04C2"/>
    <w:rsid w:val="007B08C8"/>
    <w:rsid w:val="007B10A4"/>
    <w:rsid w:val="007B131F"/>
    <w:rsid w:val="007B1AA6"/>
    <w:rsid w:val="007B40A4"/>
    <w:rsid w:val="007B4B52"/>
    <w:rsid w:val="007B55BF"/>
    <w:rsid w:val="007B568C"/>
    <w:rsid w:val="007B6702"/>
    <w:rsid w:val="007B68F5"/>
    <w:rsid w:val="007B6BCC"/>
    <w:rsid w:val="007C00C6"/>
    <w:rsid w:val="007C0AB2"/>
    <w:rsid w:val="007C0EEA"/>
    <w:rsid w:val="007C19B5"/>
    <w:rsid w:val="007C1A68"/>
    <w:rsid w:val="007C1C13"/>
    <w:rsid w:val="007C1EB4"/>
    <w:rsid w:val="007C3687"/>
    <w:rsid w:val="007C40A8"/>
    <w:rsid w:val="007C43E6"/>
    <w:rsid w:val="007C4DD2"/>
    <w:rsid w:val="007C4E56"/>
    <w:rsid w:val="007C5552"/>
    <w:rsid w:val="007C5CDA"/>
    <w:rsid w:val="007C61FE"/>
    <w:rsid w:val="007C6633"/>
    <w:rsid w:val="007C68E9"/>
    <w:rsid w:val="007C69B3"/>
    <w:rsid w:val="007C7ECF"/>
    <w:rsid w:val="007D0760"/>
    <w:rsid w:val="007D07BA"/>
    <w:rsid w:val="007D16C9"/>
    <w:rsid w:val="007D2096"/>
    <w:rsid w:val="007D20EC"/>
    <w:rsid w:val="007D2E63"/>
    <w:rsid w:val="007D3595"/>
    <w:rsid w:val="007D399D"/>
    <w:rsid w:val="007D44B6"/>
    <w:rsid w:val="007D4741"/>
    <w:rsid w:val="007D4C8A"/>
    <w:rsid w:val="007D4FFA"/>
    <w:rsid w:val="007D5536"/>
    <w:rsid w:val="007D5794"/>
    <w:rsid w:val="007D657E"/>
    <w:rsid w:val="007D699B"/>
    <w:rsid w:val="007D6D91"/>
    <w:rsid w:val="007D7045"/>
    <w:rsid w:val="007D73E7"/>
    <w:rsid w:val="007D7402"/>
    <w:rsid w:val="007D78C2"/>
    <w:rsid w:val="007D7A56"/>
    <w:rsid w:val="007D7BFC"/>
    <w:rsid w:val="007E021E"/>
    <w:rsid w:val="007E0651"/>
    <w:rsid w:val="007E078B"/>
    <w:rsid w:val="007E1098"/>
    <w:rsid w:val="007E10B1"/>
    <w:rsid w:val="007E18D8"/>
    <w:rsid w:val="007E1FCF"/>
    <w:rsid w:val="007E209E"/>
    <w:rsid w:val="007E3027"/>
    <w:rsid w:val="007E325C"/>
    <w:rsid w:val="007E33D3"/>
    <w:rsid w:val="007E3E3A"/>
    <w:rsid w:val="007E411A"/>
    <w:rsid w:val="007E4A8E"/>
    <w:rsid w:val="007E54ED"/>
    <w:rsid w:val="007E6299"/>
    <w:rsid w:val="007E654E"/>
    <w:rsid w:val="007E663A"/>
    <w:rsid w:val="007E67F0"/>
    <w:rsid w:val="007E6A38"/>
    <w:rsid w:val="007E7837"/>
    <w:rsid w:val="007E79D4"/>
    <w:rsid w:val="007F012D"/>
    <w:rsid w:val="007F0C5C"/>
    <w:rsid w:val="007F1148"/>
    <w:rsid w:val="007F125E"/>
    <w:rsid w:val="007F12BB"/>
    <w:rsid w:val="007F15D3"/>
    <w:rsid w:val="007F3088"/>
    <w:rsid w:val="007F3516"/>
    <w:rsid w:val="007F37AF"/>
    <w:rsid w:val="007F3DD5"/>
    <w:rsid w:val="007F3EF4"/>
    <w:rsid w:val="007F3F5A"/>
    <w:rsid w:val="007F4740"/>
    <w:rsid w:val="007F47E3"/>
    <w:rsid w:val="007F47E7"/>
    <w:rsid w:val="007F4B32"/>
    <w:rsid w:val="007F5834"/>
    <w:rsid w:val="007F66E7"/>
    <w:rsid w:val="007F6F26"/>
    <w:rsid w:val="007F7863"/>
    <w:rsid w:val="007F78A3"/>
    <w:rsid w:val="007F7A67"/>
    <w:rsid w:val="007F7CC4"/>
    <w:rsid w:val="007F7F6D"/>
    <w:rsid w:val="00800385"/>
    <w:rsid w:val="0080045F"/>
    <w:rsid w:val="00800853"/>
    <w:rsid w:val="00800BEB"/>
    <w:rsid w:val="008017A9"/>
    <w:rsid w:val="0080181B"/>
    <w:rsid w:val="0080182D"/>
    <w:rsid w:val="00802298"/>
    <w:rsid w:val="008028FF"/>
    <w:rsid w:val="00802A32"/>
    <w:rsid w:val="008033E1"/>
    <w:rsid w:val="0080451B"/>
    <w:rsid w:val="00804563"/>
    <w:rsid w:val="0080468F"/>
    <w:rsid w:val="008046BF"/>
    <w:rsid w:val="00804D82"/>
    <w:rsid w:val="00804D94"/>
    <w:rsid w:val="00804FD7"/>
    <w:rsid w:val="00805229"/>
    <w:rsid w:val="008056A2"/>
    <w:rsid w:val="00806592"/>
    <w:rsid w:val="0080688F"/>
    <w:rsid w:val="00806E8D"/>
    <w:rsid w:val="0080758B"/>
    <w:rsid w:val="00807647"/>
    <w:rsid w:val="00807DA4"/>
    <w:rsid w:val="00807DC5"/>
    <w:rsid w:val="008100FF"/>
    <w:rsid w:val="0081035B"/>
    <w:rsid w:val="0081069C"/>
    <w:rsid w:val="00810B21"/>
    <w:rsid w:val="00811346"/>
    <w:rsid w:val="0081165C"/>
    <w:rsid w:val="00811C91"/>
    <w:rsid w:val="00812766"/>
    <w:rsid w:val="008127A4"/>
    <w:rsid w:val="0081295A"/>
    <w:rsid w:val="008129E7"/>
    <w:rsid w:val="008130B3"/>
    <w:rsid w:val="00813B48"/>
    <w:rsid w:val="00813BAB"/>
    <w:rsid w:val="00813BCA"/>
    <w:rsid w:val="00814B98"/>
    <w:rsid w:val="00814BBD"/>
    <w:rsid w:val="00814C28"/>
    <w:rsid w:val="00814C99"/>
    <w:rsid w:val="00814DDE"/>
    <w:rsid w:val="008150B1"/>
    <w:rsid w:val="008150D4"/>
    <w:rsid w:val="0081540B"/>
    <w:rsid w:val="008154ED"/>
    <w:rsid w:val="008159DD"/>
    <w:rsid w:val="00815C72"/>
    <w:rsid w:val="0081658A"/>
    <w:rsid w:val="008167D9"/>
    <w:rsid w:val="00816A37"/>
    <w:rsid w:val="00816B6F"/>
    <w:rsid w:val="00816F2A"/>
    <w:rsid w:val="008202E0"/>
    <w:rsid w:val="00820532"/>
    <w:rsid w:val="00820858"/>
    <w:rsid w:val="00820E9A"/>
    <w:rsid w:val="00821305"/>
    <w:rsid w:val="008218FF"/>
    <w:rsid w:val="00821A03"/>
    <w:rsid w:val="00822B23"/>
    <w:rsid w:val="00824018"/>
    <w:rsid w:val="00824407"/>
    <w:rsid w:val="00824669"/>
    <w:rsid w:val="00824CA3"/>
    <w:rsid w:val="0082605C"/>
    <w:rsid w:val="008261F1"/>
    <w:rsid w:val="008263D8"/>
    <w:rsid w:val="008266A7"/>
    <w:rsid w:val="00826E3F"/>
    <w:rsid w:val="00827198"/>
    <w:rsid w:val="008271EF"/>
    <w:rsid w:val="00827469"/>
    <w:rsid w:val="00827539"/>
    <w:rsid w:val="0082770D"/>
    <w:rsid w:val="00827C5C"/>
    <w:rsid w:val="00827E07"/>
    <w:rsid w:val="008302D6"/>
    <w:rsid w:val="00830FF9"/>
    <w:rsid w:val="008315C8"/>
    <w:rsid w:val="0083167A"/>
    <w:rsid w:val="00832036"/>
    <w:rsid w:val="008321DB"/>
    <w:rsid w:val="00832709"/>
    <w:rsid w:val="00832BC4"/>
    <w:rsid w:val="0083311E"/>
    <w:rsid w:val="0083345C"/>
    <w:rsid w:val="008335E3"/>
    <w:rsid w:val="008359E9"/>
    <w:rsid w:val="008360E8"/>
    <w:rsid w:val="00836B18"/>
    <w:rsid w:val="00836EFC"/>
    <w:rsid w:val="008371A8"/>
    <w:rsid w:val="00837366"/>
    <w:rsid w:val="008376EE"/>
    <w:rsid w:val="00837800"/>
    <w:rsid w:val="00837964"/>
    <w:rsid w:val="00837B91"/>
    <w:rsid w:val="00840260"/>
    <w:rsid w:val="00841037"/>
    <w:rsid w:val="008412E2"/>
    <w:rsid w:val="00841BBF"/>
    <w:rsid w:val="00842430"/>
    <w:rsid w:val="00842E17"/>
    <w:rsid w:val="00843701"/>
    <w:rsid w:val="00843869"/>
    <w:rsid w:val="0084389B"/>
    <w:rsid w:val="00843BF6"/>
    <w:rsid w:val="00844965"/>
    <w:rsid w:val="008457E4"/>
    <w:rsid w:val="008458C3"/>
    <w:rsid w:val="00846414"/>
    <w:rsid w:val="008464A1"/>
    <w:rsid w:val="008464C6"/>
    <w:rsid w:val="00846CF6"/>
    <w:rsid w:val="0084789B"/>
    <w:rsid w:val="00850438"/>
    <w:rsid w:val="008504C5"/>
    <w:rsid w:val="00850509"/>
    <w:rsid w:val="0085070A"/>
    <w:rsid w:val="00850A03"/>
    <w:rsid w:val="00850F01"/>
    <w:rsid w:val="008511BD"/>
    <w:rsid w:val="00851A5A"/>
    <w:rsid w:val="00851C83"/>
    <w:rsid w:val="008531DC"/>
    <w:rsid w:val="008533A0"/>
    <w:rsid w:val="0085354D"/>
    <w:rsid w:val="0085420D"/>
    <w:rsid w:val="00854BA5"/>
    <w:rsid w:val="00854D7E"/>
    <w:rsid w:val="00855907"/>
    <w:rsid w:val="00855F33"/>
    <w:rsid w:val="00856151"/>
    <w:rsid w:val="0085623F"/>
    <w:rsid w:val="00856332"/>
    <w:rsid w:val="00856E4B"/>
    <w:rsid w:val="0085702E"/>
    <w:rsid w:val="008570DD"/>
    <w:rsid w:val="00857A3F"/>
    <w:rsid w:val="00857AD7"/>
    <w:rsid w:val="00857CCB"/>
    <w:rsid w:val="00860AAF"/>
    <w:rsid w:val="00860BC1"/>
    <w:rsid w:val="00860C30"/>
    <w:rsid w:val="008612FB"/>
    <w:rsid w:val="00862DA4"/>
    <w:rsid w:val="00862FA4"/>
    <w:rsid w:val="00863AD9"/>
    <w:rsid w:val="00864565"/>
    <w:rsid w:val="008649BC"/>
    <w:rsid w:val="0086529D"/>
    <w:rsid w:val="00865B44"/>
    <w:rsid w:val="00866653"/>
    <w:rsid w:val="008671D8"/>
    <w:rsid w:val="00867324"/>
    <w:rsid w:val="00867A65"/>
    <w:rsid w:val="00870CB6"/>
    <w:rsid w:val="00870CE0"/>
    <w:rsid w:val="00870E38"/>
    <w:rsid w:val="008718B2"/>
    <w:rsid w:val="00871C41"/>
    <w:rsid w:val="00871DAD"/>
    <w:rsid w:val="00872AC1"/>
    <w:rsid w:val="00872ADE"/>
    <w:rsid w:val="00872E0E"/>
    <w:rsid w:val="00872EAB"/>
    <w:rsid w:val="00873594"/>
    <w:rsid w:val="00873914"/>
    <w:rsid w:val="00873E9C"/>
    <w:rsid w:val="008743F6"/>
    <w:rsid w:val="0087450B"/>
    <w:rsid w:val="00875565"/>
    <w:rsid w:val="00875B2D"/>
    <w:rsid w:val="00875E46"/>
    <w:rsid w:val="0087657D"/>
    <w:rsid w:val="008766CE"/>
    <w:rsid w:val="00876E98"/>
    <w:rsid w:val="00876F22"/>
    <w:rsid w:val="00876F4D"/>
    <w:rsid w:val="00877D76"/>
    <w:rsid w:val="00877E16"/>
    <w:rsid w:val="008804A3"/>
    <w:rsid w:val="0088088B"/>
    <w:rsid w:val="00880D15"/>
    <w:rsid w:val="00881368"/>
    <w:rsid w:val="00881D81"/>
    <w:rsid w:val="00882BC7"/>
    <w:rsid w:val="00884D33"/>
    <w:rsid w:val="00884D84"/>
    <w:rsid w:val="00885284"/>
    <w:rsid w:val="00885664"/>
    <w:rsid w:val="00885919"/>
    <w:rsid w:val="00885CD4"/>
    <w:rsid w:val="0088636D"/>
    <w:rsid w:val="00886DFB"/>
    <w:rsid w:val="00886F2A"/>
    <w:rsid w:val="00887D1B"/>
    <w:rsid w:val="00890187"/>
    <w:rsid w:val="0089073A"/>
    <w:rsid w:val="008907B3"/>
    <w:rsid w:val="00890E54"/>
    <w:rsid w:val="0089121A"/>
    <w:rsid w:val="00891221"/>
    <w:rsid w:val="00891AE6"/>
    <w:rsid w:val="008925EB"/>
    <w:rsid w:val="008928B7"/>
    <w:rsid w:val="00893844"/>
    <w:rsid w:val="00893AC2"/>
    <w:rsid w:val="00893FA9"/>
    <w:rsid w:val="008942A4"/>
    <w:rsid w:val="00894673"/>
    <w:rsid w:val="00894DE4"/>
    <w:rsid w:val="00895490"/>
    <w:rsid w:val="00895B0F"/>
    <w:rsid w:val="00895BCC"/>
    <w:rsid w:val="00895C97"/>
    <w:rsid w:val="00895F81"/>
    <w:rsid w:val="00896445"/>
    <w:rsid w:val="00896BA7"/>
    <w:rsid w:val="00896C09"/>
    <w:rsid w:val="00896F5D"/>
    <w:rsid w:val="0089752A"/>
    <w:rsid w:val="008976B2"/>
    <w:rsid w:val="0089791C"/>
    <w:rsid w:val="00897D30"/>
    <w:rsid w:val="008A06BD"/>
    <w:rsid w:val="008A0867"/>
    <w:rsid w:val="008A1495"/>
    <w:rsid w:val="008A15ED"/>
    <w:rsid w:val="008A183E"/>
    <w:rsid w:val="008A1A22"/>
    <w:rsid w:val="008A2281"/>
    <w:rsid w:val="008A2419"/>
    <w:rsid w:val="008A2B53"/>
    <w:rsid w:val="008A306F"/>
    <w:rsid w:val="008A38D8"/>
    <w:rsid w:val="008A3D52"/>
    <w:rsid w:val="008A3DED"/>
    <w:rsid w:val="008A5027"/>
    <w:rsid w:val="008A58E0"/>
    <w:rsid w:val="008A5C4D"/>
    <w:rsid w:val="008A6032"/>
    <w:rsid w:val="008A6470"/>
    <w:rsid w:val="008A64F6"/>
    <w:rsid w:val="008A6ABC"/>
    <w:rsid w:val="008A7871"/>
    <w:rsid w:val="008A7B03"/>
    <w:rsid w:val="008A7FB8"/>
    <w:rsid w:val="008B011E"/>
    <w:rsid w:val="008B02B0"/>
    <w:rsid w:val="008B0431"/>
    <w:rsid w:val="008B07CF"/>
    <w:rsid w:val="008B0A02"/>
    <w:rsid w:val="008B14B7"/>
    <w:rsid w:val="008B2044"/>
    <w:rsid w:val="008B2484"/>
    <w:rsid w:val="008B287A"/>
    <w:rsid w:val="008B2D4B"/>
    <w:rsid w:val="008B2E49"/>
    <w:rsid w:val="008B328F"/>
    <w:rsid w:val="008B3C70"/>
    <w:rsid w:val="008B3EB9"/>
    <w:rsid w:val="008B440D"/>
    <w:rsid w:val="008B4861"/>
    <w:rsid w:val="008B49F3"/>
    <w:rsid w:val="008B4CC8"/>
    <w:rsid w:val="008B4FBA"/>
    <w:rsid w:val="008B6142"/>
    <w:rsid w:val="008B6351"/>
    <w:rsid w:val="008B6AA6"/>
    <w:rsid w:val="008B742A"/>
    <w:rsid w:val="008B79EA"/>
    <w:rsid w:val="008B7B96"/>
    <w:rsid w:val="008C0321"/>
    <w:rsid w:val="008C1973"/>
    <w:rsid w:val="008C1CED"/>
    <w:rsid w:val="008C252C"/>
    <w:rsid w:val="008C2958"/>
    <w:rsid w:val="008C2DEC"/>
    <w:rsid w:val="008C34CF"/>
    <w:rsid w:val="008C36DA"/>
    <w:rsid w:val="008C3A32"/>
    <w:rsid w:val="008C3C59"/>
    <w:rsid w:val="008C4800"/>
    <w:rsid w:val="008C493E"/>
    <w:rsid w:val="008C5A0F"/>
    <w:rsid w:val="008C5EAA"/>
    <w:rsid w:val="008C6445"/>
    <w:rsid w:val="008C6964"/>
    <w:rsid w:val="008C6FB4"/>
    <w:rsid w:val="008C719C"/>
    <w:rsid w:val="008C7D2E"/>
    <w:rsid w:val="008D043E"/>
    <w:rsid w:val="008D09A4"/>
    <w:rsid w:val="008D10DD"/>
    <w:rsid w:val="008D116A"/>
    <w:rsid w:val="008D124B"/>
    <w:rsid w:val="008D1455"/>
    <w:rsid w:val="008D1493"/>
    <w:rsid w:val="008D1AB4"/>
    <w:rsid w:val="008D2743"/>
    <w:rsid w:val="008D2D17"/>
    <w:rsid w:val="008D3B59"/>
    <w:rsid w:val="008D3C96"/>
    <w:rsid w:val="008D4845"/>
    <w:rsid w:val="008D555A"/>
    <w:rsid w:val="008D55A9"/>
    <w:rsid w:val="008D5C8B"/>
    <w:rsid w:val="008D5ED4"/>
    <w:rsid w:val="008D6097"/>
    <w:rsid w:val="008D6946"/>
    <w:rsid w:val="008D6E2A"/>
    <w:rsid w:val="008D753D"/>
    <w:rsid w:val="008D7B0B"/>
    <w:rsid w:val="008E0815"/>
    <w:rsid w:val="008E0EA2"/>
    <w:rsid w:val="008E1C96"/>
    <w:rsid w:val="008E1D21"/>
    <w:rsid w:val="008E1D79"/>
    <w:rsid w:val="008E2E6F"/>
    <w:rsid w:val="008E31A8"/>
    <w:rsid w:val="008E33B7"/>
    <w:rsid w:val="008E3736"/>
    <w:rsid w:val="008E4BB0"/>
    <w:rsid w:val="008E4CA9"/>
    <w:rsid w:val="008E4E11"/>
    <w:rsid w:val="008E527B"/>
    <w:rsid w:val="008E6149"/>
    <w:rsid w:val="008E61CE"/>
    <w:rsid w:val="008E6258"/>
    <w:rsid w:val="008E637C"/>
    <w:rsid w:val="008E7294"/>
    <w:rsid w:val="008E73AB"/>
    <w:rsid w:val="008E7EAD"/>
    <w:rsid w:val="008F0FBE"/>
    <w:rsid w:val="008F1080"/>
    <w:rsid w:val="008F111D"/>
    <w:rsid w:val="008F1175"/>
    <w:rsid w:val="008F211C"/>
    <w:rsid w:val="008F2457"/>
    <w:rsid w:val="008F3A2A"/>
    <w:rsid w:val="008F3AAB"/>
    <w:rsid w:val="008F400B"/>
    <w:rsid w:val="008F46C5"/>
    <w:rsid w:val="008F4B0F"/>
    <w:rsid w:val="008F4C18"/>
    <w:rsid w:val="008F4F6D"/>
    <w:rsid w:val="008F50DD"/>
    <w:rsid w:val="008F5DDF"/>
    <w:rsid w:val="008F5FB4"/>
    <w:rsid w:val="008F63D4"/>
    <w:rsid w:val="008F6C40"/>
    <w:rsid w:val="008F73E3"/>
    <w:rsid w:val="008F7CAA"/>
    <w:rsid w:val="008F7F13"/>
    <w:rsid w:val="008F7F29"/>
    <w:rsid w:val="00900827"/>
    <w:rsid w:val="00900D56"/>
    <w:rsid w:val="009016A5"/>
    <w:rsid w:val="0090183C"/>
    <w:rsid w:val="009018B8"/>
    <w:rsid w:val="00902094"/>
    <w:rsid w:val="00902DE9"/>
    <w:rsid w:val="0090323E"/>
    <w:rsid w:val="0090337B"/>
    <w:rsid w:val="00903EFA"/>
    <w:rsid w:val="00904088"/>
    <w:rsid w:val="009050B8"/>
    <w:rsid w:val="009054BE"/>
    <w:rsid w:val="009054C7"/>
    <w:rsid w:val="009054D3"/>
    <w:rsid w:val="00905DC2"/>
    <w:rsid w:val="00906992"/>
    <w:rsid w:val="00906995"/>
    <w:rsid w:val="00906B21"/>
    <w:rsid w:val="009073BC"/>
    <w:rsid w:val="009078BD"/>
    <w:rsid w:val="009106F4"/>
    <w:rsid w:val="009107BF"/>
    <w:rsid w:val="009115B9"/>
    <w:rsid w:val="00911868"/>
    <w:rsid w:val="0091218A"/>
    <w:rsid w:val="009128D0"/>
    <w:rsid w:val="00912E97"/>
    <w:rsid w:val="00913A32"/>
    <w:rsid w:val="00914270"/>
    <w:rsid w:val="0091456F"/>
    <w:rsid w:val="009154D6"/>
    <w:rsid w:val="00915B60"/>
    <w:rsid w:val="00916250"/>
    <w:rsid w:val="009163AD"/>
    <w:rsid w:val="00916480"/>
    <w:rsid w:val="00916A98"/>
    <w:rsid w:val="00916C98"/>
    <w:rsid w:val="00916E8B"/>
    <w:rsid w:val="009170CB"/>
    <w:rsid w:val="0091774D"/>
    <w:rsid w:val="009177F1"/>
    <w:rsid w:val="00917950"/>
    <w:rsid w:val="00917EC7"/>
    <w:rsid w:val="00920A0E"/>
    <w:rsid w:val="00920E82"/>
    <w:rsid w:val="00920F27"/>
    <w:rsid w:val="00921A28"/>
    <w:rsid w:val="00921A44"/>
    <w:rsid w:val="00921CEC"/>
    <w:rsid w:val="00921DD6"/>
    <w:rsid w:val="0092271F"/>
    <w:rsid w:val="00922813"/>
    <w:rsid w:val="00922E4C"/>
    <w:rsid w:val="0092358B"/>
    <w:rsid w:val="009246C6"/>
    <w:rsid w:val="0092488A"/>
    <w:rsid w:val="00924A3E"/>
    <w:rsid w:val="009250F2"/>
    <w:rsid w:val="0092575C"/>
    <w:rsid w:val="00925C6C"/>
    <w:rsid w:val="00926510"/>
    <w:rsid w:val="00926561"/>
    <w:rsid w:val="00926EDD"/>
    <w:rsid w:val="00927025"/>
    <w:rsid w:val="009276BA"/>
    <w:rsid w:val="00927A9C"/>
    <w:rsid w:val="0093044D"/>
    <w:rsid w:val="00931C82"/>
    <w:rsid w:val="00931D85"/>
    <w:rsid w:val="00932433"/>
    <w:rsid w:val="00932624"/>
    <w:rsid w:val="00932752"/>
    <w:rsid w:val="00932EEE"/>
    <w:rsid w:val="009335C9"/>
    <w:rsid w:val="009339FE"/>
    <w:rsid w:val="009341F2"/>
    <w:rsid w:val="00934484"/>
    <w:rsid w:val="009344C8"/>
    <w:rsid w:val="00934C8C"/>
    <w:rsid w:val="00934DA5"/>
    <w:rsid w:val="009353F2"/>
    <w:rsid w:val="0093576A"/>
    <w:rsid w:val="00935E36"/>
    <w:rsid w:val="00935EE6"/>
    <w:rsid w:val="0093670E"/>
    <w:rsid w:val="00936B1B"/>
    <w:rsid w:val="00936C7B"/>
    <w:rsid w:val="0093726E"/>
    <w:rsid w:val="009375C9"/>
    <w:rsid w:val="009378FF"/>
    <w:rsid w:val="00937916"/>
    <w:rsid w:val="00937ACE"/>
    <w:rsid w:val="00937BA9"/>
    <w:rsid w:val="00937F06"/>
    <w:rsid w:val="00940627"/>
    <w:rsid w:val="00940F9E"/>
    <w:rsid w:val="0094130D"/>
    <w:rsid w:val="009415ED"/>
    <w:rsid w:val="0094172E"/>
    <w:rsid w:val="00942687"/>
    <w:rsid w:val="009426C3"/>
    <w:rsid w:val="009429FC"/>
    <w:rsid w:val="00943213"/>
    <w:rsid w:val="0094413D"/>
    <w:rsid w:val="009444F5"/>
    <w:rsid w:val="0094575D"/>
    <w:rsid w:val="009457AC"/>
    <w:rsid w:val="00945B32"/>
    <w:rsid w:val="00945B75"/>
    <w:rsid w:val="00946A0B"/>
    <w:rsid w:val="00946C43"/>
    <w:rsid w:val="0094737C"/>
    <w:rsid w:val="00947706"/>
    <w:rsid w:val="0094785A"/>
    <w:rsid w:val="00947EB5"/>
    <w:rsid w:val="0095010F"/>
    <w:rsid w:val="009504F2"/>
    <w:rsid w:val="009507AB"/>
    <w:rsid w:val="009516EF"/>
    <w:rsid w:val="009520D9"/>
    <w:rsid w:val="0095217E"/>
    <w:rsid w:val="009528E9"/>
    <w:rsid w:val="00952BC2"/>
    <w:rsid w:val="00953479"/>
    <w:rsid w:val="0095359E"/>
    <w:rsid w:val="009547BA"/>
    <w:rsid w:val="009549DD"/>
    <w:rsid w:val="00954A95"/>
    <w:rsid w:val="00954F5C"/>
    <w:rsid w:val="00955B33"/>
    <w:rsid w:val="00957062"/>
    <w:rsid w:val="0095735D"/>
    <w:rsid w:val="00957617"/>
    <w:rsid w:val="0096010B"/>
    <w:rsid w:val="0096011E"/>
    <w:rsid w:val="009603CF"/>
    <w:rsid w:val="0096061D"/>
    <w:rsid w:val="00961165"/>
    <w:rsid w:val="0096147E"/>
    <w:rsid w:val="009618C4"/>
    <w:rsid w:val="00961AF8"/>
    <w:rsid w:val="00961B7B"/>
    <w:rsid w:val="0096363E"/>
    <w:rsid w:val="009637BA"/>
    <w:rsid w:val="0096383B"/>
    <w:rsid w:val="00963F9B"/>
    <w:rsid w:val="00964423"/>
    <w:rsid w:val="00965868"/>
    <w:rsid w:val="00965D91"/>
    <w:rsid w:val="00965F9E"/>
    <w:rsid w:val="009674D0"/>
    <w:rsid w:val="00967B40"/>
    <w:rsid w:val="00970406"/>
    <w:rsid w:val="009705D7"/>
    <w:rsid w:val="009705EC"/>
    <w:rsid w:val="0097075A"/>
    <w:rsid w:val="009708F2"/>
    <w:rsid w:val="00971081"/>
    <w:rsid w:val="00971AD1"/>
    <w:rsid w:val="00971EAC"/>
    <w:rsid w:val="009721C2"/>
    <w:rsid w:val="00972FB4"/>
    <w:rsid w:val="00973382"/>
    <w:rsid w:val="009744DA"/>
    <w:rsid w:val="00974EC6"/>
    <w:rsid w:val="00975913"/>
    <w:rsid w:val="00975E34"/>
    <w:rsid w:val="00977D95"/>
    <w:rsid w:val="0098020C"/>
    <w:rsid w:val="00980781"/>
    <w:rsid w:val="0098089E"/>
    <w:rsid w:val="00980A46"/>
    <w:rsid w:val="00980E82"/>
    <w:rsid w:val="009815BD"/>
    <w:rsid w:val="009817D5"/>
    <w:rsid w:val="00981844"/>
    <w:rsid w:val="00981F44"/>
    <w:rsid w:val="009822D5"/>
    <w:rsid w:val="00982B91"/>
    <w:rsid w:val="00982D7D"/>
    <w:rsid w:val="009835B0"/>
    <w:rsid w:val="00983BE0"/>
    <w:rsid w:val="00984245"/>
    <w:rsid w:val="00984850"/>
    <w:rsid w:val="009855A2"/>
    <w:rsid w:val="00986C2E"/>
    <w:rsid w:val="00987196"/>
    <w:rsid w:val="00987C95"/>
    <w:rsid w:val="00987D34"/>
    <w:rsid w:val="00990091"/>
    <w:rsid w:val="00990502"/>
    <w:rsid w:val="00990D26"/>
    <w:rsid w:val="00990D98"/>
    <w:rsid w:val="00990E61"/>
    <w:rsid w:val="009911FA"/>
    <w:rsid w:val="00991BB6"/>
    <w:rsid w:val="00991C59"/>
    <w:rsid w:val="00991CC7"/>
    <w:rsid w:val="00991D57"/>
    <w:rsid w:val="009923A8"/>
    <w:rsid w:val="009925D9"/>
    <w:rsid w:val="009929E7"/>
    <w:rsid w:val="00992A41"/>
    <w:rsid w:val="00992D27"/>
    <w:rsid w:val="00992D63"/>
    <w:rsid w:val="00993684"/>
    <w:rsid w:val="00993D1E"/>
    <w:rsid w:val="00994091"/>
    <w:rsid w:val="009941FC"/>
    <w:rsid w:val="0099434C"/>
    <w:rsid w:val="009950E0"/>
    <w:rsid w:val="00996425"/>
    <w:rsid w:val="0099724F"/>
    <w:rsid w:val="009975E7"/>
    <w:rsid w:val="00997893"/>
    <w:rsid w:val="009A03C0"/>
    <w:rsid w:val="009A18E6"/>
    <w:rsid w:val="009A19F2"/>
    <w:rsid w:val="009A1A70"/>
    <w:rsid w:val="009A1EB4"/>
    <w:rsid w:val="009A1EFE"/>
    <w:rsid w:val="009A2655"/>
    <w:rsid w:val="009A270A"/>
    <w:rsid w:val="009A27C0"/>
    <w:rsid w:val="009A2BF2"/>
    <w:rsid w:val="009A4365"/>
    <w:rsid w:val="009A43C3"/>
    <w:rsid w:val="009A46A6"/>
    <w:rsid w:val="009A49EF"/>
    <w:rsid w:val="009A4B2A"/>
    <w:rsid w:val="009A4FA6"/>
    <w:rsid w:val="009A5C9B"/>
    <w:rsid w:val="009A5FAC"/>
    <w:rsid w:val="009A603E"/>
    <w:rsid w:val="009A66B4"/>
    <w:rsid w:val="009A68A2"/>
    <w:rsid w:val="009B0BB3"/>
    <w:rsid w:val="009B1186"/>
    <w:rsid w:val="009B1E21"/>
    <w:rsid w:val="009B212F"/>
    <w:rsid w:val="009B30C2"/>
    <w:rsid w:val="009B42A7"/>
    <w:rsid w:val="009B4E58"/>
    <w:rsid w:val="009B53F1"/>
    <w:rsid w:val="009B59A6"/>
    <w:rsid w:val="009B5BC7"/>
    <w:rsid w:val="009B5FB1"/>
    <w:rsid w:val="009B62DE"/>
    <w:rsid w:val="009B6FC9"/>
    <w:rsid w:val="009B7E6B"/>
    <w:rsid w:val="009B7F0D"/>
    <w:rsid w:val="009C01AF"/>
    <w:rsid w:val="009C03C1"/>
    <w:rsid w:val="009C0748"/>
    <w:rsid w:val="009C080E"/>
    <w:rsid w:val="009C0942"/>
    <w:rsid w:val="009C0B31"/>
    <w:rsid w:val="009C0D08"/>
    <w:rsid w:val="009C12F1"/>
    <w:rsid w:val="009C170B"/>
    <w:rsid w:val="009C1C10"/>
    <w:rsid w:val="009C1F9D"/>
    <w:rsid w:val="009C2D6C"/>
    <w:rsid w:val="009C3490"/>
    <w:rsid w:val="009C367E"/>
    <w:rsid w:val="009C37DB"/>
    <w:rsid w:val="009C393A"/>
    <w:rsid w:val="009C40FE"/>
    <w:rsid w:val="009C4D56"/>
    <w:rsid w:val="009C4F2F"/>
    <w:rsid w:val="009C5059"/>
    <w:rsid w:val="009C51B0"/>
    <w:rsid w:val="009C548F"/>
    <w:rsid w:val="009C6152"/>
    <w:rsid w:val="009C6402"/>
    <w:rsid w:val="009C6EC3"/>
    <w:rsid w:val="009C7234"/>
    <w:rsid w:val="009C7277"/>
    <w:rsid w:val="009C7892"/>
    <w:rsid w:val="009C7C10"/>
    <w:rsid w:val="009D01C5"/>
    <w:rsid w:val="009D069A"/>
    <w:rsid w:val="009D09E0"/>
    <w:rsid w:val="009D0B51"/>
    <w:rsid w:val="009D2172"/>
    <w:rsid w:val="009D2B20"/>
    <w:rsid w:val="009D2C08"/>
    <w:rsid w:val="009D31A7"/>
    <w:rsid w:val="009D32B9"/>
    <w:rsid w:val="009D3315"/>
    <w:rsid w:val="009D378F"/>
    <w:rsid w:val="009D3AA7"/>
    <w:rsid w:val="009D4234"/>
    <w:rsid w:val="009D4B5F"/>
    <w:rsid w:val="009D547B"/>
    <w:rsid w:val="009D59C1"/>
    <w:rsid w:val="009D5E3D"/>
    <w:rsid w:val="009D6572"/>
    <w:rsid w:val="009D6944"/>
    <w:rsid w:val="009D6AB1"/>
    <w:rsid w:val="009D7360"/>
    <w:rsid w:val="009E02E3"/>
    <w:rsid w:val="009E0563"/>
    <w:rsid w:val="009E0CA5"/>
    <w:rsid w:val="009E0E26"/>
    <w:rsid w:val="009E10B6"/>
    <w:rsid w:val="009E10F5"/>
    <w:rsid w:val="009E1AB9"/>
    <w:rsid w:val="009E1D87"/>
    <w:rsid w:val="009E2066"/>
    <w:rsid w:val="009E25C6"/>
    <w:rsid w:val="009E34D2"/>
    <w:rsid w:val="009E3517"/>
    <w:rsid w:val="009E3CC5"/>
    <w:rsid w:val="009E588C"/>
    <w:rsid w:val="009E6350"/>
    <w:rsid w:val="009E68A1"/>
    <w:rsid w:val="009E6A49"/>
    <w:rsid w:val="009E6CEE"/>
    <w:rsid w:val="009E6DB5"/>
    <w:rsid w:val="009E788F"/>
    <w:rsid w:val="009F0258"/>
    <w:rsid w:val="009F03FA"/>
    <w:rsid w:val="009F08ED"/>
    <w:rsid w:val="009F0CFC"/>
    <w:rsid w:val="009F10B9"/>
    <w:rsid w:val="009F1DC8"/>
    <w:rsid w:val="009F2203"/>
    <w:rsid w:val="009F231F"/>
    <w:rsid w:val="009F2906"/>
    <w:rsid w:val="009F2C46"/>
    <w:rsid w:val="009F362B"/>
    <w:rsid w:val="009F4282"/>
    <w:rsid w:val="009F4A03"/>
    <w:rsid w:val="009F4B6F"/>
    <w:rsid w:val="009F4CCC"/>
    <w:rsid w:val="009F56DC"/>
    <w:rsid w:val="009F616F"/>
    <w:rsid w:val="009F73BA"/>
    <w:rsid w:val="009F7FB4"/>
    <w:rsid w:val="00A0038E"/>
    <w:rsid w:val="00A003AC"/>
    <w:rsid w:val="00A00CEB"/>
    <w:rsid w:val="00A011EC"/>
    <w:rsid w:val="00A013EC"/>
    <w:rsid w:val="00A01788"/>
    <w:rsid w:val="00A02B0E"/>
    <w:rsid w:val="00A03ABB"/>
    <w:rsid w:val="00A03CDE"/>
    <w:rsid w:val="00A04CEB"/>
    <w:rsid w:val="00A05191"/>
    <w:rsid w:val="00A05AC3"/>
    <w:rsid w:val="00A06503"/>
    <w:rsid w:val="00A06595"/>
    <w:rsid w:val="00A071FB"/>
    <w:rsid w:val="00A07B26"/>
    <w:rsid w:val="00A07E42"/>
    <w:rsid w:val="00A07EEA"/>
    <w:rsid w:val="00A10195"/>
    <w:rsid w:val="00A103BA"/>
    <w:rsid w:val="00A10561"/>
    <w:rsid w:val="00A10B7A"/>
    <w:rsid w:val="00A11819"/>
    <w:rsid w:val="00A11E89"/>
    <w:rsid w:val="00A12256"/>
    <w:rsid w:val="00A12303"/>
    <w:rsid w:val="00A126F8"/>
    <w:rsid w:val="00A1286B"/>
    <w:rsid w:val="00A132AC"/>
    <w:rsid w:val="00A1332D"/>
    <w:rsid w:val="00A1387C"/>
    <w:rsid w:val="00A14674"/>
    <w:rsid w:val="00A1510E"/>
    <w:rsid w:val="00A1518F"/>
    <w:rsid w:val="00A15C10"/>
    <w:rsid w:val="00A15D9B"/>
    <w:rsid w:val="00A15F45"/>
    <w:rsid w:val="00A16615"/>
    <w:rsid w:val="00A169F3"/>
    <w:rsid w:val="00A17060"/>
    <w:rsid w:val="00A17C41"/>
    <w:rsid w:val="00A17F02"/>
    <w:rsid w:val="00A17F6A"/>
    <w:rsid w:val="00A20015"/>
    <w:rsid w:val="00A201EF"/>
    <w:rsid w:val="00A20892"/>
    <w:rsid w:val="00A21220"/>
    <w:rsid w:val="00A213EF"/>
    <w:rsid w:val="00A2174F"/>
    <w:rsid w:val="00A21D66"/>
    <w:rsid w:val="00A21E6F"/>
    <w:rsid w:val="00A23BCD"/>
    <w:rsid w:val="00A23C0D"/>
    <w:rsid w:val="00A23F2D"/>
    <w:rsid w:val="00A24936"/>
    <w:rsid w:val="00A24C42"/>
    <w:rsid w:val="00A24D98"/>
    <w:rsid w:val="00A25240"/>
    <w:rsid w:val="00A25313"/>
    <w:rsid w:val="00A25596"/>
    <w:rsid w:val="00A25C6A"/>
    <w:rsid w:val="00A26020"/>
    <w:rsid w:val="00A261E0"/>
    <w:rsid w:val="00A265E9"/>
    <w:rsid w:val="00A269F3"/>
    <w:rsid w:val="00A2794E"/>
    <w:rsid w:val="00A27BCE"/>
    <w:rsid w:val="00A3016B"/>
    <w:rsid w:val="00A3017C"/>
    <w:rsid w:val="00A3031D"/>
    <w:rsid w:val="00A307EE"/>
    <w:rsid w:val="00A30ADF"/>
    <w:rsid w:val="00A30EBD"/>
    <w:rsid w:val="00A31712"/>
    <w:rsid w:val="00A319D8"/>
    <w:rsid w:val="00A31DB3"/>
    <w:rsid w:val="00A31E7B"/>
    <w:rsid w:val="00A325F9"/>
    <w:rsid w:val="00A32790"/>
    <w:rsid w:val="00A32B41"/>
    <w:rsid w:val="00A32F60"/>
    <w:rsid w:val="00A3334D"/>
    <w:rsid w:val="00A34EF9"/>
    <w:rsid w:val="00A353E0"/>
    <w:rsid w:val="00A35C26"/>
    <w:rsid w:val="00A35FEC"/>
    <w:rsid w:val="00A3633D"/>
    <w:rsid w:val="00A36F90"/>
    <w:rsid w:val="00A37786"/>
    <w:rsid w:val="00A3780B"/>
    <w:rsid w:val="00A37D9B"/>
    <w:rsid w:val="00A40059"/>
    <w:rsid w:val="00A4061B"/>
    <w:rsid w:val="00A413BD"/>
    <w:rsid w:val="00A41D80"/>
    <w:rsid w:val="00A420BE"/>
    <w:rsid w:val="00A4250F"/>
    <w:rsid w:val="00A4254F"/>
    <w:rsid w:val="00A428A9"/>
    <w:rsid w:val="00A434CE"/>
    <w:rsid w:val="00A4358D"/>
    <w:rsid w:val="00A4363F"/>
    <w:rsid w:val="00A43FA9"/>
    <w:rsid w:val="00A44485"/>
    <w:rsid w:val="00A446BE"/>
    <w:rsid w:val="00A4475D"/>
    <w:rsid w:val="00A4533C"/>
    <w:rsid w:val="00A45761"/>
    <w:rsid w:val="00A45CC3"/>
    <w:rsid w:val="00A460B8"/>
    <w:rsid w:val="00A4619A"/>
    <w:rsid w:val="00A461EF"/>
    <w:rsid w:val="00A465E0"/>
    <w:rsid w:val="00A46671"/>
    <w:rsid w:val="00A479F4"/>
    <w:rsid w:val="00A47BB2"/>
    <w:rsid w:val="00A47E42"/>
    <w:rsid w:val="00A513E3"/>
    <w:rsid w:val="00A51670"/>
    <w:rsid w:val="00A52742"/>
    <w:rsid w:val="00A52E85"/>
    <w:rsid w:val="00A5370F"/>
    <w:rsid w:val="00A53848"/>
    <w:rsid w:val="00A53900"/>
    <w:rsid w:val="00A539E3"/>
    <w:rsid w:val="00A5432C"/>
    <w:rsid w:val="00A546DD"/>
    <w:rsid w:val="00A54DD6"/>
    <w:rsid w:val="00A55186"/>
    <w:rsid w:val="00A551ED"/>
    <w:rsid w:val="00A56403"/>
    <w:rsid w:val="00A56934"/>
    <w:rsid w:val="00A56B46"/>
    <w:rsid w:val="00A56C02"/>
    <w:rsid w:val="00A56C3F"/>
    <w:rsid w:val="00A5737B"/>
    <w:rsid w:val="00A57695"/>
    <w:rsid w:val="00A601A5"/>
    <w:rsid w:val="00A60657"/>
    <w:rsid w:val="00A606D7"/>
    <w:rsid w:val="00A60ED4"/>
    <w:rsid w:val="00A61745"/>
    <w:rsid w:val="00A61898"/>
    <w:rsid w:val="00A61A8B"/>
    <w:rsid w:val="00A61EE5"/>
    <w:rsid w:val="00A63906"/>
    <w:rsid w:val="00A639A6"/>
    <w:rsid w:val="00A63B36"/>
    <w:rsid w:val="00A63BB7"/>
    <w:rsid w:val="00A63CD1"/>
    <w:rsid w:val="00A6480D"/>
    <w:rsid w:val="00A648EC"/>
    <w:rsid w:val="00A64A16"/>
    <w:rsid w:val="00A656ED"/>
    <w:rsid w:val="00A65B53"/>
    <w:rsid w:val="00A66049"/>
    <w:rsid w:val="00A668AD"/>
    <w:rsid w:val="00A66DB2"/>
    <w:rsid w:val="00A66F87"/>
    <w:rsid w:val="00A670A1"/>
    <w:rsid w:val="00A672AB"/>
    <w:rsid w:val="00A67529"/>
    <w:rsid w:val="00A67E0F"/>
    <w:rsid w:val="00A701F8"/>
    <w:rsid w:val="00A7057F"/>
    <w:rsid w:val="00A719BB"/>
    <w:rsid w:val="00A7213D"/>
    <w:rsid w:val="00A72600"/>
    <w:rsid w:val="00A72790"/>
    <w:rsid w:val="00A72B91"/>
    <w:rsid w:val="00A72CF9"/>
    <w:rsid w:val="00A72FBB"/>
    <w:rsid w:val="00A730EA"/>
    <w:rsid w:val="00A73913"/>
    <w:rsid w:val="00A73BC4"/>
    <w:rsid w:val="00A73EA4"/>
    <w:rsid w:val="00A748E3"/>
    <w:rsid w:val="00A7557C"/>
    <w:rsid w:val="00A755A9"/>
    <w:rsid w:val="00A755CA"/>
    <w:rsid w:val="00A75814"/>
    <w:rsid w:val="00A75AF2"/>
    <w:rsid w:val="00A75D6E"/>
    <w:rsid w:val="00A762A0"/>
    <w:rsid w:val="00A76888"/>
    <w:rsid w:val="00A76B67"/>
    <w:rsid w:val="00A77C2F"/>
    <w:rsid w:val="00A77C7C"/>
    <w:rsid w:val="00A801ED"/>
    <w:rsid w:val="00A80B55"/>
    <w:rsid w:val="00A818A8"/>
    <w:rsid w:val="00A8245B"/>
    <w:rsid w:val="00A8267B"/>
    <w:rsid w:val="00A83160"/>
    <w:rsid w:val="00A836FF"/>
    <w:rsid w:val="00A83AE6"/>
    <w:rsid w:val="00A8406D"/>
    <w:rsid w:val="00A8446B"/>
    <w:rsid w:val="00A8448E"/>
    <w:rsid w:val="00A84C8F"/>
    <w:rsid w:val="00A84CBD"/>
    <w:rsid w:val="00A84F6C"/>
    <w:rsid w:val="00A84F72"/>
    <w:rsid w:val="00A859BC"/>
    <w:rsid w:val="00A8658E"/>
    <w:rsid w:val="00A87179"/>
    <w:rsid w:val="00A871E7"/>
    <w:rsid w:val="00A871EC"/>
    <w:rsid w:val="00A87DED"/>
    <w:rsid w:val="00A90272"/>
    <w:rsid w:val="00A90872"/>
    <w:rsid w:val="00A908FE"/>
    <w:rsid w:val="00A90CC3"/>
    <w:rsid w:val="00A922D3"/>
    <w:rsid w:val="00A923EC"/>
    <w:rsid w:val="00A92EEB"/>
    <w:rsid w:val="00A9305B"/>
    <w:rsid w:val="00A9358A"/>
    <w:rsid w:val="00A93D3E"/>
    <w:rsid w:val="00A943E1"/>
    <w:rsid w:val="00A94B72"/>
    <w:rsid w:val="00A95424"/>
    <w:rsid w:val="00A955F0"/>
    <w:rsid w:val="00A9633F"/>
    <w:rsid w:val="00A96600"/>
    <w:rsid w:val="00A96880"/>
    <w:rsid w:val="00A968A1"/>
    <w:rsid w:val="00AA0FAE"/>
    <w:rsid w:val="00AA12BE"/>
    <w:rsid w:val="00AA1E20"/>
    <w:rsid w:val="00AA217A"/>
    <w:rsid w:val="00AA27FC"/>
    <w:rsid w:val="00AA2C97"/>
    <w:rsid w:val="00AA2E41"/>
    <w:rsid w:val="00AA376A"/>
    <w:rsid w:val="00AA3E3D"/>
    <w:rsid w:val="00AA4013"/>
    <w:rsid w:val="00AA4077"/>
    <w:rsid w:val="00AA41D7"/>
    <w:rsid w:val="00AA5018"/>
    <w:rsid w:val="00AA5B08"/>
    <w:rsid w:val="00AA640D"/>
    <w:rsid w:val="00AA64C5"/>
    <w:rsid w:val="00AA6A91"/>
    <w:rsid w:val="00AA6F73"/>
    <w:rsid w:val="00AA71D1"/>
    <w:rsid w:val="00AA748C"/>
    <w:rsid w:val="00AA7874"/>
    <w:rsid w:val="00AA7971"/>
    <w:rsid w:val="00AB064A"/>
    <w:rsid w:val="00AB0898"/>
    <w:rsid w:val="00AB0ED5"/>
    <w:rsid w:val="00AB1068"/>
    <w:rsid w:val="00AB14B6"/>
    <w:rsid w:val="00AB1BF1"/>
    <w:rsid w:val="00AB1C19"/>
    <w:rsid w:val="00AB28E7"/>
    <w:rsid w:val="00AB2D84"/>
    <w:rsid w:val="00AB32E3"/>
    <w:rsid w:val="00AB369C"/>
    <w:rsid w:val="00AB3E8E"/>
    <w:rsid w:val="00AB4217"/>
    <w:rsid w:val="00AB4426"/>
    <w:rsid w:val="00AB473B"/>
    <w:rsid w:val="00AB4B9F"/>
    <w:rsid w:val="00AB4F3C"/>
    <w:rsid w:val="00AB5223"/>
    <w:rsid w:val="00AB54BD"/>
    <w:rsid w:val="00AB5FF1"/>
    <w:rsid w:val="00AB672D"/>
    <w:rsid w:val="00AB718C"/>
    <w:rsid w:val="00AB722A"/>
    <w:rsid w:val="00AB7286"/>
    <w:rsid w:val="00AB7676"/>
    <w:rsid w:val="00AB7690"/>
    <w:rsid w:val="00AB7D25"/>
    <w:rsid w:val="00AC03F3"/>
    <w:rsid w:val="00AC048A"/>
    <w:rsid w:val="00AC0853"/>
    <w:rsid w:val="00AC0BDC"/>
    <w:rsid w:val="00AC0C89"/>
    <w:rsid w:val="00AC10FC"/>
    <w:rsid w:val="00AC1F8A"/>
    <w:rsid w:val="00AC25D9"/>
    <w:rsid w:val="00AC27BB"/>
    <w:rsid w:val="00AC2C39"/>
    <w:rsid w:val="00AC34EE"/>
    <w:rsid w:val="00AC3C21"/>
    <w:rsid w:val="00AC42CE"/>
    <w:rsid w:val="00AC46EE"/>
    <w:rsid w:val="00AC67F9"/>
    <w:rsid w:val="00AC6ED4"/>
    <w:rsid w:val="00AC70EC"/>
    <w:rsid w:val="00AC7145"/>
    <w:rsid w:val="00AC7426"/>
    <w:rsid w:val="00AC77CF"/>
    <w:rsid w:val="00AD072F"/>
    <w:rsid w:val="00AD0824"/>
    <w:rsid w:val="00AD0C1A"/>
    <w:rsid w:val="00AD0C5E"/>
    <w:rsid w:val="00AD129E"/>
    <w:rsid w:val="00AD137B"/>
    <w:rsid w:val="00AD1611"/>
    <w:rsid w:val="00AD1DCB"/>
    <w:rsid w:val="00AD2582"/>
    <w:rsid w:val="00AD26E3"/>
    <w:rsid w:val="00AD3675"/>
    <w:rsid w:val="00AD3B21"/>
    <w:rsid w:val="00AD3E4B"/>
    <w:rsid w:val="00AD41EC"/>
    <w:rsid w:val="00AD4240"/>
    <w:rsid w:val="00AD44C7"/>
    <w:rsid w:val="00AD45BF"/>
    <w:rsid w:val="00AD4BDE"/>
    <w:rsid w:val="00AD5412"/>
    <w:rsid w:val="00AD5438"/>
    <w:rsid w:val="00AD54B3"/>
    <w:rsid w:val="00AD5A9D"/>
    <w:rsid w:val="00AD5E3B"/>
    <w:rsid w:val="00AD6300"/>
    <w:rsid w:val="00AD68E6"/>
    <w:rsid w:val="00AD6A52"/>
    <w:rsid w:val="00AD739C"/>
    <w:rsid w:val="00AD74E5"/>
    <w:rsid w:val="00AD76D3"/>
    <w:rsid w:val="00AD77D4"/>
    <w:rsid w:val="00AD7F63"/>
    <w:rsid w:val="00AE01F0"/>
    <w:rsid w:val="00AE0B94"/>
    <w:rsid w:val="00AE1419"/>
    <w:rsid w:val="00AE1689"/>
    <w:rsid w:val="00AE1C49"/>
    <w:rsid w:val="00AE2B0B"/>
    <w:rsid w:val="00AE34DC"/>
    <w:rsid w:val="00AE3C0D"/>
    <w:rsid w:val="00AE3D4D"/>
    <w:rsid w:val="00AE3D87"/>
    <w:rsid w:val="00AE40D0"/>
    <w:rsid w:val="00AE4209"/>
    <w:rsid w:val="00AE43ED"/>
    <w:rsid w:val="00AE4C65"/>
    <w:rsid w:val="00AE5464"/>
    <w:rsid w:val="00AE57D0"/>
    <w:rsid w:val="00AE591D"/>
    <w:rsid w:val="00AE5C29"/>
    <w:rsid w:val="00AE624E"/>
    <w:rsid w:val="00AE6728"/>
    <w:rsid w:val="00AE721C"/>
    <w:rsid w:val="00AE7481"/>
    <w:rsid w:val="00AE7551"/>
    <w:rsid w:val="00AE7862"/>
    <w:rsid w:val="00AF0329"/>
    <w:rsid w:val="00AF092D"/>
    <w:rsid w:val="00AF205B"/>
    <w:rsid w:val="00AF28AD"/>
    <w:rsid w:val="00AF3426"/>
    <w:rsid w:val="00AF34C4"/>
    <w:rsid w:val="00AF3D8F"/>
    <w:rsid w:val="00AF416E"/>
    <w:rsid w:val="00AF4A34"/>
    <w:rsid w:val="00AF4BB3"/>
    <w:rsid w:val="00AF53E2"/>
    <w:rsid w:val="00AF554A"/>
    <w:rsid w:val="00AF58AF"/>
    <w:rsid w:val="00AF5BEF"/>
    <w:rsid w:val="00AF5CAE"/>
    <w:rsid w:val="00AF6D69"/>
    <w:rsid w:val="00AF70C6"/>
    <w:rsid w:val="00AF78CE"/>
    <w:rsid w:val="00B00A3A"/>
    <w:rsid w:val="00B00B36"/>
    <w:rsid w:val="00B0133C"/>
    <w:rsid w:val="00B013D5"/>
    <w:rsid w:val="00B02312"/>
    <w:rsid w:val="00B02585"/>
    <w:rsid w:val="00B02997"/>
    <w:rsid w:val="00B02F55"/>
    <w:rsid w:val="00B037F9"/>
    <w:rsid w:val="00B0416F"/>
    <w:rsid w:val="00B041EB"/>
    <w:rsid w:val="00B0454C"/>
    <w:rsid w:val="00B0465E"/>
    <w:rsid w:val="00B046FF"/>
    <w:rsid w:val="00B047F5"/>
    <w:rsid w:val="00B04B2B"/>
    <w:rsid w:val="00B0555F"/>
    <w:rsid w:val="00B07188"/>
    <w:rsid w:val="00B073AF"/>
    <w:rsid w:val="00B07961"/>
    <w:rsid w:val="00B07A53"/>
    <w:rsid w:val="00B07F9F"/>
    <w:rsid w:val="00B101B3"/>
    <w:rsid w:val="00B1087A"/>
    <w:rsid w:val="00B116E0"/>
    <w:rsid w:val="00B12341"/>
    <w:rsid w:val="00B126FF"/>
    <w:rsid w:val="00B1374B"/>
    <w:rsid w:val="00B13CDE"/>
    <w:rsid w:val="00B13E05"/>
    <w:rsid w:val="00B13E97"/>
    <w:rsid w:val="00B13F75"/>
    <w:rsid w:val="00B141B0"/>
    <w:rsid w:val="00B14B91"/>
    <w:rsid w:val="00B14E92"/>
    <w:rsid w:val="00B15BC9"/>
    <w:rsid w:val="00B161D0"/>
    <w:rsid w:val="00B16549"/>
    <w:rsid w:val="00B1675B"/>
    <w:rsid w:val="00B16BAB"/>
    <w:rsid w:val="00B173B7"/>
    <w:rsid w:val="00B200AC"/>
    <w:rsid w:val="00B20314"/>
    <w:rsid w:val="00B20829"/>
    <w:rsid w:val="00B20A07"/>
    <w:rsid w:val="00B210DC"/>
    <w:rsid w:val="00B217A0"/>
    <w:rsid w:val="00B21858"/>
    <w:rsid w:val="00B22B3B"/>
    <w:rsid w:val="00B22F45"/>
    <w:rsid w:val="00B230C3"/>
    <w:rsid w:val="00B23899"/>
    <w:rsid w:val="00B238CD"/>
    <w:rsid w:val="00B23BAB"/>
    <w:rsid w:val="00B2443D"/>
    <w:rsid w:val="00B2453B"/>
    <w:rsid w:val="00B248CA"/>
    <w:rsid w:val="00B25107"/>
    <w:rsid w:val="00B2514F"/>
    <w:rsid w:val="00B254AB"/>
    <w:rsid w:val="00B260FD"/>
    <w:rsid w:val="00B262CE"/>
    <w:rsid w:val="00B266B5"/>
    <w:rsid w:val="00B26858"/>
    <w:rsid w:val="00B269F9"/>
    <w:rsid w:val="00B273BD"/>
    <w:rsid w:val="00B27CE5"/>
    <w:rsid w:val="00B3013D"/>
    <w:rsid w:val="00B302B8"/>
    <w:rsid w:val="00B3032C"/>
    <w:rsid w:val="00B31E0A"/>
    <w:rsid w:val="00B32005"/>
    <w:rsid w:val="00B32200"/>
    <w:rsid w:val="00B32872"/>
    <w:rsid w:val="00B32A8C"/>
    <w:rsid w:val="00B332B2"/>
    <w:rsid w:val="00B3396D"/>
    <w:rsid w:val="00B33C41"/>
    <w:rsid w:val="00B34081"/>
    <w:rsid w:val="00B343B6"/>
    <w:rsid w:val="00B35CA2"/>
    <w:rsid w:val="00B35F99"/>
    <w:rsid w:val="00B36267"/>
    <w:rsid w:val="00B36EC7"/>
    <w:rsid w:val="00B36F52"/>
    <w:rsid w:val="00B36FD6"/>
    <w:rsid w:val="00B375E9"/>
    <w:rsid w:val="00B37674"/>
    <w:rsid w:val="00B377C8"/>
    <w:rsid w:val="00B37B20"/>
    <w:rsid w:val="00B41E36"/>
    <w:rsid w:val="00B42500"/>
    <w:rsid w:val="00B42826"/>
    <w:rsid w:val="00B42E62"/>
    <w:rsid w:val="00B42F27"/>
    <w:rsid w:val="00B433EC"/>
    <w:rsid w:val="00B43943"/>
    <w:rsid w:val="00B43E5E"/>
    <w:rsid w:val="00B4465C"/>
    <w:rsid w:val="00B447D7"/>
    <w:rsid w:val="00B44DC4"/>
    <w:rsid w:val="00B45E4A"/>
    <w:rsid w:val="00B46165"/>
    <w:rsid w:val="00B469FE"/>
    <w:rsid w:val="00B46D93"/>
    <w:rsid w:val="00B46F7B"/>
    <w:rsid w:val="00B500D7"/>
    <w:rsid w:val="00B50234"/>
    <w:rsid w:val="00B50407"/>
    <w:rsid w:val="00B50795"/>
    <w:rsid w:val="00B50E9E"/>
    <w:rsid w:val="00B5119C"/>
    <w:rsid w:val="00B513AE"/>
    <w:rsid w:val="00B5160A"/>
    <w:rsid w:val="00B5174F"/>
    <w:rsid w:val="00B517D0"/>
    <w:rsid w:val="00B5264D"/>
    <w:rsid w:val="00B529BA"/>
    <w:rsid w:val="00B53EF2"/>
    <w:rsid w:val="00B541D3"/>
    <w:rsid w:val="00B54E97"/>
    <w:rsid w:val="00B54F93"/>
    <w:rsid w:val="00B55731"/>
    <w:rsid w:val="00B55B1C"/>
    <w:rsid w:val="00B55D54"/>
    <w:rsid w:val="00B561F1"/>
    <w:rsid w:val="00B5633E"/>
    <w:rsid w:val="00B56532"/>
    <w:rsid w:val="00B566DF"/>
    <w:rsid w:val="00B57637"/>
    <w:rsid w:val="00B57A9E"/>
    <w:rsid w:val="00B57B69"/>
    <w:rsid w:val="00B57DC4"/>
    <w:rsid w:val="00B600C7"/>
    <w:rsid w:val="00B600CD"/>
    <w:rsid w:val="00B60112"/>
    <w:rsid w:val="00B6070F"/>
    <w:rsid w:val="00B6084C"/>
    <w:rsid w:val="00B609F8"/>
    <w:rsid w:val="00B62266"/>
    <w:rsid w:val="00B62723"/>
    <w:rsid w:val="00B62EE0"/>
    <w:rsid w:val="00B63A98"/>
    <w:rsid w:val="00B63AA3"/>
    <w:rsid w:val="00B63FD4"/>
    <w:rsid w:val="00B6401F"/>
    <w:rsid w:val="00B64AB9"/>
    <w:rsid w:val="00B64C58"/>
    <w:rsid w:val="00B64F68"/>
    <w:rsid w:val="00B65097"/>
    <w:rsid w:val="00B65D79"/>
    <w:rsid w:val="00B663AC"/>
    <w:rsid w:val="00B665A6"/>
    <w:rsid w:val="00B66AB4"/>
    <w:rsid w:val="00B66D58"/>
    <w:rsid w:val="00B66EC2"/>
    <w:rsid w:val="00B66F10"/>
    <w:rsid w:val="00B679FB"/>
    <w:rsid w:val="00B70B27"/>
    <w:rsid w:val="00B71D88"/>
    <w:rsid w:val="00B726AF"/>
    <w:rsid w:val="00B72F7A"/>
    <w:rsid w:val="00B73183"/>
    <w:rsid w:val="00B73F79"/>
    <w:rsid w:val="00B74CB7"/>
    <w:rsid w:val="00B75F4D"/>
    <w:rsid w:val="00B760E9"/>
    <w:rsid w:val="00B77146"/>
    <w:rsid w:val="00B7733F"/>
    <w:rsid w:val="00B77365"/>
    <w:rsid w:val="00B77AA7"/>
    <w:rsid w:val="00B77CEC"/>
    <w:rsid w:val="00B80B75"/>
    <w:rsid w:val="00B8181D"/>
    <w:rsid w:val="00B81E74"/>
    <w:rsid w:val="00B825AA"/>
    <w:rsid w:val="00B829DD"/>
    <w:rsid w:val="00B82C0F"/>
    <w:rsid w:val="00B82DB1"/>
    <w:rsid w:val="00B833B9"/>
    <w:rsid w:val="00B83402"/>
    <w:rsid w:val="00B83C1D"/>
    <w:rsid w:val="00B83D81"/>
    <w:rsid w:val="00B840B8"/>
    <w:rsid w:val="00B84D08"/>
    <w:rsid w:val="00B85A56"/>
    <w:rsid w:val="00B8609B"/>
    <w:rsid w:val="00B86723"/>
    <w:rsid w:val="00B8687D"/>
    <w:rsid w:val="00B86F74"/>
    <w:rsid w:val="00B87690"/>
    <w:rsid w:val="00B87888"/>
    <w:rsid w:val="00B87893"/>
    <w:rsid w:val="00B87AC1"/>
    <w:rsid w:val="00B87C29"/>
    <w:rsid w:val="00B90542"/>
    <w:rsid w:val="00B90E3D"/>
    <w:rsid w:val="00B90E43"/>
    <w:rsid w:val="00B91051"/>
    <w:rsid w:val="00B91151"/>
    <w:rsid w:val="00B9120E"/>
    <w:rsid w:val="00B91AB6"/>
    <w:rsid w:val="00B91D34"/>
    <w:rsid w:val="00B91FC6"/>
    <w:rsid w:val="00B9207B"/>
    <w:rsid w:val="00B92722"/>
    <w:rsid w:val="00B9276E"/>
    <w:rsid w:val="00B92F76"/>
    <w:rsid w:val="00B93733"/>
    <w:rsid w:val="00B938F2"/>
    <w:rsid w:val="00B94305"/>
    <w:rsid w:val="00B945BB"/>
    <w:rsid w:val="00B952F0"/>
    <w:rsid w:val="00B95BBC"/>
    <w:rsid w:val="00B96EBF"/>
    <w:rsid w:val="00B96F5B"/>
    <w:rsid w:val="00BA00CB"/>
    <w:rsid w:val="00BA0145"/>
    <w:rsid w:val="00BA0E48"/>
    <w:rsid w:val="00BA2C60"/>
    <w:rsid w:val="00BA2DA1"/>
    <w:rsid w:val="00BA3010"/>
    <w:rsid w:val="00BA30C6"/>
    <w:rsid w:val="00BA33B4"/>
    <w:rsid w:val="00BA36BC"/>
    <w:rsid w:val="00BA3BAF"/>
    <w:rsid w:val="00BA3F94"/>
    <w:rsid w:val="00BA3F99"/>
    <w:rsid w:val="00BA4279"/>
    <w:rsid w:val="00BA48CE"/>
    <w:rsid w:val="00BA48ED"/>
    <w:rsid w:val="00BA4977"/>
    <w:rsid w:val="00BA4ECC"/>
    <w:rsid w:val="00BA4FF4"/>
    <w:rsid w:val="00BA558E"/>
    <w:rsid w:val="00BA5598"/>
    <w:rsid w:val="00BA5C50"/>
    <w:rsid w:val="00BA6454"/>
    <w:rsid w:val="00BA67E2"/>
    <w:rsid w:val="00BA6A88"/>
    <w:rsid w:val="00BA6B14"/>
    <w:rsid w:val="00BA6D31"/>
    <w:rsid w:val="00BA753D"/>
    <w:rsid w:val="00BA7785"/>
    <w:rsid w:val="00BA7AAE"/>
    <w:rsid w:val="00BB00BE"/>
    <w:rsid w:val="00BB0454"/>
    <w:rsid w:val="00BB05BF"/>
    <w:rsid w:val="00BB10CA"/>
    <w:rsid w:val="00BB1592"/>
    <w:rsid w:val="00BB215B"/>
    <w:rsid w:val="00BB26F1"/>
    <w:rsid w:val="00BB2B53"/>
    <w:rsid w:val="00BB342B"/>
    <w:rsid w:val="00BB3460"/>
    <w:rsid w:val="00BB3E4F"/>
    <w:rsid w:val="00BB4C8F"/>
    <w:rsid w:val="00BB53CC"/>
    <w:rsid w:val="00BB5405"/>
    <w:rsid w:val="00BB5850"/>
    <w:rsid w:val="00BB5951"/>
    <w:rsid w:val="00BB67B6"/>
    <w:rsid w:val="00BB7718"/>
    <w:rsid w:val="00BC00AA"/>
    <w:rsid w:val="00BC00B3"/>
    <w:rsid w:val="00BC03D2"/>
    <w:rsid w:val="00BC0A28"/>
    <w:rsid w:val="00BC0B69"/>
    <w:rsid w:val="00BC1AAA"/>
    <w:rsid w:val="00BC1BB4"/>
    <w:rsid w:val="00BC20B7"/>
    <w:rsid w:val="00BC27EC"/>
    <w:rsid w:val="00BC2FA2"/>
    <w:rsid w:val="00BC3853"/>
    <w:rsid w:val="00BC3D9C"/>
    <w:rsid w:val="00BC464C"/>
    <w:rsid w:val="00BC4B2C"/>
    <w:rsid w:val="00BC51C2"/>
    <w:rsid w:val="00BC5673"/>
    <w:rsid w:val="00BC5795"/>
    <w:rsid w:val="00BC57B6"/>
    <w:rsid w:val="00BC5C3E"/>
    <w:rsid w:val="00BC5E99"/>
    <w:rsid w:val="00BC5EEE"/>
    <w:rsid w:val="00BC6190"/>
    <w:rsid w:val="00BC67B6"/>
    <w:rsid w:val="00BC67E5"/>
    <w:rsid w:val="00BC6D49"/>
    <w:rsid w:val="00BC6E1D"/>
    <w:rsid w:val="00BC7B35"/>
    <w:rsid w:val="00BD0245"/>
    <w:rsid w:val="00BD0E67"/>
    <w:rsid w:val="00BD17ED"/>
    <w:rsid w:val="00BD24AB"/>
    <w:rsid w:val="00BD2E62"/>
    <w:rsid w:val="00BD34C9"/>
    <w:rsid w:val="00BD3663"/>
    <w:rsid w:val="00BD3B07"/>
    <w:rsid w:val="00BD3C99"/>
    <w:rsid w:val="00BD478B"/>
    <w:rsid w:val="00BD497B"/>
    <w:rsid w:val="00BD4E12"/>
    <w:rsid w:val="00BD5159"/>
    <w:rsid w:val="00BD609E"/>
    <w:rsid w:val="00BD6356"/>
    <w:rsid w:val="00BD666F"/>
    <w:rsid w:val="00BD69F1"/>
    <w:rsid w:val="00BD6C8B"/>
    <w:rsid w:val="00BD6FBF"/>
    <w:rsid w:val="00BD76C3"/>
    <w:rsid w:val="00BD788B"/>
    <w:rsid w:val="00BD7F96"/>
    <w:rsid w:val="00BE01B7"/>
    <w:rsid w:val="00BE046E"/>
    <w:rsid w:val="00BE0946"/>
    <w:rsid w:val="00BE0950"/>
    <w:rsid w:val="00BE0C1A"/>
    <w:rsid w:val="00BE1058"/>
    <w:rsid w:val="00BE2019"/>
    <w:rsid w:val="00BE3341"/>
    <w:rsid w:val="00BE3DED"/>
    <w:rsid w:val="00BE3E8A"/>
    <w:rsid w:val="00BE41B3"/>
    <w:rsid w:val="00BE45EA"/>
    <w:rsid w:val="00BE4DD8"/>
    <w:rsid w:val="00BE5D6A"/>
    <w:rsid w:val="00BE6AC4"/>
    <w:rsid w:val="00BE6D6E"/>
    <w:rsid w:val="00BE7008"/>
    <w:rsid w:val="00BE78AF"/>
    <w:rsid w:val="00BE7DFF"/>
    <w:rsid w:val="00BF0465"/>
    <w:rsid w:val="00BF04D5"/>
    <w:rsid w:val="00BF0609"/>
    <w:rsid w:val="00BF08B4"/>
    <w:rsid w:val="00BF0A53"/>
    <w:rsid w:val="00BF0A57"/>
    <w:rsid w:val="00BF14FF"/>
    <w:rsid w:val="00BF1678"/>
    <w:rsid w:val="00BF21FA"/>
    <w:rsid w:val="00BF23CC"/>
    <w:rsid w:val="00BF2AF0"/>
    <w:rsid w:val="00BF2E7B"/>
    <w:rsid w:val="00BF307B"/>
    <w:rsid w:val="00BF3110"/>
    <w:rsid w:val="00BF32FE"/>
    <w:rsid w:val="00BF3B2F"/>
    <w:rsid w:val="00BF3B3E"/>
    <w:rsid w:val="00BF3D18"/>
    <w:rsid w:val="00BF3EC3"/>
    <w:rsid w:val="00BF4E19"/>
    <w:rsid w:val="00BF5505"/>
    <w:rsid w:val="00BF5655"/>
    <w:rsid w:val="00BF57F9"/>
    <w:rsid w:val="00BF5A95"/>
    <w:rsid w:val="00BF5B44"/>
    <w:rsid w:val="00BF60CC"/>
    <w:rsid w:val="00BF6D92"/>
    <w:rsid w:val="00BF6FF7"/>
    <w:rsid w:val="00BF77C9"/>
    <w:rsid w:val="00BF7CDE"/>
    <w:rsid w:val="00BF7CEE"/>
    <w:rsid w:val="00BF7D26"/>
    <w:rsid w:val="00BF7D83"/>
    <w:rsid w:val="00BF7E09"/>
    <w:rsid w:val="00C005ED"/>
    <w:rsid w:val="00C011FD"/>
    <w:rsid w:val="00C0179C"/>
    <w:rsid w:val="00C01C0D"/>
    <w:rsid w:val="00C02121"/>
    <w:rsid w:val="00C021C6"/>
    <w:rsid w:val="00C0269E"/>
    <w:rsid w:val="00C0270E"/>
    <w:rsid w:val="00C028B5"/>
    <w:rsid w:val="00C031F0"/>
    <w:rsid w:val="00C03673"/>
    <w:rsid w:val="00C0399C"/>
    <w:rsid w:val="00C0407C"/>
    <w:rsid w:val="00C041F6"/>
    <w:rsid w:val="00C04C05"/>
    <w:rsid w:val="00C05432"/>
    <w:rsid w:val="00C05EBD"/>
    <w:rsid w:val="00C063F3"/>
    <w:rsid w:val="00C066A9"/>
    <w:rsid w:val="00C06732"/>
    <w:rsid w:val="00C06C8C"/>
    <w:rsid w:val="00C0706A"/>
    <w:rsid w:val="00C074B1"/>
    <w:rsid w:val="00C07897"/>
    <w:rsid w:val="00C0797F"/>
    <w:rsid w:val="00C07B0D"/>
    <w:rsid w:val="00C1129C"/>
    <w:rsid w:val="00C11991"/>
    <w:rsid w:val="00C121FD"/>
    <w:rsid w:val="00C125B9"/>
    <w:rsid w:val="00C125DC"/>
    <w:rsid w:val="00C1282F"/>
    <w:rsid w:val="00C12D9C"/>
    <w:rsid w:val="00C13CB0"/>
    <w:rsid w:val="00C13D62"/>
    <w:rsid w:val="00C13E47"/>
    <w:rsid w:val="00C1413F"/>
    <w:rsid w:val="00C14A99"/>
    <w:rsid w:val="00C1567B"/>
    <w:rsid w:val="00C156C7"/>
    <w:rsid w:val="00C16923"/>
    <w:rsid w:val="00C17664"/>
    <w:rsid w:val="00C17769"/>
    <w:rsid w:val="00C17E57"/>
    <w:rsid w:val="00C20B0F"/>
    <w:rsid w:val="00C20B94"/>
    <w:rsid w:val="00C21C84"/>
    <w:rsid w:val="00C21C90"/>
    <w:rsid w:val="00C21E29"/>
    <w:rsid w:val="00C221B7"/>
    <w:rsid w:val="00C22457"/>
    <w:rsid w:val="00C2264D"/>
    <w:rsid w:val="00C236F0"/>
    <w:rsid w:val="00C2370F"/>
    <w:rsid w:val="00C23B74"/>
    <w:rsid w:val="00C247A4"/>
    <w:rsid w:val="00C24DBC"/>
    <w:rsid w:val="00C24ED2"/>
    <w:rsid w:val="00C2553D"/>
    <w:rsid w:val="00C256B5"/>
    <w:rsid w:val="00C25BAC"/>
    <w:rsid w:val="00C26130"/>
    <w:rsid w:val="00C263A1"/>
    <w:rsid w:val="00C263CC"/>
    <w:rsid w:val="00C26590"/>
    <w:rsid w:val="00C273E6"/>
    <w:rsid w:val="00C278D1"/>
    <w:rsid w:val="00C3010F"/>
    <w:rsid w:val="00C304A3"/>
    <w:rsid w:val="00C307D4"/>
    <w:rsid w:val="00C30C93"/>
    <w:rsid w:val="00C317E5"/>
    <w:rsid w:val="00C31C62"/>
    <w:rsid w:val="00C31D80"/>
    <w:rsid w:val="00C32A8C"/>
    <w:rsid w:val="00C32BBA"/>
    <w:rsid w:val="00C32CBE"/>
    <w:rsid w:val="00C32D15"/>
    <w:rsid w:val="00C339D6"/>
    <w:rsid w:val="00C33E69"/>
    <w:rsid w:val="00C3417D"/>
    <w:rsid w:val="00C342FB"/>
    <w:rsid w:val="00C344FD"/>
    <w:rsid w:val="00C3491D"/>
    <w:rsid w:val="00C36ADB"/>
    <w:rsid w:val="00C36B98"/>
    <w:rsid w:val="00C37009"/>
    <w:rsid w:val="00C37295"/>
    <w:rsid w:val="00C4034C"/>
    <w:rsid w:val="00C40462"/>
    <w:rsid w:val="00C40883"/>
    <w:rsid w:val="00C40C96"/>
    <w:rsid w:val="00C418EA"/>
    <w:rsid w:val="00C41927"/>
    <w:rsid w:val="00C41D7E"/>
    <w:rsid w:val="00C4306C"/>
    <w:rsid w:val="00C43140"/>
    <w:rsid w:val="00C431C0"/>
    <w:rsid w:val="00C43348"/>
    <w:rsid w:val="00C4364E"/>
    <w:rsid w:val="00C436A6"/>
    <w:rsid w:val="00C43ADD"/>
    <w:rsid w:val="00C43F08"/>
    <w:rsid w:val="00C440C9"/>
    <w:rsid w:val="00C44F02"/>
    <w:rsid w:val="00C45660"/>
    <w:rsid w:val="00C46238"/>
    <w:rsid w:val="00C46339"/>
    <w:rsid w:val="00C46478"/>
    <w:rsid w:val="00C4666D"/>
    <w:rsid w:val="00C46909"/>
    <w:rsid w:val="00C46972"/>
    <w:rsid w:val="00C46BD8"/>
    <w:rsid w:val="00C4758F"/>
    <w:rsid w:val="00C47B07"/>
    <w:rsid w:val="00C47D87"/>
    <w:rsid w:val="00C50BC1"/>
    <w:rsid w:val="00C50CA3"/>
    <w:rsid w:val="00C51D48"/>
    <w:rsid w:val="00C51DEE"/>
    <w:rsid w:val="00C5219D"/>
    <w:rsid w:val="00C522A6"/>
    <w:rsid w:val="00C53E1C"/>
    <w:rsid w:val="00C54965"/>
    <w:rsid w:val="00C54E2A"/>
    <w:rsid w:val="00C5518B"/>
    <w:rsid w:val="00C55B10"/>
    <w:rsid w:val="00C5695A"/>
    <w:rsid w:val="00C5696B"/>
    <w:rsid w:val="00C569D1"/>
    <w:rsid w:val="00C56BBE"/>
    <w:rsid w:val="00C56E4F"/>
    <w:rsid w:val="00C571D7"/>
    <w:rsid w:val="00C574A6"/>
    <w:rsid w:val="00C57863"/>
    <w:rsid w:val="00C57D91"/>
    <w:rsid w:val="00C60050"/>
    <w:rsid w:val="00C60174"/>
    <w:rsid w:val="00C605CF"/>
    <w:rsid w:val="00C6064F"/>
    <w:rsid w:val="00C616A0"/>
    <w:rsid w:val="00C626AE"/>
    <w:rsid w:val="00C6296B"/>
    <w:rsid w:val="00C62BEB"/>
    <w:rsid w:val="00C6360B"/>
    <w:rsid w:val="00C63819"/>
    <w:rsid w:val="00C6381C"/>
    <w:rsid w:val="00C63830"/>
    <w:rsid w:val="00C63F2E"/>
    <w:rsid w:val="00C6456F"/>
    <w:rsid w:val="00C64813"/>
    <w:rsid w:val="00C651D9"/>
    <w:rsid w:val="00C6578D"/>
    <w:rsid w:val="00C657BF"/>
    <w:rsid w:val="00C65ADC"/>
    <w:rsid w:val="00C65D4B"/>
    <w:rsid w:val="00C65FFA"/>
    <w:rsid w:val="00C66344"/>
    <w:rsid w:val="00C666C8"/>
    <w:rsid w:val="00C66AB5"/>
    <w:rsid w:val="00C703F8"/>
    <w:rsid w:val="00C7114B"/>
    <w:rsid w:val="00C71448"/>
    <w:rsid w:val="00C714D4"/>
    <w:rsid w:val="00C72A8C"/>
    <w:rsid w:val="00C733B3"/>
    <w:rsid w:val="00C739DD"/>
    <w:rsid w:val="00C73BC7"/>
    <w:rsid w:val="00C73E31"/>
    <w:rsid w:val="00C74077"/>
    <w:rsid w:val="00C743F2"/>
    <w:rsid w:val="00C74A80"/>
    <w:rsid w:val="00C74DA3"/>
    <w:rsid w:val="00C74E64"/>
    <w:rsid w:val="00C75649"/>
    <w:rsid w:val="00C75BBA"/>
    <w:rsid w:val="00C76152"/>
    <w:rsid w:val="00C765BF"/>
    <w:rsid w:val="00C768AA"/>
    <w:rsid w:val="00C76AAC"/>
    <w:rsid w:val="00C77055"/>
    <w:rsid w:val="00C77111"/>
    <w:rsid w:val="00C77489"/>
    <w:rsid w:val="00C77514"/>
    <w:rsid w:val="00C77692"/>
    <w:rsid w:val="00C777E7"/>
    <w:rsid w:val="00C779D0"/>
    <w:rsid w:val="00C77C2A"/>
    <w:rsid w:val="00C8021F"/>
    <w:rsid w:val="00C80449"/>
    <w:rsid w:val="00C80FED"/>
    <w:rsid w:val="00C811CB"/>
    <w:rsid w:val="00C827D8"/>
    <w:rsid w:val="00C82A1E"/>
    <w:rsid w:val="00C82C87"/>
    <w:rsid w:val="00C8467F"/>
    <w:rsid w:val="00C84A94"/>
    <w:rsid w:val="00C85B79"/>
    <w:rsid w:val="00C85D6F"/>
    <w:rsid w:val="00C865EB"/>
    <w:rsid w:val="00C86880"/>
    <w:rsid w:val="00C8702D"/>
    <w:rsid w:val="00C87B42"/>
    <w:rsid w:val="00C900BA"/>
    <w:rsid w:val="00C901D1"/>
    <w:rsid w:val="00C904C3"/>
    <w:rsid w:val="00C913B2"/>
    <w:rsid w:val="00C91605"/>
    <w:rsid w:val="00C916C1"/>
    <w:rsid w:val="00C9176E"/>
    <w:rsid w:val="00C9184D"/>
    <w:rsid w:val="00C91A09"/>
    <w:rsid w:val="00C91AD1"/>
    <w:rsid w:val="00C91B95"/>
    <w:rsid w:val="00C91FDC"/>
    <w:rsid w:val="00C92154"/>
    <w:rsid w:val="00C92285"/>
    <w:rsid w:val="00C9240C"/>
    <w:rsid w:val="00C92E87"/>
    <w:rsid w:val="00C93439"/>
    <w:rsid w:val="00C93ADE"/>
    <w:rsid w:val="00C93B96"/>
    <w:rsid w:val="00C9497D"/>
    <w:rsid w:val="00C94C72"/>
    <w:rsid w:val="00C9523C"/>
    <w:rsid w:val="00C953FF"/>
    <w:rsid w:val="00C95708"/>
    <w:rsid w:val="00C95DE3"/>
    <w:rsid w:val="00C96B52"/>
    <w:rsid w:val="00C978C7"/>
    <w:rsid w:val="00C9792C"/>
    <w:rsid w:val="00C97DD6"/>
    <w:rsid w:val="00CA009D"/>
    <w:rsid w:val="00CA0185"/>
    <w:rsid w:val="00CA0252"/>
    <w:rsid w:val="00CA0EA5"/>
    <w:rsid w:val="00CA13A8"/>
    <w:rsid w:val="00CA15DD"/>
    <w:rsid w:val="00CA25BF"/>
    <w:rsid w:val="00CA2809"/>
    <w:rsid w:val="00CA3FFA"/>
    <w:rsid w:val="00CA4153"/>
    <w:rsid w:val="00CA428D"/>
    <w:rsid w:val="00CA42E3"/>
    <w:rsid w:val="00CA5260"/>
    <w:rsid w:val="00CA5909"/>
    <w:rsid w:val="00CA62AF"/>
    <w:rsid w:val="00CA6499"/>
    <w:rsid w:val="00CA6948"/>
    <w:rsid w:val="00CA6A46"/>
    <w:rsid w:val="00CA6A4B"/>
    <w:rsid w:val="00CA6B40"/>
    <w:rsid w:val="00CA7278"/>
    <w:rsid w:val="00CA7BD1"/>
    <w:rsid w:val="00CB025E"/>
    <w:rsid w:val="00CB08FC"/>
    <w:rsid w:val="00CB2ADF"/>
    <w:rsid w:val="00CB2B10"/>
    <w:rsid w:val="00CB315D"/>
    <w:rsid w:val="00CB3E8C"/>
    <w:rsid w:val="00CB3ED5"/>
    <w:rsid w:val="00CB3F9A"/>
    <w:rsid w:val="00CB47B5"/>
    <w:rsid w:val="00CB4F24"/>
    <w:rsid w:val="00CB5257"/>
    <w:rsid w:val="00CB5325"/>
    <w:rsid w:val="00CB59C4"/>
    <w:rsid w:val="00CB5DC4"/>
    <w:rsid w:val="00CB5FB7"/>
    <w:rsid w:val="00CB6A20"/>
    <w:rsid w:val="00CB7978"/>
    <w:rsid w:val="00CB7A8B"/>
    <w:rsid w:val="00CC1C29"/>
    <w:rsid w:val="00CC1D00"/>
    <w:rsid w:val="00CC1E73"/>
    <w:rsid w:val="00CC22A9"/>
    <w:rsid w:val="00CC234B"/>
    <w:rsid w:val="00CC2B22"/>
    <w:rsid w:val="00CC2DA2"/>
    <w:rsid w:val="00CC31BF"/>
    <w:rsid w:val="00CC34E4"/>
    <w:rsid w:val="00CC3597"/>
    <w:rsid w:val="00CC3701"/>
    <w:rsid w:val="00CC37A1"/>
    <w:rsid w:val="00CC3DA2"/>
    <w:rsid w:val="00CC42B1"/>
    <w:rsid w:val="00CC4547"/>
    <w:rsid w:val="00CC46FA"/>
    <w:rsid w:val="00CC52F7"/>
    <w:rsid w:val="00CC5636"/>
    <w:rsid w:val="00CC5A62"/>
    <w:rsid w:val="00CC5CC2"/>
    <w:rsid w:val="00CC5E35"/>
    <w:rsid w:val="00CC6013"/>
    <w:rsid w:val="00CC6289"/>
    <w:rsid w:val="00CC6B1E"/>
    <w:rsid w:val="00CC787C"/>
    <w:rsid w:val="00CC7D4A"/>
    <w:rsid w:val="00CD024C"/>
    <w:rsid w:val="00CD025F"/>
    <w:rsid w:val="00CD06DF"/>
    <w:rsid w:val="00CD0ECE"/>
    <w:rsid w:val="00CD24E3"/>
    <w:rsid w:val="00CD2769"/>
    <w:rsid w:val="00CD2834"/>
    <w:rsid w:val="00CD28E5"/>
    <w:rsid w:val="00CD2CD9"/>
    <w:rsid w:val="00CD2CE3"/>
    <w:rsid w:val="00CD2DE5"/>
    <w:rsid w:val="00CD3BB3"/>
    <w:rsid w:val="00CD4971"/>
    <w:rsid w:val="00CD5554"/>
    <w:rsid w:val="00CD5DCE"/>
    <w:rsid w:val="00CD6079"/>
    <w:rsid w:val="00CD6410"/>
    <w:rsid w:val="00CD6AED"/>
    <w:rsid w:val="00CD6C61"/>
    <w:rsid w:val="00CD7408"/>
    <w:rsid w:val="00CD7F26"/>
    <w:rsid w:val="00CE19F8"/>
    <w:rsid w:val="00CE1E46"/>
    <w:rsid w:val="00CE22BD"/>
    <w:rsid w:val="00CE238C"/>
    <w:rsid w:val="00CE26BA"/>
    <w:rsid w:val="00CE2D8A"/>
    <w:rsid w:val="00CE3148"/>
    <w:rsid w:val="00CE32A4"/>
    <w:rsid w:val="00CE3314"/>
    <w:rsid w:val="00CE334E"/>
    <w:rsid w:val="00CE3485"/>
    <w:rsid w:val="00CE3BB5"/>
    <w:rsid w:val="00CE4371"/>
    <w:rsid w:val="00CE4876"/>
    <w:rsid w:val="00CE498B"/>
    <w:rsid w:val="00CE4E41"/>
    <w:rsid w:val="00CE55E0"/>
    <w:rsid w:val="00CE5640"/>
    <w:rsid w:val="00CE6A44"/>
    <w:rsid w:val="00CE6BB6"/>
    <w:rsid w:val="00CE6E40"/>
    <w:rsid w:val="00CE71D6"/>
    <w:rsid w:val="00CE7F95"/>
    <w:rsid w:val="00CF0268"/>
    <w:rsid w:val="00CF0557"/>
    <w:rsid w:val="00CF2340"/>
    <w:rsid w:val="00CF237A"/>
    <w:rsid w:val="00CF2AA2"/>
    <w:rsid w:val="00CF2C67"/>
    <w:rsid w:val="00CF2D4B"/>
    <w:rsid w:val="00CF3113"/>
    <w:rsid w:val="00CF3491"/>
    <w:rsid w:val="00CF3A61"/>
    <w:rsid w:val="00CF3A83"/>
    <w:rsid w:val="00CF3DC0"/>
    <w:rsid w:val="00CF420F"/>
    <w:rsid w:val="00CF4666"/>
    <w:rsid w:val="00CF4698"/>
    <w:rsid w:val="00CF4705"/>
    <w:rsid w:val="00CF4B57"/>
    <w:rsid w:val="00CF588D"/>
    <w:rsid w:val="00CF5AC6"/>
    <w:rsid w:val="00CF5D72"/>
    <w:rsid w:val="00CF6A3D"/>
    <w:rsid w:val="00CF6AEE"/>
    <w:rsid w:val="00CF71D5"/>
    <w:rsid w:val="00CF7DA0"/>
    <w:rsid w:val="00CF7FEF"/>
    <w:rsid w:val="00D007BC"/>
    <w:rsid w:val="00D008A7"/>
    <w:rsid w:val="00D015F7"/>
    <w:rsid w:val="00D01963"/>
    <w:rsid w:val="00D03986"/>
    <w:rsid w:val="00D039BD"/>
    <w:rsid w:val="00D03BB7"/>
    <w:rsid w:val="00D04229"/>
    <w:rsid w:val="00D042D8"/>
    <w:rsid w:val="00D04332"/>
    <w:rsid w:val="00D04662"/>
    <w:rsid w:val="00D04F8D"/>
    <w:rsid w:val="00D0586D"/>
    <w:rsid w:val="00D061AD"/>
    <w:rsid w:val="00D065B5"/>
    <w:rsid w:val="00D066D8"/>
    <w:rsid w:val="00D06A6D"/>
    <w:rsid w:val="00D06B35"/>
    <w:rsid w:val="00D06D52"/>
    <w:rsid w:val="00D07072"/>
    <w:rsid w:val="00D073E7"/>
    <w:rsid w:val="00D078B8"/>
    <w:rsid w:val="00D07C76"/>
    <w:rsid w:val="00D07DF3"/>
    <w:rsid w:val="00D07F42"/>
    <w:rsid w:val="00D10F8F"/>
    <w:rsid w:val="00D110B8"/>
    <w:rsid w:val="00D119A1"/>
    <w:rsid w:val="00D1292C"/>
    <w:rsid w:val="00D12F66"/>
    <w:rsid w:val="00D13344"/>
    <w:rsid w:val="00D1338F"/>
    <w:rsid w:val="00D139BD"/>
    <w:rsid w:val="00D14F8F"/>
    <w:rsid w:val="00D14FDB"/>
    <w:rsid w:val="00D15113"/>
    <w:rsid w:val="00D16058"/>
    <w:rsid w:val="00D16C93"/>
    <w:rsid w:val="00D16FC3"/>
    <w:rsid w:val="00D17889"/>
    <w:rsid w:val="00D178BD"/>
    <w:rsid w:val="00D17A00"/>
    <w:rsid w:val="00D201FC"/>
    <w:rsid w:val="00D202C4"/>
    <w:rsid w:val="00D20638"/>
    <w:rsid w:val="00D20892"/>
    <w:rsid w:val="00D20B8A"/>
    <w:rsid w:val="00D21F03"/>
    <w:rsid w:val="00D2233C"/>
    <w:rsid w:val="00D23643"/>
    <w:rsid w:val="00D23E1F"/>
    <w:rsid w:val="00D240F9"/>
    <w:rsid w:val="00D242C0"/>
    <w:rsid w:val="00D25016"/>
    <w:rsid w:val="00D2541C"/>
    <w:rsid w:val="00D25EED"/>
    <w:rsid w:val="00D2649A"/>
    <w:rsid w:val="00D26F1F"/>
    <w:rsid w:val="00D276DC"/>
    <w:rsid w:val="00D27838"/>
    <w:rsid w:val="00D309D3"/>
    <w:rsid w:val="00D30B05"/>
    <w:rsid w:val="00D30D01"/>
    <w:rsid w:val="00D3119A"/>
    <w:rsid w:val="00D31C20"/>
    <w:rsid w:val="00D31E89"/>
    <w:rsid w:val="00D322C1"/>
    <w:rsid w:val="00D323D4"/>
    <w:rsid w:val="00D32A94"/>
    <w:rsid w:val="00D32CA3"/>
    <w:rsid w:val="00D3330A"/>
    <w:rsid w:val="00D33316"/>
    <w:rsid w:val="00D33361"/>
    <w:rsid w:val="00D33500"/>
    <w:rsid w:val="00D338C3"/>
    <w:rsid w:val="00D33987"/>
    <w:rsid w:val="00D33B69"/>
    <w:rsid w:val="00D34500"/>
    <w:rsid w:val="00D34CE1"/>
    <w:rsid w:val="00D34D9D"/>
    <w:rsid w:val="00D35101"/>
    <w:rsid w:val="00D3520B"/>
    <w:rsid w:val="00D3532C"/>
    <w:rsid w:val="00D35A38"/>
    <w:rsid w:val="00D35D6B"/>
    <w:rsid w:val="00D35EBD"/>
    <w:rsid w:val="00D36D14"/>
    <w:rsid w:val="00D37C36"/>
    <w:rsid w:val="00D37DED"/>
    <w:rsid w:val="00D40029"/>
    <w:rsid w:val="00D40A2E"/>
    <w:rsid w:val="00D41EB1"/>
    <w:rsid w:val="00D41F1E"/>
    <w:rsid w:val="00D42123"/>
    <w:rsid w:val="00D42E4A"/>
    <w:rsid w:val="00D43903"/>
    <w:rsid w:val="00D43978"/>
    <w:rsid w:val="00D43BFF"/>
    <w:rsid w:val="00D43D85"/>
    <w:rsid w:val="00D43F03"/>
    <w:rsid w:val="00D44655"/>
    <w:rsid w:val="00D44BA9"/>
    <w:rsid w:val="00D44FE9"/>
    <w:rsid w:val="00D45B35"/>
    <w:rsid w:val="00D46604"/>
    <w:rsid w:val="00D4702F"/>
    <w:rsid w:val="00D50BBF"/>
    <w:rsid w:val="00D50D0B"/>
    <w:rsid w:val="00D511E7"/>
    <w:rsid w:val="00D51486"/>
    <w:rsid w:val="00D516DF"/>
    <w:rsid w:val="00D51A1D"/>
    <w:rsid w:val="00D51D1A"/>
    <w:rsid w:val="00D51D58"/>
    <w:rsid w:val="00D51DBE"/>
    <w:rsid w:val="00D5203C"/>
    <w:rsid w:val="00D52294"/>
    <w:rsid w:val="00D522EE"/>
    <w:rsid w:val="00D5277C"/>
    <w:rsid w:val="00D52DF0"/>
    <w:rsid w:val="00D531E5"/>
    <w:rsid w:val="00D5353C"/>
    <w:rsid w:val="00D53801"/>
    <w:rsid w:val="00D5461C"/>
    <w:rsid w:val="00D5472C"/>
    <w:rsid w:val="00D54BA8"/>
    <w:rsid w:val="00D54BB9"/>
    <w:rsid w:val="00D552FC"/>
    <w:rsid w:val="00D55B0A"/>
    <w:rsid w:val="00D56351"/>
    <w:rsid w:val="00D56805"/>
    <w:rsid w:val="00D57430"/>
    <w:rsid w:val="00D57447"/>
    <w:rsid w:val="00D57604"/>
    <w:rsid w:val="00D57615"/>
    <w:rsid w:val="00D576FC"/>
    <w:rsid w:val="00D57CD9"/>
    <w:rsid w:val="00D57E8A"/>
    <w:rsid w:val="00D60D66"/>
    <w:rsid w:val="00D60E36"/>
    <w:rsid w:val="00D6132A"/>
    <w:rsid w:val="00D61BF3"/>
    <w:rsid w:val="00D61DEC"/>
    <w:rsid w:val="00D624FF"/>
    <w:rsid w:val="00D625C0"/>
    <w:rsid w:val="00D62669"/>
    <w:rsid w:val="00D62812"/>
    <w:rsid w:val="00D62D2F"/>
    <w:rsid w:val="00D635B5"/>
    <w:rsid w:val="00D6425B"/>
    <w:rsid w:val="00D64A73"/>
    <w:rsid w:val="00D65A91"/>
    <w:rsid w:val="00D66D2F"/>
    <w:rsid w:val="00D66D75"/>
    <w:rsid w:val="00D67517"/>
    <w:rsid w:val="00D67E60"/>
    <w:rsid w:val="00D70274"/>
    <w:rsid w:val="00D70377"/>
    <w:rsid w:val="00D703CF"/>
    <w:rsid w:val="00D71C4A"/>
    <w:rsid w:val="00D72496"/>
    <w:rsid w:val="00D7376E"/>
    <w:rsid w:val="00D73C7C"/>
    <w:rsid w:val="00D74002"/>
    <w:rsid w:val="00D740ED"/>
    <w:rsid w:val="00D744AE"/>
    <w:rsid w:val="00D74A08"/>
    <w:rsid w:val="00D75346"/>
    <w:rsid w:val="00D75B45"/>
    <w:rsid w:val="00D76447"/>
    <w:rsid w:val="00D771AC"/>
    <w:rsid w:val="00D77432"/>
    <w:rsid w:val="00D77E4D"/>
    <w:rsid w:val="00D77F26"/>
    <w:rsid w:val="00D80078"/>
    <w:rsid w:val="00D805CE"/>
    <w:rsid w:val="00D8353F"/>
    <w:rsid w:val="00D836BF"/>
    <w:rsid w:val="00D836C8"/>
    <w:rsid w:val="00D84915"/>
    <w:rsid w:val="00D84FC8"/>
    <w:rsid w:val="00D8547B"/>
    <w:rsid w:val="00D8580E"/>
    <w:rsid w:val="00D865D2"/>
    <w:rsid w:val="00D86706"/>
    <w:rsid w:val="00D86BA9"/>
    <w:rsid w:val="00D86EA7"/>
    <w:rsid w:val="00D87F7F"/>
    <w:rsid w:val="00D9017F"/>
    <w:rsid w:val="00D903DF"/>
    <w:rsid w:val="00D90D90"/>
    <w:rsid w:val="00D91496"/>
    <w:rsid w:val="00D92164"/>
    <w:rsid w:val="00D927EB"/>
    <w:rsid w:val="00D92D78"/>
    <w:rsid w:val="00D93642"/>
    <w:rsid w:val="00D93C98"/>
    <w:rsid w:val="00D94C4C"/>
    <w:rsid w:val="00D952AE"/>
    <w:rsid w:val="00D961FB"/>
    <w:rsid w:val="00D96879"/>
    <w:rsid w:val="00D96DD1"/>
    <w:rsid w:val="00D972A3"/>
    <w:rsid w:val="00D97C5C"/>
    <w:rsid w:val="00D97C8B"/>
    <w:rsid w:val="00DA0329"/>
    <w:rsid w:val="00DA0B49"/>
    <w:rsid w:val="00DA0BA9"/>
    <w:rsid w:val="00DA0C27"/>
    <w:rsid w:val="00DA163B"/>
    <w:rsid w:val="00DA1965"/>
    <w:rsid w:val="00DA277D"/>
    <w:rsid w:val="00DA3F51"/>
    <w:rsid w:val="00DA40BC"/>
    <w:rsid w:val="00DA438C"/>
    <w:rsid w:val="00DA44E9"/>
    <w:rsid w:val="00DA47C5"/>
    <w:rsid w:val="00DA48A1"/>
    <w:rsid w:val="00DA4B17"/>
    <w:rsid w:val="00DA4C03"/>
    <w:rsid w:val="00DA4CA3"/>
    <w:rsid w:val="00DA5453"/>
    <w:rsid w:val="00DA61A6"/>
    <w:rsid w:val="00DA656F"/>
    <w:rsid w:val="00DA6929"/>
    <w:rsid w:val="00DA6CDB"/>
    <w:rsid w:val="00DA6DB5"/>
    <w:rsid w:val="00DA7EA1"/>
    <w:rsid w:val="00DB0162"/>
    <w:rsid w:val="00DB0299"/>
    <w:rsid w:val="00DB0BA5"/>
    <w:rsid w:val="00DB0FBB"/>
    <w:rsid w:val="00DB15B3"/>
    <w:rsid w:val="00DB1878"/>
    <w:rsid w:val="00DB1942"/>
    <w:rsid w:val="00DB1ABE"/>
    <w:rsid w:val="00DB2476"/>
    <w:rsid w:val="00DB24EC"/>
    <w:rsid w:val="00DB2AF9"/>
    <w:rsid w:val="00DB3E4B"/>
    <w:rsid w:val="00DB47AA"/>
    <w:rsid w:val="00DB4864"/>
    <w:rsid w:val="00DB4C80"/>
    <w:rsid w:val="00DB4E0C"/>
    <w:rsid w:val="00DB568D"/>
    <w:rsid w:val="00DB5844"/>
    <w:rsid w:val="00DB60A9"/>
    <w:rsid w:val="00DB66A7"/>
    <w:rsid w:val="00DB688A"/>
    <w:rsid w:val="00DB6BF4"/>
    <w:rsid w:val="00DB72DF"/>
    <w:rsid w:val="00DB742A"/>
    <w:rsid w:val="00DC028B"/>
    <w:rsid w:val="00DC0C65"/>
    <w:rsid w:val="00DC0F22"/>
    <w:rsid w:val="00DC138B"/>
    <w:rsid w:val="00DC14FF"/>
    <w:rsid w:val="00DC1A37"/>
    <w:rsid w:val="00DC2096"/>
    <w:rsid w:val="00DC2585"/>
    <w:rsid w:val="00DC2DEC"/>
    <w:rsid w:val="00DC2F0B"/>
    <w:rsid w:val="00DC31AC"/>
    <w:rsid w:val="00DC3B67"/>
    <w:rsid w:val="00DC45CC"/>
    <w:rsid w:val="00DC53B4"/>
    <w:rsid w:val="00DC5CAC"/>
    <w:rsid w:val="00DC6476"/>
    <w:rsid w:val="00DC64E2"/>
    <w:rsid w:val="00DC7781"/>
    <w:rsid w:val="00DD0BC4"/>
    <w:rsid w:val="00DD0DFA"/>
    <w:rsid w:val="00DD0E68"/>
    <w:rsid w:val="00DD1040"/>
    <w:rsid w:val="00DD1369"/>
    <w:rsid w:val="00DD1596"/>
    <w:rsid w:val="00DD2147"/>
    <w:rsid w:val="00DD215A"/>
    <w:rsid w:val="00DD2282"/>
    <w:rsid w:val="00DD287E"/>
    <w:rsid w:val="00DD2D15"/>
    <w:rsid w:val="00DD3AF0"/>
    <w:rsid w:val="00DD4583"/>
    <w:rsid w:val="00DD4F37"/>
    <w:rsid w:val="00DD5F1A"/>
    <w:rsid w:val="00DD657F"/>
    <w:rsid w:val="00DD7FDA"/>
    <w:rsid w:val="00DE0409"/>
    <w:rsid w:val="00DE0551"/>
    <w:rsid w:val="00DE0610"/>
    <w:rsid w:val="00DE0A76"/>
    <w:rsid w:val="00DE1009"/>
    <w:rsid w:val="00DE1172"/>
    <w:rsid w:val="00DE129E"/>
    <w:rsid w:val="00DE1572"/>
    <w:rsid w:val="00DE1638"/>
    <w:rsid w:val="00DE181C"/>
    <w:rsid w:val="00DE1C54"/>
    <w:rsid w:val="00DE2AE7"/>
    <w:rsid w:val="00DE331F"/>
    <w:rsid w:val="00DE34D5"/>
    <w:rsid w:val="00DE38BA"/>
    <w:rsid w:val="00DE3A20"/>
    <w:rsid w:val="00DE3E57"/>
    <w:rsid w:val="00DE447F"/>
    <w:rsid w:val="00DE4C3B"/>
    <w:rsid w:val="00DE50F2"/>
    <w:rsid w:val="00DE5733"/>
    <w:rsid w:val="00DE5CC2"/>
    <w:rsid w:val="00DE77F3"/>
    <w:rsid w:val="00DF037B"/>
    <w:rsid w:val="00DF0BF8"/>
    <w:rsid w:val="00DF1787"/>
    <w:rsid w:val="00DF2931"/>
    <w:rsid w:val="00DF2CE2"/>
    <w:rsid w:val="00DF2EF8"/>
    <w:rsid w:val="00DF3250"/>
    <w:rsid w:val="00DF3507"/>
    <w:rsid w:val="00DF35C1"/>
    <w:rsid w:val="00DF35F4"/>
    <w:rsid w:val="00DF3C37"/>
    <w:rsid w:val="00DF3CC2"/>
    <w:rsid w:val="00DF3DE3"/>
    <w:rsid w:val="00DF4566"/>
    <w:rsid w:val="00DF4699"/>
    <w:rsid w:val="00DF55B7"/>
    <w:rsid w:val="00DF57A8"/>
    <w:rsid w:val="00DF591B"/>
    <w:rsid w:val="00DF59A5"/>
    <w:rsid w:val="00DF5A57"/>
    <w:rsid w:val="00DF5F61"/>
    <w:rsid w:val="00DF6474"/>
    <w:rsid w:val="00DF6AEF"/>
    <w:rsid w:val="00DF6C61"/>
    <w:rsid w:val="00DF6F85"/>
    <w:rsid w:val="00DF78A1"/>
    <w:rsid w:val="00E00BFF"/>
    <w:rsid w:val="00E00DC2"/>
    <w:rsid w:val="00E01881"/>
    <w:rsid w:val="00E02153"/>
    <w:rsid w:val="00E02564"/>
    <w:rsid w:val="00E02852"/>
    <w:rsid w:val="00E0294D"/>
    <w:rsid w:val="00E02A2E"/>
    <w:rsid w:val="00E0482E"/>
    <w:rsid w:val="00E05752"/>
    <w:rsid w:val="00E061E3"/>
    <w:rsid w:val="00E06B04"/>
    <w:rsid w:val="00E07A94"/>
    <w:rsid w:val="00E105B8"/>
    <w:rsid w:val="00E121E3"/>
    <w:rsid w:val="00E1308F"/>
    <w:rsid w:val="00E14D7C"/>
    <w:rsid w:val="00E14FFD"/>
    <w:rsid w:val="00E1525A"/>
    <w:rsid w:val="00E1525F"/>
    <w:rsid w:val="00E15552"/>
    <w:rsid w:val="00E15690"/>
    <w:rsid w:val="00E15882"/>
    <w:rsid w:val="00E16067"/>
    <w:rsid w:val="00E16D18"/>
    <w:rsid w:val="00E175F1"/>
    <w:rsid w:val="00E178D3"/>
    <w:rsid w:val="00E17DCB"/>
    <w:rsid w:val="00E17E12"/>
    <w:rsid w:val="00E20188"/>
    <w:rsid w:val="00E2046C"/>
    <w:rsid w:val="00E204E0"/>
    <w:rsid w:val="00E20BDB"/>
    <w:rsid w:val="00E20C07"/>
    <w:rsid w:val="00E20C79"/>
    <w:rsid w:val="00E20F30"/>
    <w:rsid w:val="00E21136"/>
    <w:rsid w:val="00E214AF"/>
    <w:rsid w:val="00E21583"/>
    <w:rsid w:val="00E21936"/>
    <w:rsid w:val="00E21DFA"/>
    <w:rsid w:val="00E21E42"/>
    <w:rsid w:val="00E21E87"/>
    <w:rsid w:val="00E22223"/>
    <w:rsid w:val="00E226DC"/>
    <w:rsid w:val="00E227FD"/>
    <w:rsid w:val="00E22BC4"/>
    <w:rsid w:val="00E23E03"/>
    <w:rsid w:val="00E2434B"/>
    <w:rsid w:val="00E247F2"/>
    <w:rsid w:val="00E257ED"/>
    <w:rsid w:val="00E25B1F"/>
    <w:rsid w:val="00E27EB3"/>
    <w:rsid w:val="00E27EFA"/>
    <w:rsid w:val="00E30D95"/>
    <w:rsid w:val="00E30F07"/>
    <w:rsid w:val="00E31296"/>
    <w:rsid w:val="00E31C16"/>
    <w:rsid w:val="00E32479"/>
    <w:rsid w:val="00E324BA"/>
    <w:rsid w:val="00E3262D"/>
    <w:rsid w:val="00E3340C"/>
    <w:rsid w:val="00E33449"/>
    <w:rsid w:val="00E33563"/>
    <w:rsid w:val="00E33CA6"/>
    <w:rsid w:val="00E35ECE"/>
    <w:rsid w:val="00E37096"/>
    <w:rsid w:val="00E371DB"/>
    <w:rsid w:val="00E37D57"/>
    <w:rsid w:val="00E37DC7"/>
    <w:rsid w:val="00E37F5D"/>
    <w:rsid w:val="00E402AD"/>
    <w:rsid w:val="00E40656"/>
    <w:rsid w:val="00E408B1"/>
    <w:rsid w:val="00E40A01"/>
    <w:rsid w:val="00E40C3C"/>
    <w:rsid w:val="00E40DEB"/>
    <w:rsid w:val="00E41491"/>
    <w:rsid w:val="00E41641"/>
    <w:rsid w:val="00E41668"/>
    <w:rsid w:val="00E41690"/>
    <w:rsid w:val="00E4199D"/>
    <w:rsid w:val="00E41DEB"/>
    <w:rsid w:val="00E421E8"/>
    <w:rsid w:val="00E42B1F"/>
    <w:rsid w:val="00E43B00"/>
    <w:rsid w:val="00E4417B"/>
    <w:rsid w:val="00E4671E"/>
    <w:rsid w:val="00E46B19"/>
    <w:rsid w:val="00E47929"/>
    <w:rsid w:val="00E47DCE"/>
    <w:rsid w:val="00E504D9"/>
    <w:rsid w:val="00E5067D"/>
    <w:rsid w:val="00E52527"/>
    <w:rsid w:val="00E52644"/>
    <w:rsid w:val="00E5296F"/>
    <w:rsid w:val="00E52FE9"/>
    <w:rsid w:val="00E53655"/>
    <w:rsid w:val="00E538E7"/>
    <w:rsid w:val="00E5418E"/>
    <w:rsid w:val="00E542FE"/>
    <w:rsid w:val="00E55C79"/>
    <w:rsid w:val="00E566EC"/>
    <w:rsid w:val="00E568A5"/>
    <w:rsid w:val="00E56F5E"/>
    <w:rsid w:val="00E56FC2"/>
    <w:rsid w:val="00E578DF"/>
    <w:rsid w:val="00E608AB"/>
    <w:rsid w:val="00E6118F"/>
    <w:rsid w:val="00E614A5"/>
    <w:rsid w:val="00E614E4"/>
    <w:rsid w:val="00E61B31"/>
    <w:rsid w:val="00E61C88"/>
    <w:rsid w:val="00E61DE5"/>
    <w:rsid w:val="00E62360"/>
    <w:rsid w:val="00E62A61"/>
    <w:rsid w:val="00E631FD"/>
    <w:rsid w:val="00E645FA"/>
    <w:rsid w:val="00E64717"/>
    <w:rsid w:val="00E647E0"/>
    <w:rsid w:val="00E6480D"/>
    <w:rsid w:val="00E64CEB"/>
    <w:rsid w:val="00E65220"/>
    <w:rsid w:val="00E654C0"/>
    <w:rsid w:val="00E65524"/>
    <w:rsid w:val="00E65734"/>
    <w:rsid w:val="00E65768"/>
    <w:rsid w:val="00E657A9"/>
    <w:rsid w:val="00E66006"/>
    <w:rsid w:val="00E6620A"/>
    <w:rsid w:val="00E67720"/>
    <w:rsid w:val="00E678AA"/>
    <w:rsid w:val="00E70C77"/>
    <w:rsid w:val="00E70E89"/>
    <w:rsid w:val="00E71592"/>
    <w:rsid w:val="00E71CC6"/>
    <w:rsid w:val="00E72B12"/>
    <w:rsid w:val="00E72C6F"/>
    <w:rsid w:val="00E73813"/>
    <w:rsid w:val="00E73AF4"/>
    <w:rsid w:val="00E73BBF"/>
    <w:rsid w:val="00E73FED"/>
    <w:rsid w:val="00E74342"/>
    <w:rsid w:val="00E74469"/>
    <w:rsid w:val="00E745BE"/>
    <w:rsid w:val="00E74E84"/>
    <w:rsid w:val="00E75303"/>
    <w:rsid w:val="00E75347"/>
    <w:rsid w:val="00E754C6"/>
    <w:rsid w:val="00E7574C"/>
    <w:rsid w:val="00E760B3"/>
    <w:rsid w:val="00E76C93"/>
    <w:rsid w:val="00E76EA8"/>
    <w:rsid w:val="00E77417"/>
    <w:rsid w:val="00E77C35"/>
    <w:rsid w:val="00E77DB5"/>
    <w:rsid w:val="00E802B1"/>
    <w:rsid w:val="00E80DB9"/>
    <w:rsid w:val="00E80EBF"/>
    <w:rsid w:val="00E81DA8"/>
    <w:rsid w:val="00E823D2"/>
    <w:rsid w:val="00E8278F"/>
    <w:rsid w:val="00E82C23"/>
    <w:rsid w:val="00E82C6F"/>
    <w:rsid w:val="00E8357E"/>
    <w:rsid w:val="00E84045"/>
    <w:rsid w:val="00E84283"/>
    <w:rsid w:val="00E845D0"/>
    <w:rsid w:val="00E8465C"/>
    <w:rsid w:val="00E846CB"/>
    <w:rsid w:val="00E84A79"/>
    <w:rsid w:val="00E85223"/>
    <w:rsid w:val="00E853FD"/>
    <w:rsid w:val="00E85FD4"/>
    <w:rsid w:val="00E860FF"/>
    <w:rsid w:val="00E86661"/>
    <w:rsid w:val="00E86ED0"/>
    <w:rsid w:val="00E874E5"/>
    <w:rsid w:val="00E87A7B"/>
    <w:rsid w:val="00E904B3"/>
    <w:rsid w:val="00E90973"/>
    <w:rsid w:val="00E90CFD"/>
    <w:rsid w:val="00E91764"/>
    <w:rsid w:val="00E91BEA"/>
    <w:rsid w:val="00E91ECB"/>
    <w:rsid w:val="00E92581"/>
    <w:rsid w:val="00E92D21"/>
    <w:rsid w:val="00E93C21"/>
    <w:rsid w:val="00E93E3D"/>
    <w:rsid w:val="00E94FDB"/>
    <w:rsid w:val="00E95B6B"/>
    <w:rsid w:val="00E96565"/>
    <w:rsid w:val="00E97A4A"/>
    <w:rsid w:val="00EA062F"/>
    <w:rsid w:val="00EA0830"/>
    <w:rsid w:val="00EA08FC"/>
    <w:rsid w:val="00EA092D"/>
    <w:rsid w:val="00EA1272"/>
    <w:rsid w:val="00EA15B3"/>
    <w:rsid w:val="00EA1900"/>
    <w:rsid w:val="00EA2020"/>
    <w:rsid w:val="00EA20CE"/>
    <w:rsid w:val="00EA310B"/>
    <w:rsid w:val="00EA320D"/>
    <w:rsid w:val="00EA3EE4"/>
    <w:rsid w:val="00EA40B9"/>
    <w:rsid w:val="00EA49C7"/>
    <w:rsid w:val="00EA4D88"/>
    <w:rsid w:val="00EA4E94"/>
    <w:rsid w:val="00EA5077"/>
    <w:rsid w:val="00EA51F5"/>
    <w:rsid w:val="00EA5878"/>
    <w:rsid w:val="00EA5E92"/>
    <w:rsid w:val="00EA5F9A"/>
    <w:rsid w:val="00EA6178"/>
    <w:rsid w:val="00EA6200"/>
    <w:rsid w:val="00EA6846"/>
    <w:rsid w:val="00EA6954"/>
    <w:rsid w:val="00EA70F0"/>
    <w:rsid w:val="00EA7332"/>
    <w:rsid w:val="00EA7BF3"/>
    <w:rsid w:val="00EB0943"/>
    <w:rsid w:val="00EB0F2F"/>
    <w:rsid w:val="00EB2048"/>
    <w:rsid w:val="00EB30D1"/>
    <w:rsid w:val="00EB31CA"/>
    <w:rsid w:val="00EB3B08"/>
    <w:rsid w:val="00EB3C91"/>
    <w:rsid w:val="00EB3CBA"/>
    <w:rsid w:val="00EB3D80"/>
    <w:rsid w:val="00EB3F8C"/>
    <w:rsid w:val="00EB46B4"/>
    <w:rsid w:val="00EB4A8E"/>
    <w:rsid w:val="00EB5119"/>
    <w:rsid w:val="00EB51F1"/>
    <w:rsid w:val="00EB547C"/>
    <w:rsid w:val="00EB6BEB"/>
    <w:rsid w:val="00EB7AD2"/>
    <w:rsid w:val="00EC0710"/>
    <w:rsid w:val="00EC0EC7"/>
    <w:rsid w:val="00EC119C"/>
    <w:rsid w:val="00EC144F"/>
    <w:rsid w:val="00EC1533"/>
    <w:rsid w:val="00EC2813"/>
    <w:rsid w:val="00EC287D"/>
    <w:rsid w:val="00EC29B4"/>
    <w:rsid w:val="00EC362F"/>
    <w:rsid w:val="00EC3F8E"/>
    <w:rsid w:val="00EC4170"/>
    <w:rsid w:val="00EC4652"/>
    <w:rsid w:val="00EC4D61"/>
    <w:rsid w:val="00EC59DD"/>
    <w:rsid w:val="00EC6561"/>
    <w:rsid w:val="00EC656A"/>
    <w:rsid w:val="00EC7359"/>
    <w:rsid w:val="00ED03A0"/>
    <w:rsid w:val="00ED0855"/>
    <w:rsid w:val="00ED0D2B"/>
    <w:rsid w:val="00ED0F06"/>
    <w:rsid w:val="00ED1361"/>
    <w:rsid w:val="00ED1715"/>
    <w:rsid w:val="00ED1D95"/>
    <w:rsid w:val="00ED1D9B"/>
    <w:rsid w:val="00ED240C"/>
    <w:rsid w:val="00ED2A8E"/>
    <w:rsid w:val="00ED3162"/>
    <w:rsid w:val="00ED357E"/>
    <w:rsid w:val="00ED44F5"/>
    <w:rsid w:val="00ED4812"/>
    <w:rsid w:val="00ED504E"/>
    <w:rsid w:val="00ED5588"/>
    <w:rsid w:val="00ED5667"/>
    <w:rsid w:val="00ED566E"/>
    <w:rsid w:val="00ED5788"/>
    <w:rsid w:val="00ED57BC"/>
    <w:rsid w:val="00ED59DC"/>
    <w:rsid w:val="00ED6486"/>
    <w:rsid w:val="00ED6BD0"/>
    <w:rsid w:val="00ED71FF"/>
    <w:rsid w:val="00ED75C5"/>
    <w:rsid w:val="00ED7937"/>
    <w:rsid w:val="00ED7BB7"/>
    <w:rsid w:val="00ED7E6B"/>
    <w:rsid w:val="00EE02FE"/>
    <w:rsid w:val="00EE0324"/>
    <w:rsid w:val="00EE10E8"/>
    <w:rsid w:val="00EE1717"/>
    <w:rsid w:val="00EE18D7"/>
    <w:rsid w:val="00EE21FF"/>
    <w:rsid w:val="00EE26D7"/>
    <w:rsid w:val="00EE274C"/>
    <w:rsid w:val="00EE30F1"/>
    <w:rsid w:val="00EE3712"/>
    <w:rsid w:val="00EE3765"/>
    <w:rsid w:val="00EE3946"/>
    <w:rsid w:val="00EE4429"/>
    <w:rsid w:val="00EE4904"/>
    <w:rsid w:val="00EE4E6B"/>
    <w:rsid w:val="00EE4F8F"/>
    <w:rsid w:val="00EE6862"/>
    <w:rsid w:val="00EE6D9C"/>
    <w:rsid w:val="00EE70F9"/>
    <w:rsid w:val="00EE722A"/>
    <w:rsid w:val="00EE7BE9"/>
    <w:rsid w:val="00EF0444"/>
    <w:rsid w:val="00EF0634"/>
    <w:rsid w:val="00EF0874"/>
    <w:rsid w:val="00EF087E"/>
    <w:rsid w:val="00EF087F"/>
    <w:rsid w:val="00EF0AE6"/>
    <w:rsid w:val="00EF0B1E"/>
    <w:rsid w:val="00EF257C"/>
    <w:rsid w:val="00EF2E7D"/>
    <w:rsid w:val="00EF393B"/>
    <w:rsid w:val="00EF3CF9"/>
    <w:rsid w:val="00EF40BF"/>
    <w:rsid w:val="00EF4D2B"/>
    <w:rsid w:val="00EF5234"/>
    <w:rsid w:val="00EF5CE4"/>
    <w:rsid w:val="00EF608B"/>
    <w:rsid w:val="00EF6A0B"/>
    <w:rsid w:val="00EF6A52"/>
    <w:rsid w:val="00EF6C21"/>
    <w:rsid w:val="00EF752B"/>
    <w:rsid w:val="00F0004C"/>
    <w:rsid w:val="00F0013A"/>
    <w:rsid w:val="00F00649"/>
    <w:rsid w:val="00F00DA0"/>
    <w:rsid w:val="00F019D1"/>
    <w:rsid w:val="00F01C45"/>
    <w:rsid w:val="00F01E52"/>
    <w:rsid w:val="00F0294A"/>
    <w:rsid w:val="00F02968"/>
    <w:rsid w:val="00F02A14"/>
    <w:rsid w:val="00F041FE"/>
    <w:rsid w:val="00F0457F"/>
    <w:rsid w:val="00F047F3"/>
    <w:rsid w:val="00F04AEF"/>
    <w:rsid w:val="00F04D36"/>
    <w:rsid w:val="00F055E8"/>
    <w:rsid w:val="00F05B6F"/>
    <w:rsid w:val="00F064D3"/>
    <w:rsid w:val="00F07072"/>
    <w:rsid w:val="00F105B1"/>
    <w:rsid w:val="00F117F4"/>
    <w:rsid w:val="00F1189C"/>
    <w:rsid w:val="00F11AC7"/>
    <w:rsid w:val="00F11C3B"/>
    <w:rsid w:val="00F12201"/>
    <w:rsid w:val="00F12BDC"/>
    <w:rsid w:val="00F13DA5"/>
    <w:rsid w:val="00F13E57"/>
    <w:rsid w:val="00F14B59"/>
    <w:rsid w:val="00F15145"/>
    <w:rsid w:val="00F152B0"/>
    <w:rsid w:val="00F1559C"/>
    <w:rsid w:val="00F15AD7"/>
    <w:rsid w:val="00F16361"/>
    <w:rsid w:val="00F1663C"/>
    <w:rsid w:val="00F16848"/>
    <w:rsid w:val="00F168FC"/>
    <w:rsid w:val="00F1731E"/>
    <w:rsid w:val="00F17873"/>
    <w:rsid w:val="00F17D2D"/>
    <w:rsid w:val="00F2089B"/>
    <w:rsid w:val="00F20C71"/>
    <w:rsid w:val="00F21C8A"/>
    <w:rsid w:val="00F22BFA"/>
    <w:rsid w:val="00F22C78"/>
    <w:rsid w:val="00F22EB3"/>
    <w:rsid w:val="00F2339D"/>
    <w:rsid w:val="00F23C10"/>
    <w:rsid w:val="00F243AF"/>
    <w:rsid w:val="00F243C0"/>
    <w:rsid w:val="00F256DD"/>
    <w:rsid w:val="00F25C25"/>
    <w:rsid w:val="00F25CD9"/>
    <w:rsid w:val="00F25F49"/>
    <w:rsid w:val="00F26331"/>
    <w:rsid w:val="00F26499"/>
    <w:rsid w:val="00F26564"/>
    <w:rsid w:val="00F26B7A"/>
    <w:rsid w:val="00F27876"/>
    <w:rsid w:val="00F27B21"/>
    <w:rsid w:val="00F27F4E"/>
    <w:rsid w:val="00F3055B"/>
    <w:rsid w:val="00F30812"/>
    <w:rsid w:val="00F32F61"/>
    <w:rsid w:val="00F334BC"/>
    <w:rsid w:val="00F33660"/>
    <w:rsid w:val="00F35004"/>
    <w:rsid w:val="00F3536F"/>
    <w:rsid w:val="00F359D6"/>
    <w:rsid w:val="00F35D0E"/>
    <w:rsid w:val="00F36275"/>
    <w:rsid w:val="00F365B6"/>
    <w:rsid w:val="00F3680B"/>
    <w:rsid w:val="00F36C4A"/>
    <w:rsid w:val="00F36C88"/>
    <w:rsid w:val="00F36D45"/>
    <w:rsid w:val="00F3787F"/>
    <w:rsid w:val="00F37E9B"/>
    <w:rsid w:val="00F402C6"/>
    <w:rsid w:val="00F40591"/>
    <w:rsid w:val="00F406CD"/>
    <w:rsid w:val="00F40C70"/>
    <w:rsid w:val="00F41440"/>
    <w:rsid w:val="00F41F95"/>
    <w:rsid w:val="00F42632"/>
    <w:rsid w:val="00F44131"/>
    <w:rsid w:val="00F4457C"/>
    <w:rsid w:val="00F44874"/>
    <w:rsid w:val="00F44D63"/>
    <w:rsid w:val="00F45479"/>
    <w:rsid w:val="00F457C9"/>
    <w:rsid w:val="00F45AD4"/>
    <w:rsid w:val="00F460FA"/>
    <w:rsid w:val="00F464FF"/>
    <w:rsid w:val="00F4735C"/>
    <w:rsid w:val="00F503B9"/>
    <w:rsid w:val="00F509CE"/>
    <w:rsid w:val="00F50DD2"/>
    <w:rsid w:val="00F50E6B"/>
    <w:rsid w:val="00F51F4C"/>
    <w:rsid w:val="00F5251E"/>
    <w:rsid w:val="00F52C70"/>
    <w:rsid w:val="00F52FC7"/>
    <w:rsid w:val="00F53112"/>
    <w:rsid w:val="00F53830"/>
    <w:rsid w:val="00F53BC0"/>
    <w:rsid w:val="00F53E43"/>
    <w:rsid w:val="00F5435C"/>
    <w:rsid w:val="00F55E62"/>
    <w:rsid w:val="00F56023"/>
    <w:rsid w:val="00F56505"/>
    <w:rsid w:val="00F56688"/>
    <w:rsid w:val="00F56A5C"/>
    <w:rsid w:val="00F56AEF"/>
    <w:rsid w:val="00F56C5A"/>
    <w:rsid w:val="00F57583"/>
    <w:rsid w:val="00F57807"/>
    <w:rsid w:val="00F57DEC"/>
    <w:rsid w:val="00F57E7E"/>
    <w:rsid w:val="00F60838"/>
    <w:rsid w:val="00F609E3"/>
    <w:rsid w:val="00F60BFD"/>
    <w:rsid w:val="00F60F24"/>
    <w:rsid w:val="00F611C0"/>
    <w:rsid w:val="00F61237"/>
    <w:rsid w:val="00F613C4"/>
    <w:rsid w:val="00F61B7E"/>
    <w:rsid w:val="00F62115"/>
    <w:rsid w:val="00F62191"/>
    <w:rsid w:val="00F62851"/>
    <w:rsid w:val="00F62BF1"/>
    <w:rsid w:val="00F63673"/>
    <w:rsid w:val="00F637CB"/>
    <w:rsid w:val="00F64560"/>
    <w:rsid w:val="00F64843"/>
    <w:rsid w:val="00F64CAC"/>
    <w:rsid w:val="00F651CF"/>
    <w:rsid w:val="00F652F3"/>
    <w:rsid w:val="00F65500"/>
    <w:rsid w:val="00F65937"/>
    <w:rsid w:val="00F67509"/>
    <w:rsid w:val="00F71162"/>
    <w:rsid w:val="00F712DB"/>
    <w:rsid w:val="00F717C4"/>
    <w:rsid w:val="00F71EC8"/>
    <w:rsid w:val="00F721E2"/>
    <w:rsid w:val="00F72253"/>
    <w:rsid w:val="00F7280D"/>
    <w:rsid w:val="00F74084"/>
    <w:rsid w:val="00F74C76"/>
    <w:rsid w:val="00F75953"/>
    <w:rsid w:val="00F7678D"/>
    <w:rsid w:val="00F76992"/>
    <w:rsid w:val="00F77195"/>
    <w:rsid w:val="00F77331"/>
    <w:rsid w:val="00F77614"/>
    <w:rsid w:val="00F77747"/>
    <w:rsid w:val="00F778C7"/>
    <w:rsid w:val="00F8033D"/>
    <w:rsid w:val="00F8054E"/>
    <w:rsid w:val="00F810ED"/>
    <w:rsid w:val="00F81522"/>
    <w:rsid w:val="00F817A7"/>
    <w:rsid w:val="00F81C17"/>
    <w:rsid w:val="00F81D2D"/>
    <w:rsid w:val="00F81EDB"/>
    <w:rsid w:val="00F821D7"/>
    <w:rsid w:val="00F82C5B"/>
    <w:rsid w:val="00F82E88"/>
    <w:rsid w:val="00F83000"/>
    <w:rsid w:val="00F839FE"/>
    <w:rsid w:val="00F83B6F"/>
    <w:rsid w:val="00F84D43"/>
    <w:rsid w:val="00F858BE"/>
    <w:rsid w:val="00F861E6"/>
    <w:rsid w:val="00F86528"/>
    <w:rsid w:val="00F86F2C"/>
    <w:rsid w:val="00F87119"/>
    <w:rsid w:val="00F87DDD"/>
    <w:rsid w:val="00F90C7C"/>
    <w:rsid w:val="00F90D0B"/>
    <w:rsid w:val="00F91705"/>
    <w:rsid w:val="00F9180E"/>
    <w:rsid w:val="00F92BA7"/>
    <w:rsid w:val="00F9300E"/>
    <w:rsid w:val="00F931CC"/>
    <w:rsid w:val="00F9320B"/>
    <w:rsid w:val="00F93BAB"/>
    <w:rsid w:val="00F949A2"/>
    <w:rsid w:val="00F94A1A"/>
    <w:rsid w:val="00F955F6"/>
    <w:rsid w:val="00F957A3"/>
    <w:rsid w:val="00F95C03"/>
    <w:rsid w:val="00F96EF6"/>
    <w:rsid w:val="00F971F8"/>
    <w:rsid w:val="00F973A4"/>
    <w:rsid w:val="00F9751D"/>
    <w:rsid w:val="00F97AB9"/>
    <w:rsid w:val="00FA0428"/>
    <w:rsid w:val="00FA063F"/>
    <w:rsid w:val="00FA1678"/>
    <w:rsid w:val="00FA17E8"/>
    <w:rsid w:val="00FA1E42"/>
    <w:rsid w:val="00FA2031"/>
    <w:rsid w:val="00FA21E8"/>
    <w:rsid w:val="00FA290A"/>
    <w:rsid w:val="00FA2D7A"/>
    <w:rsid w:val="00FA2EA3"/>
    <w:rsid w:val="00FA2F53"/>
    <w:rsid w:val="00FA34D7"/>
    <w:rsid w:val="00FA4DF0"/>
    <w:rsid w:val="00FA507A"/>
    <w:rsid w:val="00FA548F"/>
    <w:rsid w:val="00FA549E"/>
    <w:rsid w:val="00FA60F9"/>
    <w:rsid w:val="00FA67DC"/>
    <w:rsid w:val="00FA6E1D"/>
    <w:rsid w:val="00FA7BD8"/>
    <w:rsid w:val="00FB001F"/>
    <w:rsid w:val="00FB0491"/>
    <w:rsid w:val="00FB0668"/>
    <w:rsid w:val="00FB0D81"/>
    <w:rsid w:val="00FB1695"/>
    <w:rsid w:val="00FB1C8A"/>
    <w:rsid w:val="00FB1DFB"/>
    <w:rsid w:val="00FB227A"/>
    <w:rsid w:val="00FB2AF8"/>
    <w:rsid w:val="00FB2D5E"/>
    <w:rsid w:val="00FB44AF"/>
    <w:rsid w:val="00FB44CF"/>
    <w:rsid w:val="00FB46CE"/>
    <w:rsid w:val="00FB4CA8"/>
    <w:rsid w:val="00FB4E1B"/>
    <w:rsid w:val="00FB4FA6"/>
    <w:rsid w:val="00FB5026"/>
    <w:rsid w:val="00FB52C5"/>
    <w:rsid w:val="00FB5639"/>
    <w:rsid w:val="00FB6326"/>
    <w:rsid w:val="00FB6581"/>
    <w:rsid w:val="00FB660E"/>
    <w:rsid w:val="00FB76B5"/>
    <w:rsid w:val="00FB77BA"/>
    <w:rsid w:val="00FB7B0D"/>
    <w:rsid w:val="00FC030C"/>
    <w:rsid w:val="00FC0D4B"/>
    <w:rsid w:val="00FC2254"/>
    <w:rsid w:val="00FC26CB"/>
    <w:rsid w:val="00FC2F89"/>
    <w:rsid w:val="00FC3331"/>
    <w:rsid w:val="00FC3361"/>
    <w:rsid w:val="00FC5424"/>
    <w:rsid w:val="00FC5E3B"/>
    <w:rsid w:val="00FC5F66"/>
    <w:rsid w:val="00FC66C1"/>
    <w:rsid w:val="00FC6E19"/>
    <w:rsid w:val="00FC732A"/>
    <w:rsid w:val="00FC74B5"/>
    <w:rsid w:val="00FC7A1D"/>
    <w:rsid w:val="00FD021A"/>
    <w:rsid w:val="00FD07A6"/>
    <w:rsid w:val="00FD0974"/>
    <w:rsid w:val="00FD0BAA"/>
    <w:rsid w:val="00FD0BFB"/>
    <w:rsid w:val="00FD0FEF"/>
    <w:rsid w:val="00FD1D63"/>
    <w:rsid w:val="00FD1E10"/>
    <w:rsid w:val="00FD208F"/>
    <w:rsid w:val="00FD20C7"/>
    <w:rsid w:val="00FD29D7"/>
    <w:rsid w:val="00FD3026"/>
    <w:rsid w:val="00FD3539"/>
    <w:rsid w:val="00FD3793"/>
    <w:rsid w:val="00FD46C7"/>
    <w:rsid w:val="00FD63D7"/>
    <w:rsid w:val="00FD6503"/>
    <w:rsid w:val="00FD6691"/>
    <w:rsid w:val="00FD683F"/>
    <w:rsid w:val="00FD6F1D"/>
    <w:rsid w:val="00FD7770"/>
    <w:rsid w:val="00FD7935"/>
    <w:rsid w:val="00FE05C6"/>
    <w:rsid w:val="00FE08C0"/>
    <w:rsid w:val="00FE0A3C"/>
    <w:rsid w:val="00FE1A0C"/>
    <w:rsid w:val="00FE2617"/>
    <w:rsid w:val="00FE285C"/>
    <w:rsid w:val="00FE343B"/>
    <w:rsid w:val="00FE35A9"/>
    <w:rsid w:val="00FE44BC"/>
    <w:rsid w:val="00FE4953"/>
    <w:rsid w:val="00FE500C"/>
    <w:rsid w:val="00FE521A"/>
    <w:rsid w:val="00FE571F"/>
    <w:rsid w:val="00FE5FEE"/>
    <w:rsid w:val="00FE608D"/>
    <w:rsid w:val="00FE64DB"/>
    <w:rsid w:val="00FE6BA5"/>
    <w:rsid w:val="00FE7065"/>
    <w:rsid w:val="00FE769F"/>
    <w:rsid w:val="00FE78B2"/>
    <w:rsid w:val="00FE7AAB"/>
    <w:rsid w:val="00FE7E41"/>
    <w:rsid w:val="00FF00CA"/>
    <w:rsid w:val="00FF0929"/>
    <w:rsid w:val="00FF0A4D"/>
    <w:rsid w:val="00FF13B7"/>
    <w:rsid w:val="00FF1649"/>
    <w:rsid w:val="00FF1668"/>
    <w:rsid w:val="00FF1716"/>
    <w:rsid w:val="00FF21A5"/>
    <w:rsid w:val="00FF2680"/>
    <w:rsid w:val="00FF2F7B"/>
    <w:rsid w:val="00FF3668"/>
    <w:rsid w:val="00FF4230"/>
    <w:rsid w:val="00FF4368"/>
    <w:rsid w:val="00FF4CE1"/>
    <w:rsid w:val="00FF4E42"/>
    <w:rsid w:val="00FF5020"/>
    <w:rsid w:val="00FF53CE"/>
    <w:rsid w:val="00FF5725"/>
    <w:rsid w:val="00FF60AC"/>
    <w:rsid w:val="00FF642F"/>
    <w:rsid w:val="00FF6590"/>
    <w:rsid w:val="00FF6937"/>
    <w:rsid w:val="00FF69F7"/>
    <w:rsid w:val="00FF6BB7"/>
    <w:rsid w:val="00FF6C2C"/>
    <w:rsid w:val="00FF6C4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E2DE"/>
  <w15:chartTrackingRefBased/>
  <w15:docId w15:val="{EC68BB7B-7E26-4504-9F03-5F0FA963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3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43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3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43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FA9"/>
    <w:rPr>
      <w:rFonts w:eastAsiaTheme="majorEastAsia" w:cstheme="majorBidi"/>
      <w:color w:val="272727" w:themeColor="text1" w:themeTint="D8"/>
    </w:rPr>
  </w:style>
  <w:style w:type="paragraph" w:styleId="Title">
    <w:name w:val="Title"/>
    <w:basedOn w:val="Normal"/>
    <w:next w:val="Normal"/>
    <w:link w:val="TitleChar"/>
    <w:uiPriority w:val="10"/>
    <w:qFormat/>
    <w:rsid w:val="00A43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FA9"/>
    <w:pPr>
      <w:spacing w:before="160"/>
      <w:jc w:val="center"/>
    </w:pPr>
    <w:rPr>
      <w:i/>
      <w:iCs/>
      <w:color w:val="404040" w:themeColor="text1" w:themeTint="BF"/>
    </w:rPr>
  </w:style>
  <w:style w:type="character" w:customStyle="1" w:styleId="QuoteChar">
    <w:name w:val="Quote Char"/>
    <w:basedOn w:val="DefaultParagraphFont"/>
    <w:link w:val="Quote"/>
    <w:uiPriority w:val="29"/>
    <w:rsid w:val="00A43FA9"/>
    <w:rPr>
      <w:i/>
      <w:iCs/>
      <w:color w:val="404040" w:themeColor="text1" w:themeTint="BF"/>
    </w:rPr>
  </w:style>
  <w:style w:type="paragraph" w:styleId="ListParagraph">
    <w:name w:val="List Paragraph"/>
    <w:basedOn w:val="Normal"/>
    <w:uiPriority w:val="34"/>
    <w:qFormat/>
    <w:rsid w:val="00A43FA9"/>
    <w:pPr>
      <w:ind w:left="720"/>
      <w:contextualSpacing/>
    </w:pPr>
  </w:style>
  <w:style w:type="character" w:styleId="IntenseEmphasis">
    <w:name w:val="Intense Emphasis"/>
    <w:basedOn w:val="DefaultParagraphFont"/>
    <w:uiPriority w:val="21"/>
    <w:qFormat/>
    <w:rsid w:val="00A43FA9"/>
    <w:rPr>
      <w:i/>
      <w:iCs/>
      <w:color w:val="0F4761" w:themeColor="accent1" w:themeShade="BF"/>
    </w:rPr>
  </w:style>
  <w:style w:type="paragraph" w:styleId="IntenseQuote">
    <w:name w:val="Intense Quote"/>
    <w:basedOn w:val="Normal"/>
    <w:next w:val="Normal"/>
    <w:link w:val="IntenseQuoteChar"/>
    <w:uiPriority w:val="30"/>
    <w:qFormat/>
    <w:rsid w:val="00A43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FA9"/>
    <w:rPr>
      <w:i/>
      <w:iCs/>
      <w:color w:val="0F4761" w:themeColor="accent1" w:themeShade="BF"/>
    </w:rPr>
  </w:style>
  <w:style w:type="character" w:styleId="IntenseReference">
    <w:name w:val="Intense Reference"/>
    <w:basedOn w:val="DefaultParagraphFont"/>
    <w:uiPriority w:val="32"/>
    <w:qFormat/>
    <w:rsid w:val="00A43FA9"/>
    <w:rPr>
      <w:b/>
      <w:bCs/>
      <w:smallCaps/>
      <w:color w:val="0F4761" w:themeColor="accent1" w:themeShade="BF"/>
      <w:spacing w:val="5"/>
    </w:rPr>
  </w:style>
  <w:style w:type="paragraph" w:styleId="FootnoteText">
    <w:name w:val="footnote text"/>
    <w:basedOn w:val="Normal"/>
    <w:link w:val="FootnoteTextChar"/>
    <w:uiPriority w:val="99"/>
    <w:unhideWhenUsed/>
    <w:rsid w:val="00452FA4"/>
    <w:pPr>
      <w:spacing w:after="0" w:line="240" w:lineRule="auto"/>
    </w:pPr>
    <w:rPr>
      <w:sz w:val="20"/>
      <w:szCs w:val="20"/>
    </w:rPr>
  </w:style>
  <w:style w:type="character" w:customStyle="1" w:styleId="FootnoteTextChar">
    <w:name w:val="Footnote Text Char"/>
    <w:basedOn w:val="DefaultParagraphFont"/>
    <w:link w:val="FootnoteText"/>
    <w:uiPriority w:val="99"/>
    <w:rsid w:val="00452FA4"/>
    <w:rPr>
      <w:sz w:val="20"/>
      <w:szCs w:val="20"/>
    </w:rPr>
  </w:style>
  <w:style w:type="character" w:styleId="FootnoteReference">
    <w:name w:val="footnote reference"/>
    <w:basedOn w:val="DefaultParagraphFont"/>
    <w:uiPriority w:val="99"/>
    <w:semiHidden/>
    <w:unhideWhenUsed/>
    <w:rsid w:val="00452FA4"/>
    <w:rPr>
      <w:vertAlign w:val="superscript"/>
    </w:rPr>
  </w:style>
  <w:style w:type="character" w:styleId="Hyperlink">
    <w:name w:val="Hyperlink"/>
    <w:basedOn w:val="DefaultParagraphFont"/>
    <w:uiPriority w:val="99"/>
    <w:unhideWhenUsed/>
    <w:rsid w:val="00452FA4"/>
    <w:rPr>
      <w:color w:val="467886" w:themeColor="hyperlink"/>
      <w:u w:val="single"/>
    </w:rPr>
  </w:style>
  <w:style w:type="character" w:styleId="UnresolvedMention">
    <w:name w:val="Unresolved Mention"/>
    <w:basedOn w:val="DefaultParagraphFont"/>
    <w:uiPriority w:val="99"/>
    <w:semiHidden/>
    <w:unhideWhenUsed/>
    <w:rsid w:val="000258E6"/>
    <w:rPr>
      <w:color w:val="605E5C"/>
      <w:shd w:val="clear" w:color="auto" w:fill="E1DFDD"/>
    </w:rPr>
  </w:style>
  <w:style w:type="paragraph" w:styleId="NormalWeb">
    <w:name w:val="Normal (Web)"/>
    <w:basedOn w:val="Normal"/>
    <w:uiPriority w:val="99"/>
    <w:semiHidden/>
    <w:unhideWhenUsed/>
    <w:rsid w:val="000E11E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56A5C"/>
    <w:rPr>
      <w:color w:val="96607D" w:themeColor="followedHyperlink"/>
      <w:u w:val="single"/>
    </w:rPr>
  </w:style>
  <w:style w:type="table" w:styleId="TableGrid">
    <w:name w:val="Table Grid"/>
    <w:basedOn w:val="TableNormal"/>
    <w:uiPriority w:val="39"/>
    <w:rsid w:val="00971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bracket">
    <w:name w:val="cite-bracket"/>
    <w:basedOn w:val="DefaultParagraphFont"/>
    <w:rsid w:val="004C37DF"/>
  </w:style>
  <w:style w:type="paragraph" w:styleId="EndnoteText">
    <w:name w:val="endnote text"/>
    <w:basedOn w:val="Normal"/>
    <w:link w:val="EndnoteTextChar"/>
    <w:uiPriority w:val="99"/>
    <w:semiHidden/>
    <w:unhideWhenUsed/>
    <w:rsid w:val="00592A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2A14"/>
    <w:rPr>
      <w:sz w:val="20"/>
      <w:szCs w:val="20"/>
    </w:rPr>
  </w:style>
  <w:style w:type="character" w:styleId="EndnoteReference">
    <w:name w:val="endnote reference"/>
    <w:basedOn w:val="DefaultParagraphFont"/>
    <w:uiPriority w:val="99"/>
    <w:semiHidden/>
    <w:unhideWhenUsed/>
    <w:rsid w:val="00592A14"/>
    <w:rPr>
      <w:vertAlign w:val="superscript"/>
    </w:rPr>
  </w:style>
  <w:style w:type="paragraph" w:styleId="Header">
    <w:name w:val="header"/>
    <w:basedOn w:val="Normal"/>
    <w:link w:val="HeaderChar"/>
    <w:uiPriority w:val="99"/>
    <w:unhideWhenUsed/>
    <w:rsid w:val="009516EF"/>
    <w:pPr>
      <w:tabs>
        <w:tab w:val="center" w:pos="4252"/>
        <w:tab w:val="right" w:pos="8504"/>
      </w:tabs>
      <w:spacing w:after="0" w:line="240" w:lineRule="auto"/>
    </w:pPr>
  </w:style>
  <w:style w:type="character" w:customStyle="1" w:styleId="HeaderChar">
    <w:name w:val="Header Char"/>
    <w:basedOn w:val="DefaultParagraphFont"/>
    <w:link w:val="Header"/>
    <w:uiPriority w:val="99"/>
    <w:rsid w:val="009516EF"/>
  </w:style>
  <w:style w:type="paragraph" w:styleId="Footer">
    <w:name w:val="footer"/>
    <w:basedOn w:val="Normal"/>
    <w:link w:val="FooterChar"/>
    <w:uiPriority w:val="99"/>
    <w:unhideWhenUsed/>
    <w:rsid w:val="009516EF"/>
    <w:pPr>
      <w:tabs>
        <w:tab w:val="center" w:pos="4252"/>
        <w:tab w:val="right" w:pos="8504"/>
      </w:tabs>
      <w:spacing w:after="0" w:line="240" w:lineRule="auto"/>
    </w:pPr>
  </w:style>
  <w:style w:type="character" w:customStyle="1" w:styleId="FooterChar">
    <w:name w:val="Footer Char"/>
    <w:basedOn w:val="DefaultParagraphFont"/>
    <w:link w:val="Footer"/>
    <w:uiPriority w:val="99"/>
    <w:rsid w:val="00951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fabriziogilardi.org/resources/papers/gilardi_maggetti_handbook.pdf" TargetMode="External"/><Relationship Id="rId18" Type="http://schemas.openxmlformats.org/officeDocument/2006/relationships/hyperlink" Target="https://jornalistas.eu/wp-content/uploads/2021/07/Estatutos_BTE.pdf" TargetMode="External"/><Relationship Id="rId26" Type="http://schemas.openxmlformats.org/officeDocument/2006/relationships/hyperlink" Target="https://carlospintodeabreu.com/wp-content/uploads/2021/04/Crime-de-difama%C3%A7%C3%A3o-liberdade-de-imprensa-liberdade-de-express%C3%A3o.pdf" TargetMode="External"/><Relationship Id="rId3" Type="http://schemas.openxmlformats.org/officeDocument/2006/relationships/hyperlink" Target="https://app.parlamento.pt/comunicar/Artigo.aspx?ID=1283" TargetMode="External"/><Relationship Id="rId21" Type="http://schemas.openxmlformats.org/officeDocument/2006/relationships/hyperlink" Target="http://www.dgsi.pt/jstj" TargetMode="External"/><Relationship Id="rId34" Type="http://schemas.openxmlformats.org/officeDocument/2006/relationships/hyperlink" Target="https://www.erc.pt/imagem/Eixos%20Estrat%C3%A9gicos%20ERC%202023-2028.pdf" TargetMode="External"/><Relationship Id="rId7" Type="http://schemas.openxmlformats.org/officeDocument/2006/relationships/hyperlink" Target="https://ec.europa.eu/commission/presscorner/detail/en/ip_20_2250" TargetMode="External"/><Relationship Id="rId12" Type="http://schemas.openxmlformats.org/officeDocument/2006/relationships/hyperlink" Target="https://www.v-dem.net/media/filer_public/72/20/7220f61e-b4fc-4399-8f12-bee59e1cfd14/pandem_codebook_v2.pdf" TargetMode="External"/><Relationship Id="rId17" Type="http://schemas.openxmlformats.org/officeDocument/2006/relationships/hyperlink" Target="https://www.obercom.pt/" TargetMode="External"/><Relationship Id="rId25" Type="http://schemas.openxmlformats.org/officeDocument/2006/relationships/hyperlink" Target="https://www.stj.pt/wp-content/uploads/2024/02/cadernoliberdadeexpressoinformaodireitospersonalidadejurisprudncia-stj.pdf" TargetMode="External"/><Relationship Id="rId33" Type="http://schemas.openxmlformats.org/officeDocument/2006/relationships/hyperlink" Target="http://www.dgsi.pt/" TargetMode="External"/><Relationship Id="rId2" Type="http://schemas.openxmlformats.org/officeDocument/2006/relationships/hyperlink" Target="https://app.parlamento.pt/comunicar/Artigo.aspx?ID=1283" TargetMode="External"/><Relationship Id="rId16" Type="http://schemas.openxmlformats.org/officeDocument/2006/relationships/hyperlink" Target="https://www.erc.pt/pt/estudos/relatorios-de-actividades-e-contas/relatorio-de-atividades-e-contas-da-entidade-reguladora-para-a-comunicacao-social-2024-/" TargetMode="External"/><Relationship Id="rId20" Type="http://schemas.openxmlformats.org/officeDocument/2006/relationships/hyperlink" Target="https://jornalistas.eu/wp-content/uploads/2023/08/BOLETIM-DO-TRABALHO-E-EMPREGO-29_2023.pdf" TargetMode="External"/><Relationship Id="rId29" Type="http://schemas.openxmlformats.org/officeDocument/2006/relationships/hyperlink" Target="http://www.dgsi.pt/jstj" TargetMode="External"/><Relationship Id="rId1" Type="http://schemas.openxmlformats.org/officeDocument/2006/relationships/hyperlink" Target="https://app.parlamento.pt/comunicar/Artigo.aspx?ID=1283" TargetMode="External"/><Relationship Id="rId6" Type="http://schemas.openxmlformats.org/officeDocument/2006/relationships/hyperlink" Target="https://digital-strategy.ec.europa.eu/pt/policies/media-freedom" TargetMode="External"/><Relationship Id="rId11" Type="http://schemas.openxmlformats.org/officeDocument/2006/relationships/hyperlink" Target="https://www.v-dem.net/media/filer_public/86/3c/863c20b1-05ca-4057-b78b-f3e96110afb5/clean_v2_us.csv" TargetMode="External"/><Relationship Id="rId24" Type="http://schemas.openxmlformats.org/officeDocument/2006/relationships/hyperlink" Target="http://www.dgsi.pt/jstj" TargetMode="External"/><Relationship Id="rId32" Type="http://schemas.openxmlformats.org/officeDocument/2006/relationships/hyperlink" Target="http://www.dgsi.pt/jstj" TargetMode="External"/><Relationship Id="rId5" Type="http://schemas.openxmlformats.org/officeDocument/2006/relationships/hyperlink" Target="https://data.consilium.europa.eu/doc/document/ST-10505-2022-INIT/pt/pdf" TargetMode="External"/><Relationship Id="rId15" Type="http://schemas.openxmlformats.org/officeDocument/2006/relationships/hyperlink" Target="https://www.erc.pt/imagem/Projeto%20Diretiva%20Separa%C3%A7%C3%A3o%20conte%C3%BAdos%20jornal%C3%ADsticos%20e%20conte%C3%BAdos%20comerciaisvf.pdf" TargetMode="External"/><Relationship Id="rId23" Type="http://schemas.openxmlformats.org/officeDocument/2006/relationships/hyperlink" Target="http://www.dgsi.pt/jstj" TargetMode="External"/><Relationship Id="rId28" Type="http://schemas.openxmlformats.org/officeDocument/2006/relationships/hyperlink" Target="http://www.dgsi.pt/jstj" TargetMode="External"/><Relationship Id="rId36" Type="http://schemas.openxmlformats.org/officeDocument/2006/relationships/hyperlink" Target="https://www.pewresearch.org/short-reads/2025/04/24/americans-remain-concerned-about-press-freedoms-but-partisan-views-have-flipped-since-2024/" TargetMode="External"/><Relationship Id="rId10" Type="http://schemas.openxmlformats.org/officeDocument/2006/relationships/hyperlink" Target="http://www.cecs.uminho.pt/investigadores-do-cecs-estudam-mediatizacao-da-covid-19/" TargetMode="External"/><Relationship Id="rId19" Type="http://schemas.openxmlformats.org/officeDocument/2006/relationships/hyperlink" Target="https://jornalistas.eu/deontologico/regulamento-do-conselho-deontologico-06-2020/" TargetMode="External"/><Relationship Id="rId31" Type="http://schemas.openxmlformats.org/officeDocument/2006/relationships/hyperlink" Target="http://www.dgsi.pt/jstj" TargetMode="External"/><Relationship Id="rId4" Type="http://schemas.openxmlformats.org/officeDocument/2006/relationships/hyperlink" Target="https://digital-strategy.ec.europa.eu/en/policies/copyright-legislation" TargetMode="External"/><Relationship Id="rId9" Type="http://schemas.openxmlformats.org/officeDocument/2006/relationships/hyperlink" Target="http://www.echr.coe.int/echr" TargetMode="External"/><Relationship Id="rId14" Type="http://schemas.openxmlformats.org/officeDocument/2006/relationships/hyperlink" Target="https://ssrn.com/abstract=961755" TargetMode="External"/><Relationship Id="rId22" Type="http://schemas.openxmlformats.org/officeDocument/2006/relationships/hyperlink" Target="http://www.dgsi.pt/jstj" TargetMode="External"/><Relationship Id="rId27" Type="http://schemas.openxmlformats.org/officeDocument/2006/relationships/hyperlink" Target="http://www.dgsi.pt/jstj" TargetMode="External"/><Relationship Id="rId30" Type="http://schemas.openxmlformats.org/officeDocument/2006/relationships/hyperlink" Target="https://hudoc.echr.coe.int/eng" TargetMode="External"/><Relationship Id="rId35" Type="http://schemas.openxmlformats.org/officeDocument/2006/relationships/hyperlink" Target="https://ipi.media/wp-content/uploads/2016/08/PortugalCriminalDef_IPI_ENG.pdf" TargetMode="External"/><Relationship Id="rId8" Type="http://schemas.openxmlformats.org/officeDocument/2006/relationships/hyperlink" Target="https://digital-strategy.ec.europa.eu/en/library/recommendation-protection-safety-and-empowerment-journalis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68844-6F5A-4069-8313-741BC3C1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33724</Words>
  <Characters>192227</Characters>
  <Application>Microsoft Office Word</Application>
  <DocSecurity>0</DocSecurity>
  <Lines>1601</Lines>
  <Paragraphs>450</Paragraphs>
  <ScaleCrop>false</ScaleCrop>
  <Company/>
  <LinksUpToDate>false</LinksUpToDate>
  <CharactersWithSpaces>225501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Saraiva</dc:creator>
  <cp:keywords/>
  <dc:description/>
  <cp:lastModifiedBy>Michael Epstein</cp:lastModifiedBy>
  <cp:revision>2</cp:revision>
  <dcterms:created xsi:type="dcterms:W3CDTF">2025-11-13T16:17:00Z</dcterms:created>
  <dcterms:modified xsi:type="dcterms:W3CDTF">2025-11-13T16:17:00Z</dcterms:modified>
</cp:coreProperties>
</file>