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6555" w14:textId="77777777" w:rsidR="00D4322B" w:rsidRPr="00846380" w:rsidRDefault="00D4322B" w:rsidP="00D4322B">
      <w:pPr>
        <w:rPr>
          <w:b/>
        </w:rPr>
      </w:pPr>
      <w:r w:rsidRPr="00D4322B">
        <w:rPr>
          <w:b/>
        </w:rPr>
        <w:t xml:space="preserve">Whose Freedom of the </w:t>
      </w:r>
      <w:r w:rsidRPr="00846380">
        <w:rPr>
          <w:b/>
        </w:rPr>
        <w:t xml:space="preserve">Press </w:t>
      </w:r>
      <w:r w:rsidRPr="00FF251D">
        <w:rPr>
          <w:b/>
          <w:bCs/>
        </w:rPr>
        <w:t>Is It Anyway</w:t>
      </w:r>
      <w:r w:rsidRPr="00846380">
        <w:rPr>
          <w:b/>
        </w:rPr>
        <w:t>?</w:t>
      </w:r>
    </w:p>
    <w:p w14:paraId="0D3F440D" w14:textId="77777777" w:rsidR="00D4322B" w:rsidRDefault="00D4322B" w:rsidP="00D4322B">
      <w:r w:rsidRPr="00846380">
        <w:rPr>
          <w:b/>
        </w:rPr>
        <w:t>Roy Peled</w:t>
      </w:r>
    </w:p>
    <w:p w14:paraId="4F2255DA" w14:textId="3FF74B60" w:rsidR="00D4322B" w:rsidRDefault="00D4322B" w:rsidP="00D4322B">
      <w:pPr>
        <w:rPr>
          <w:rFonts w:eastAsia="Calibri"/>
          <w:rtl/>
        </w:rPr>
      </w:pPr>
      <w:r>
        <w:rPr>
          <w:rFonts w:eastAsia="Calibri"/>
        </w:rPr>
        <w:t>“Editing is what editors are for</w:t>
      </w:r>
      <w:r w:rsidRPr="00FF251D">
        <w:t>,”</w:t>
      </w:r>
      <w:r>
        <w:rPr>
          <w:rFonts w:eastAsia="Calibri"/>
        </w:rPr>
        <w:t xml:space="preserve"> the Supreme Court famously ruled in </w:t>
      </w:r>
      <w:r>
        <w:rPr>
          <w:rFonts w:eastAsia="Calibri"/>
          <w:i/>
          <w:iCs/>
        </w:rPr>
        <w:t>CBS v. DNC</w:t>
      </w:r>
      <w:r w:rsidRPr="00846380">
        <w:t xml:space="preserve"> </w:t>
      </w:r>
      <w:r w:rsidRPr="00FF251D">
        <w:t>(</w:t>
      </w:r>
      <w:r>
        <w:rPr>
          <w:rFonts w:eastAsia="Calibri"/>
        </w:rPr>
        <w:t>1973</w:t>
      </w:r>
      <w:r>
        <w:rPr>
          <w:rFonts w:eastAsia="Calibri" w:hint="cs"/>
          <w:rtl/>
        </w:rPr>
        <w:t>(</w:t>
      </w:r>
      <w:r>
        <w:rPr>
          <w:rFonts w:eastAsia="Calibri"/>
        </w:rPr>
        <w:t>.</w:t>
      </w:r>
      <w:r>
        <w:rPr>
          <w:rStyle w:val="FootnoteReference"/>
          <w:rFonts w:eastAsia="Calibri"/>
        </w:rPr>
        <w:footnoteReference w:id="1"/>
      </w:r>
      <w:r>
        <w:rPr>
          <w:rFonts w:eastAsia="Calibri"/>
        </w:rPr>
        <w:t xml:space="preserve"> When the </w:t>
      </w:r>
      <w:r w:rsidRPr="00FF251D">
        <w:t>Court</w:t>
      </w:r>
      <w:r>
        <w:rPr>
          <w:rFonts w:eastAsia="Calibri"/>
        </w:rPr>
        <w:t xml:space="preserve"> was asked to </w:t>
      </w:r>
      <w:r w:rsidRPr="00FF251D">
        <w:t>determine whether</w:t>
      </w:r>
      <w:r>
        <w:rPr>
          <w:rFonts w:eastAsia="Calibri"/>
        </w:rPr>
        <w:t xml:space="preserve"> the </w:t>
      </w:r>
      <w:r w:rsidRPr="00FF251D">
        <w:t>First Amendment</w:t>
      </w:r>
      <w:r>
        <w:rPr>
          <w:rFonts w:eastAsia="Calibri"/>
        </w:rPr>
        <w:t xml:space="preserve"> required a broadcaster to </w:t>
      </w:r>
      <w:r w:rsidRPr="00FF251D">
        <w:t>air</w:t>
      </w:r>
      <w:r>
        <w:rPr>
          <w:rFonts w:eastAsia="Calibri"/>
        </w:rPr>
        <w:t xml:space="preserve"> anti-war advertisements, Justice </w:t>
      </w:r>
      <w:r w:rsidRPr="00FF251D">
        <w:t>Burger</w:t>
      </w:r>
      <w:r>
        <w:rPr>
          <w:rFonts w:eastAsia="Calibri"/>
        </w:rPr>
        <w:t xml:space="preserve"> wrote that doing so “in the name of the First Amendment would be a contradiction</w:t>
      </w:r>
      <w:r w:rsidRPr="00FF251D">
        <w:t>.”</w:t>
      </w:r>
      <w:r>
        <w:rPr>
          <w:rStyle w:val="FootnoteReference"/>
          <w:rFonts w:eastAsia="Calibri"/>
        </w:rPr>
        <w:footnoteReference w:id="2"/>
      </w:r>
      <w:r>
        <w:rPr>
          <w:rFonts w:eastAsia="Calibri"/>
        </w:rPr>
        <w:t xml:space="preserve"> In another landmark case a year later, </w:t>
      </w:r>
      <w:r>
        <w:rPr>
          <w:rFonts w:eastAsia="Calibri"/>
          <w:i/>
          <w:iCs/>
        </w:rPr>
        <w:t>Miami Herald v. Tornillo</w:t>
      </w:r>
      <w:r w:rsidRPr="00FF251D">
        <w:t>,</w:t>
      </w:r>
      <w:r w:rsidRPr="00846380">
        <w:t xml:space="preserve"> </w:t>
      </w:r>
      <w:r w:rsidRPr="0011227D">
        <w:t>the</w:t>
      </w:r>
      <w:r>
        <w:rPr>
          <w:rFonts w:eastAsia="Calibri"/>
        </w:rPr>
        <w:t xml:space="preserve"> Court concluded that any legal interference with </w:t>
      </w:r>
      <w:r w:rsidRPr="00FF251D">
        <w:t>an editor’s</w:t>
      </w:r>
      <w:r>
        <w:rPr>
          <w:rFonts w:eastAsia="Calibri"/>
        </w:rPr>
        <w:t xml:space="preserve"> choices</w:t>
      </w:r>
      <w:r w:rsidRPr="00FF251D">
        <w:t>—</w:t>
      </w:r>
      <w:r>
        <w:rPr>
          <w:rFonts w:eastAsia="Calibri"/>
        </w:rPr>
        <w:t>fair or unfair</w:t>
      </w:r>
      <w:r w:rsidRPr="00FF251D">
        <w:t>—</w:t>
      </w:r>
      <w:r>
        <w:rPr>
          <w:rFonts w:eastAsia="Calibri"/>
        </w:rPr>
        <w:t xml:space="preserve">violates the </w:t>
      </w:r>
      <w:r w:rsidRPr="00FF251D">
        <w:t>First Amendment.</w:t>
      </w:r>
      <w:bookmarkStart w:id="0" w:name="_Ref212036513"/>
      <w:r>
        <w:rPr>
          <w:rStyle w:val="FootnoteReference"/>
          <w:rFonts w:eastAsia="Calibri"/>
        </w:rPr>
        <w:footnoteReference w:id="3"/>
      </w:r>
      <w:bookmarkEnd w:id="0"/>
      <w:r>
        <w:rPr>
          <w:rFonts w:eastAsia="Calibri"/>
        </w:rPr>
        <w:t xml:space="preserve"> In 2014</w:t>
      </w:r>
      <w:r w:rsidRPr="00FF251D">
        <w:t>,</w:t>
      </w:r>
      <w:r>
        <w:rPr>
          <w:rFonts w:eastAsia="Calibri"/>
        </w:rPr>
        <w:t xml:space="preserve"> a federal court ruled that a search engine is protected by the </w:t>
      </w:r>
      <w:r w:rsidRPr="00FF251D">
        <w:t>First Amendment</w:t>
      </w:r>
      <w:r>
        <w:rPr>
          <w:rFonts w:eastAsia="Calibri"/>
        </w:rPr>
        <w:t xml:space="preserve"> when it skews search results to </w:t>
      </w:r>
      <w:r w:rsidRPr="00FF251D">
        <w:t>suppress</w:t>
      </w:r>
      <w:r>
        <w:rPr>
          <w:rFonts w:eastAsia="Calibri"/>
        </w:rPr>
        <w:t xml:space="preserve"> certain political views</w:t>
      </w:r>
      <w:r w:rsidRPr="00FF251D">
        <w:t>.</w:t>
      </w:r>
      <w:r>
        <w:rPr>
          <w:rStyle w:val="FootnoteReference"/>
          <w:rFonts w:eastAsia="Calibri"/>
        </w:rPr>
        <w:footnoteReference w:id="4"/>
      </w:r>
      <w:r>
        <w:rPr>
          <w:rFonts w:eastAsia="Calibri" w:hint="cs"/>
          <w:rtl/>
        </w:rPr>
        <w:t xml:space="preserve"> </w:t>
      </w:r>
      <w:r>
        <w:rPr>
          <w:rFonts w:eastAsia="Calibri"/>
        </w:rPr>
        <w:t xml:space="preserve">More recent cases </w:t>
      </w:r>
      <w:r w:rsidRPr="00FF251D">
        <w:t>confirm</w:t>
      </w:r>
      <w:r>
        <w:rPr>
          <w:rFonts w:eastAsia="Calibri"/>
        </w:rPr>
        <w:t xml:space="preserve"> the Court’s reluctance to accept government restrictions on private media organizations</w:t>
      </w:r>
      <w:r w:rsidRPr="00FF251D">
        <w:t>, including</w:t>
      </w:r>
      <w:r>
        <w:rPr>
          <w:rStyle w:val="FootnoteReference"/>
          <w:rFonts w:eastAsia="Calibri"/>
        </w:rPr>
        <w:footnoteReference w:id="5"/>
      </w:r>
      <w:r>
        <w:rPr>
          <w:rFonts w:eastAsia="Calibri"/>
        </w:rPr>
        <w:t xml:space="preserve"> social media companies.</w:t>
      </w:r>
      <w:r>
        <w:rPr>
          <w:rStyle w:val="FootnoteReference"/>
          <w:rFonts w:eastAsia="Calibri"/>
        </w:rPr>
        <w:footnoteReference w:id="6"/>
      </w:r>
      <w:r w:rsidRPr="00FF251D">
        <w:t xml:space="preserve"> In </w:t>
      </w:r>
      <w:r>
        <w:rPr>
          <w:rFonts w:eastAsia="Calibri"/>
        </w:rPr>
        <w:t>all of these</w:t>
      </w:r>
      <w:r w:rsidRPr="00FF251D">
        <w:t>—</w:t>
      </w:r>
      <w:r>
        <w:rPr>
          <w:rFonts w:eastAsia="Calibri"/>
        </w:rPr>
        <w:t xml:space="preserve">and many </w:t>
      </w:r>
      <w:r w:rsidRPr="00FF251D">
        <w:t>similar—</w:t>
      </w:r>
      <w:r>
        <w:rPr>
          <w:rStyle w:val="FootnoteReference"/>
          <w:rFonts w:eastAsia="Calibri"/>
        </w:rPr>
        <w:footnoteReference w:id="7"/>
      </w:r>
      <w:r>
        <w:rPr>
          <w:rFonts w:eastAsia="Calibri"/>
        </w:rPr>
        <w:t xml:space="preserve"> </w:t>
      </w:r>
      <w:r>
        <w:rPr>
          <w:rFonts w:eastAsia="Calibri"/>
        </w:rPr>
        <w:t xml:space="preserve">cases, the </w:t>
      </w:r>
      <w:r w:rsidRPr="00FF251D">
        <w:t>Court held</w:t>
      </w:r>
      <w:r>
        <w:rPr>
          <w:rFonts w:eastAsia="Calibri"/>
        </w:rPr>
        <w:t xml:space="preserve"> that news organizations (</w:t>
      </w:r>
      <w:r w:rsidRPr="00FF251D">
        <w:t>used here</w:t>
      </w:r>
      <w:r>
        <w:rPr>
          <w:rFonts w:eastAsia="Calibri"/>
        </w:rPr>
        <w:t xml:space="preserve"> interchangeably with “the press”) have a </w:t>
      </w:r>
      <w:r w:rsidRPr="00FF251D">
        <w:t>First Amendment</w:t>
      </w:r>
      <w:r>
        <w:rPr>
          <w:rFonts w:eastAsia="Calibri"/>
        </w:rPr>
        <w:t xml:space="preserve"> right to withhold information from the public. </w:t>
      </w:r>
      <w:r w:rsidRPr="00FF251D">
        <w:t>Together they</w:t>
      </w:r>
      <w:r>
        <w:rPr>
          <w:rFonts w:eastAsia="Calibri"/>
        </w:rPr>
        <w:t xml:space="preserve"> project a </w:t>
      </w:r>
      <w:r w:rsidRPr="00FF251D">
        <w:t>particular conception</w:t>
      </w:r>
      <w:r>
        <w:rPr>
          <w:rFonts w:eastAsia="Calibri"/>
        </w:rPr>
        <w:t xml:space="preserve"> of “freedom of the press</w:t>
      </w:r>
      <w:r w:rsidRPr="00FF251D">
        <w:t xml:space="preserve">”: one that grants </w:t>
      </w:r>
      <w:r>
        <w:rPr>
          <w:rFonts w:eastAsia="Calibri"/>
        </w:rPr>
        <w:t xml:space="preserve">journalists </w:t>
      </w:r>
      <w:r w:rsidRPr="00FF251D">
        <w:t xml:space="preserve">and media corporations </w:t>
      </w:r>
      <w:r>
        <w:rPr>
          <w:rFonts w:eastAsia="Calibri"/>
        </w:rPr>
        <w:t xml:space="preserve">liberty to </w:t>
      </w:r>
      <w:r w:rsidRPr="00FF251D">
        <w:t>publish</w:t>
      </w:r>
      <w:r>
        <w:rPr>
          <w:rFonts w:eastAsia="Calibri"/>
        </w:rPr>
        <w:t xml:space="preserve"> or suppress information </w:t>
      </w:r>
      <w:r w:rsidRPr="00FF251D">
        <w:t xml:space="preserve">as </w:t>
      </w:r>
      <w:r>
        <w:rPr>
          <w:rFonts w:eastAsia="Calibri"/>
        </w:rPr>
        <w:t>they see fit, free from regulatory or judicial intervention.</w:t>
      </w:r>
    </w:p>
    <w:p w14:paraId="73446FB3" w14:textId="77777777" w:rsidR="00D4322B" w:rsidRDefault="00D4322B" w:rsidP="00D4322B">
      <w:pPr>
        <w:rPr>
          <w:rFonts w:eastAsia="Calibri"/>
        </w:rPr>
      </w:pPr>
      <w:r>
        <w:rPr>
          <w:rFonts w:eastAsia="Calibri"/>
        </w:rPr>
        <w:t>From this jurisprudence</w:t>
      </w:r>
      <w:r w:rsidRPr="00FF251D">
        <w:t>,</w:t>
      </w:r>
      <w:r>
        <w:rPr>
          <w:rFonts w:eastAsia="Calibri"/>
        </w:rPr>
        <w:t xml:space="preserve"> freedom of the press emerges as the free speech of individuals who happen to be journalists or editors. In some cases</w:t>
      </w:r>
      <w:r w:rsidRPr="00FF251D">
        <w:t>, mainly</w:t>
      </w:r>
      <w:r>
        <w:rPr>
          <w:rFonts w:eastAsia="Calibri"/>
        </w:rPr>
        <w:t xml:space="preserve"> at </w:t>
      </w:r>
      <w:r w:rsidRPr="00FF251D">
        <w:t xml:space="preserve">the </w:t>
      </w:r>
      <w:r>
        <w:rPr>
          <w:rFonts w:eastAsia="Calibri"/>
        </w:rPr>
        <w:t>state level</w:t>
      </w:r>
      <w:r w:rsidRPr="00FF251D">
        <w:t>, this</w:t>
      </w:r>
      <w:r>
        <w:rPr>
          <w:rFonts w:eastAsia="Calibri"/>
        </w:rPr>
        <w:t xml:space="preserve"> speech is </w:t>
      </w:r>
      <w:r w:rsidRPr="00FF251D">
        <w:t>given heightened protection compared with that</w:t>
      </w:r>
      <w:r>
        <w:rPr>
          <w:rFonts w:eastAsia="Calibri"/>
        </w:rPr>
        <w:t xml:space="preserve"> of other </w:t>
      </w:r>
      <w:r w:rsidRPr="00FF251D">
        <w:t>citizens. Yet</w:t>
      </w:r>
      <w:r>
        <w:rPr>
          <w:rFonts w:eastAsia="Calibri"/>
        </w:rPr>
        <w:t xml:space="preserve"> if freedom of the press </w:t>
      </w:r>
      <w:r w:rsidRPr="00FF251D">
        <w:t xml:space="preserve">means only </w:t>
      </w:r>
      <w:r>
        <w:rPr>
          <w:rFonts w:eastAsia="Calibri"/>
        </w:rPr>
        <w:t xml:space="preserve">the speech </w:t>
      </w:r>
      <w:r w:rsidRPr="00FF251D">
        <w:t xml:space="preserve">rights </w:t>
      </w:r>
      <w:r>
        <w:rPr>
          <w:rFonts w:eastAsia="Calibri"/>
        </w:rPr>
        <w:t xml:space="preserve">of individuals who </w:t>
      </w:r>
      <w:r w:rsidRPr="00FF251D">
        <w:t>work in journalism,</w:t>
      </w:r>
      <w:r>
        <w:rPr>
          <w:rFonts w:eastAsia="Calibri"/>
        </w:rPr>
        <w:t xml:space="preserve"> it would </w:t>
      </w:r>
      <w:r w:rsidRPr="00FF251D">
        <w:t>be</w:t>
      </w:r>
      <w:r>
        <w:rPr>
          <w:rFonts w:eastAsia="Calibri"/>
        </w:rPr>
        <w:t>, as Justice Stewart observed in 1974</w:t>
      </w:r>
      <w:r w:rsidRPr="00FF251D">
        <w:t>, a constitutional redundancy.</w:t>
      </w:r>
      <w:r>
        <w:rPr>
          <w:rStyle w:val="FootnoteReference"/>
          <w:rFonts w:eastAsia="Calibri"/>
        </w:rPr>
        <w:footnoteReference w:id="8"/>
      </w:r>
      <w:r w:rsidRPr="00FF251D">
        <w:t xml:space="preserve"> Stewart proposed one way to resolve </w:t>
      </w:r>
      <w:r>
        <w:rPr>
          <w:rFonts w:eastAsia="Calibri"/>
        </w:rPr>
        <w:t xml:space="preserve">this </w:t>
      </w:r>
      <w:r w:rsidRPr="00FF251D">
        <w:t>redundancy:</w:t>
      </w:r>
      <w:r>
        <w:rPr>
          <w:rFonts w:eastAsia="Calibri"/>
        </w:rPr>
        <w:t xml:space="preserve"> that freedom of the press </w:t>
      </w:r>
      <w:r w:rsidRPr="00FF251D">
        <w:t>confers specific</w:t>
      </w:r>
      <w:r>
        <w:rPr>
          <w:rFonts w:eastAsia="Calibri"/>
        </w:rPr>
        <w:t xml:space="preserve"> privileges </w:t>
      </w:r>
      <w:r w:rsidRPr="00FF251D">
        <w:t xml:space="preserve">on </w:t>
      </w:r>
      <w:r>
        <w:rPr>
          <w:rFonts w:eastAsia="Calibri"/>
        </w:rPr>
        <w:t>institutional media</w:t>
      </w:r>
      <w:r w:rsidRPr="00FF251D">
        <w:t xml:space="preserve"> actors that are </w:t>
      </w:r>
      <w:r>
        <w:rPr>
          <w:rFonts w:eastAsia="Calibri"/>
        </w:rPr>
        <w:t xml:space="preserve">not </w:t>
      </w:r>
      <w:r w:rsidRPr="00FF251D">
        <w:t>available</w:t>
      </w:r>
      <w:r>
        <w:rPr>
          <w:rFonts w:eastAsia="Calibri"/>
        </w:rPr>
        <w:t xml:space="preserve"> to </w:t>
      </w:r>
      <w:r w:rsidRPr="00FF251D">
        <w:t>others.</w:t>
      </w:r>
      <w:r>
        <w:rPr>
          <w:rStyle w:val="FootnoteReference"/>
          <w:rFonts w:eastAsia="Calibri"/>
        </w:rPr>
        <w:footnoteReference w:id="9"/>
      </w:r>
      <w:r>
        <w:rPr>
          <w:rFonts w:eastAsia="Calibri"/>
        </w:rPr>
        <w:t xml:space="preserve"> Such privileges</w:t>
      </w:r>
      <w:r w:rsidRPr="00FF251D">
        <w:t>—most notably the confidentiality protections</w:t>
      </w:r>
      <w:r>
        <w:rPr>
          <w:rFonts w:eastAsia="Calibri"/>
        </w:rPr>
        <w:t xml:space="preserve"> enshrined in state “shield laws</w:t>
      </w:r>
      <w:r w:rsidRPr="00FF251D">
        <w:t>,” now</w:t>
      </w:r>
      <w:r>
        <w:rPr>
          <w:rFonts w:eastAsia="Calibri"/>
        </w:rPr>
        <w:t xml:space="preserve"> existing in all but two </w:t>
      </w:r>
      <w:r w:rsidRPr="00FF251D">
        <w:t>U.S. states</w:t>
      </w:r>
      <w:r>
        <w:rPr>
          <w:rStyle w:val="FootnoteReference"/>
          <w:rFonts w:eastAsia="Calibri"/>
        </w:rPr>
        <w:footnoteReference w:id="10"/>
      </w:r>
      <w:r w:rsidRPr="00FF251D">
        <w:t xml:space="preserve">—safeguard </w:t>
      </w:r>
      <w:r>
        <w:rPr>
          <w:rFonts w:eastAsia="Calibri"/>
        </w:rPr>
        <w:t xml:space="preserve">journalists’ sources and </w:t>
      </w:r>
      <w:r w:rsidRPr="00FF251D">
        <w:t>related professional</w:t>
      </w:r>
      <w:r>
        <w:rPr>
          <w:rFonts w:eastAsia="Calibri"/>
        </w:rPr>
        <w:t xml:space="preserve"> interests. This is one plausible </w:t>
      </w:r>
      <w:r w:rsidRPr="00FF251D">
        <w:t xml:space="preserve">justification for retaining a separate </w:t>
      </w:r>
      <w:r>
        <w:rPr>
          <w:rFonts w:eastAsia="Calibri"/>
        </w:rPr>
        <w:t xml:space="preserve">constitutional </w:t>
      </w:r>
      <w:r w:rsidRPr="00FF251D">
        <w:t xml:space="preserve">clause on press </w:t>
      </w:r>
      <w:r>
        <w:rPr>
          <w:rFonts w:eastAsia="Calibri"/>
        </w:rPr>
        <w:t xml:space="preserve">freedom in addition to </w:t>
      </w:r>
      <w:r w:rsidRPr="00FF251D">
        <w:t>the guarantee</w:t>
      </w:r>
      <w:r>
        <w:rPr>
          <w:rFonts w:eastAsia="Calibri"/>
        </w:rPr>
        <w:t xml:space="preserve"> of </w:t>
      </w:r>
      <w:r w:rsidRPr="00FF251D">
        <w:t>free</w:t>
      </w:r>
      <w:r>
        <w:rPr>
          <w:rFonts w:eastAsia="Calibri"/>
        </w:rPr>
        <w:t xml:space="preserve"> speech.</w:t>
      </w:r>
      <w:r w:rsidRPr="00FF251D">
        <w:br/>
      </w:r>
      <w:r>
        <w:rPr>
          <w:rFonts w:eastAsia="Calibri"/>
        </w:rPr>
        <w:t>This paper</w:t>
      </w:r>
      <w:r w:rsidRPr="00FF251D">
        <w:t>, however,</w:t>
      </w:r>
      <w:r>
        <w:rPr>
          <w:rFonts w:eastAsia="Calibri"/>
        </w:rPr>
        <w:t xml:space="preserve"> argues that the justifications </w:t>
      </w:r>
      <w:r w:rsidRPr="00FF251D">
        <w:t xml:space="preserve">offered for recognizing freedom of the </w:t>
      </w:r>
      <w:r w:rsidRPr="00FF251D">
        <w:lastRenderedPageBreak/>
        <w:t>press reveal</w:t>
      </w:r>
      <w:r>
        <w:rPr>
          <w:rFonts w:eastAsia="Calibri"/>
        </w:rPr>
        <w:t xml:space="preserve"> this explanation to be incomplete. </w:t>
      </w:r>
      <w:r w:rsidRPr="00FF251D">
        <w:t xml:space="preserve">While in practice the right may entail certain </w:t>
      </w:r>
      <w:r>
        <w:rPr>
          <w:rFonts w:eastAsia="Calibri"/>
        </w:rPr>
        <w:t>privileges</w:t>
      </w:r>
      <w:r w:rsidRPr="00FF251D">
        <w:t xml:space="preserve">, identifying them requires redefining </w:t>
      </w:r>
      <w:r>
        <w:rPr>
          <w:rFonts w:eastAsia="Calibri"/>
        </w:rPr>
        <w:t xml:space="preserve">the right </w:t>
      </w:r>
      <w:r w:rsidRPr="00FF251D">
        <w:t xml:space="preserve">itself. Freedom of the press should not be understood as the </w:t>
      </w:r>
      <w:r>
        <w:rPr>
          <w:rFonts w:eastAsia="Calibri"/>
        </w:rPr>
        <w:t xml:space="preserve">right of </w:t>
      </w:r>
      <w:r w:rsidRPr="00FF251D">
        <w:t xml:space="preserve">journalists or media organizations, but as a right of the </w:t>
      </w:r>
      <w:r>
        <w:rPr>
          <w:rFonts w:eastAsia="Calibri"/>
        </w:rPr>
        <w:t xml:space="preserve">public at large. </w:t>
      </w:r>
      <w:r w:rsidRPr="00FF251D">
        <w:t xml:space="preserve">The press </w:t>
      </w:r>
      <w:r>
        <w:rPr>
          <w:rFonts w:eastAsia="Calibri"/>
        </w:rPr>
        <w:t xml:space="preserve">should be </w:t>
      </w:r>
      <w:r w:rsidRPr="00FF251D">
        <w:t xml:space="preserve">viewed not primarily as a bearer of rights, but </w:t>
      </w:r>
      <w:r>
        <w:rPr>
          <w:rFonts w:eastAsia="Calibri"/>
        </w:rPr>
        <w:t xml:space="preserve">as a </w:t>
      </w:r>
      <w:r w:rsidRPr="00FF251D">
        <w:t xml:space="preserve">bearer of duties—the duty to secure the </w:t>
      </w:r>
      <w:r>
        <w:rPr>
          <w:rFonts w:eastAsia="Calibri"/>
        </w:rPr>
        <w:t xml:space="preserve">public’s right to freedom of the press. </w:t>
      </w:r>
      <w:r w:rsidRPr="00FF251D">
        <w:t>Any privileges accorded to the press must therefore be contingent on its fulfillment of that duty.</w:t>
      </w:r>
    </w:p>
    <w:p w14:paraId="237E0843" w14:textId="77777777" w:rsidR="00D4322B" w:rsidRPr="00FF251D" w:rsidRDefault="00D4322B" w:rsidP="00D4322B">
      <w:r w:rsidRPr="00FF251D">
        <w:t xml:space="preserve">The paper proceeds in three parts. Part I examines the justifications for recognizing a right to “freedom of the press” and argues that it is properly conceived as a public right. Part II considers the implications of that view, identifying the duties the press must discharge to realize the public’s right to </w:t>
      </w:r>
      <w:proofErr w:type="gramStart"/>
      <w:r w:rsidRPr="00FF251D">
        <w:t>a free</w:t>
      </w:r>
      <w:proofErr w:type="gramEnd"/>
      <w:r w:rsidRPr="00FF251D">
        <w:t xml:space="preserve"> press. Part III explores mechanisms through which these duties could be effectively enforced.</w:t>
      </w:r>
    </w:p>
    <w:p w14:paraId="351C8BCE" w14:textId="77777777" w:rsidR="00D4322B" w:rsidRPr="00846380" w:rsidRDefault="00D4322B" w:rsidP="00D4322B">
      <w:pPr>
        <w:rPr>
          <w:b/>
        </w:rPr>
      </w:pPr>
      <w:r w:rsidRPr="00846380">
        <w:rPr>
          <w:b/>
        </w:rPr>
        <w:t xml:space="preserve">Justifying a </w:t>
      </w:r>
      <w:r w:rsidRPr="00FF251D">
        <w:rPr>
          <w:b/>
          <w:bCs/>
        </w:rPr>
        <w:t>Right</w:t>
      </w:r>
      <w:r w:rsidRPr="00846380">
        <w:rPr>
          <w:b/>
        </w:rPr>
        <w:t xml:space="preserve"> to “Freedom of the Press”</w:t>
      </w:r>
    </w:p>
    <w:p w14:paraId="232C2B8A" w14:textId="77777777" w:rsidR="00D4322B" w:rsidRDefault="00D4322B" w:rsidP="00D4322B">
      <w:r w:rsidRPr="007A5246">
        <w:rPr>
          <w:rFonts w:eastAsia="Calibri"/>
        </w:rPr>
        <w:t>In the</w:t>
      </w:r>
      <w:r>
        <w:rPr>
          <w:rFonts w:eastAsia="Calibri"/>
        </w:rPr>
        <w:t xml:space="preserve"> </w:t>
      </w:r>
      <w:r w:rsidRPr="00FF251D">
        <w:t>distinctively</w:t>
      </w:r>
      <w:r>
        <w:rPr>
          <w:rFonts w:eastAsia="Calibri"/>
        </w:rPr>
        <w:t xml:space="preserve"> libertarian </w:t>
      </w:r>
      <w:r w:rsidRPr="007A5246">
        <w:rPr>
          <w:rFonts w:eastAsia="Calibri"/>
        </w:rPr>
        <w:t xml:space="preserve">culture of </w:t>
      </w:r>
      <w:r>
        <w:rPr>
          <w:rFonts w:eastAsia="Calibri"/>
        </w:rPr>
        <w:t xml:space="preserve">American </w:t>
      </w:r>
      <w:r w:rsidRPr="007A5246">
        <w:rPr>
          <w:rFonts w:eastAsia="Calibri"/>
        </w:rPr>
        <w:t xml:space="preserve">journalism, </w:t>
      </w:r>
      <w:r w:rsidRPr="00FF251D">
        <w:t>reporters</w:t>
      </w:r>
      <w:r>
        <w:rPr>
          <w:rFonts w:eastAsia="Calibri"/>
        </w:rPr>
        <w:t xml:space="preserve"> have</w:t>
      </w:r>
      <w:r w:rsidRPr="00FF251D">
        <w:t xml:space="preserve"> often</w:t>
      </w:r>
      <w:r>
        <w:rPr>
          <w:rFonts w:eastAsia="Calibri"/>
        </w:rPr>
        <w:t xml:space="preserve"> been described as feeling “</w:t>
      </w:r>
      <w:r w:rsidRPr="007A5246">
        <w:rPr>
          <w:rFonts w:eastAsia="Calibri"/>
        </w:rPr>
        <w:t>morally justified in the act of refusing a moral justification.”</w:t>
      </w:r>
      <w:r w:rsidRPr="00846380">
        <w:rPr>
          <w:rStyle w:val="FootnoteReference"/>
          <w:rFonts w:eastAsia="Calibri"/>
        </w:rPr>
        <w:t xml:space="preserve"> </w:t>
      </w:r>
      <w:r>
        <w:rPr>
          <w:rStyle w:val="FootnoteReference"/>
          <w:rFonts w:eastAsia="Calibri"/>
        </w:rPr>
        <w:footnoteReference w:id="11"/>
      </w:r>
      <w:r w:rsidRPr="00FF251D">
        <w:t xml:space="preserve"> This paper takes the opposite approach. To </w:t>
      </w:r>
      <w:r>
        <w:rPr>
          <w:rFonts w:eastAsia="Calibri"/>
        </w:rPr>
        <w:t xml:space="preserve">understand what </w:t>
      </w:r>
      <w:r w:rsidRPr="00FF251D">
        <w:t>the</w:t>
      </w:r>
      <w:r>
        <w:rPr>
          <w:rFonts w:eastAsia="Calibri"/>
        </w:rPr>
        <w:t xml:space="preserve"> right </w:t>
      </w:r>
      <w:r w:rsidRPr="00FF251D">
        <w:t xml:space="preserve">to freedom of the press </w:t>
      </w:r>
      <w:r>
        <w:rPr>
          <w:rFonts w:eastAsia="Calibri"/>
        </w:rPr>
        <w:t xml:space="preserve">encompasses, we must </w:t>
      </w:r>
      <w:r w:rsidRPr="00FF251D">
        <w:t>examine the moral and conceptual grounds for its recognition. Following</w:t>
      </w:r>
      <w:r>
        <w:rPr>
          <w:rFonts w:eastAsia="Calibri"/>
        </w:rPr>
        <w:t xml:space="preserve"> Joseph Raz’s definition of rights, I </w:t>
      </w:r>
      <w:r w:rsidRPr="00FF251D">
        <w:t>adopt his formulation</w:t>
      </w:r>
      <w:r>
        <w:rPr>
          <w:rFonts w:eastAsia="Calibri"/>
        </w:rPr>
        <w:t xml:space="preserve"> that “</w:t>
      </w:r>
      <w:r w:rsidRPr="00FF251D">
        <w:t>X</w:t>
      </w:r>
      <w:r w:rsidRPr="00585C0C">
        <w:t xml:space="preserve"> has a </w:t>
      </w:r>
      <w:r w:rsidRPr="00FF251D">
        <w:t>right</w:t>
      </w:r>
      <w:r w:rsidRPr="00585C0C">
        <w:t xml:space="preserve"> if and only if X can have rights, and, other things being equal, an aspect of </w:t>
      </w:r>
      <w:r w:rsidRPr="00FF251D">
        <w:t>X’s</w:t>
      </w:r>
      <w:r w:rsidRPr="00585C0C">
        <w:t xml:space="preserve"> well-being (his interest) is a sufficient reason for holding some other person(s) to be under a duty</w:t>
      </w:r>
      <w:r w:rsidRPr="00FF251D">
        <w:t>.”</w:t>
      </w:r>
      <w:r>
        <w:rPr>
          <w:rStyle w:val="FootnoteReference"/>
        </w:rPr>
        <w:footnoteReference w:id="12"/>
      </w:r>
      <w:r>
        <w:t xml:space="preserve"> If we </w:t>
      </w:r>
      <w:r w:rsidRPr="00FF251D">
        <w:t>substitute</w:t>
      </w:r>
      <w:r>
        <w:t xml:space="preserve"> “the press</w:t>
      </w:r>
      <w:r w:rsidRPr="00FF251D">
        <w:t>” for “X,”</w:t>
      </w:r>
      <w:r>
        <w:t xml:space="preserve"> </w:t>
      </w:r>
      <w:r w:rsidRPr="00846380">
        <w:t>four questions arise:</w:t>
      </w:r>
      <w:r w:rsidRPr="00FF251D">
        <w:br/>
        <w:t>(</w:t>
      </w:r>
      <w:r w:rsidRPr="00846380">
        <w:t>a</w:t>
      </w:r>
      <w:r w:rsidRPr="00FF251D">
        <w:t>)</w:t>
      </w:r>
      <w:r w:rsidRPr="00846380">
        <w:t xml:space="preserve"> Can the press have rights?</w:t>
      </w:r>
      <w:r w:rsidRPr="00FF251D">
        <w:br/>
        <w:t>(</w:t>
      </w:r>
      <w:r w:rsidRPr="00846380">
        <w:t>b</w:t>
      </w:r>
      <w:r w:rsidRPr="00FF251D">
        <w:t>)</w:t>
      </w:r>
      <w:r w:rsidRPr="00846380">
        <w:t xml:space="preserve"> Is the </w:t>
      </w:r>
      <w:r w:rsidRPr="00FF251D">
        <w:t>press’s</w:t>
      </w:r>
      <w:r w:rsidRPr="00846380">
        <w:t xml:space="preserve"> well-being sufficient reason for holding others duty-bound?</w:t>
      </w:r>
      <w:r w:rsidRPr="00FF251D">
        <w:br/>
        <w:t>(</w:t>
      </w:r>
      <w:r w:rsidRPr="00846380">
        <w:t>c</w:t>
      </w:r>
      <w:r w:rsidRPr="00FF251D">
        <w:t>) Who</w:t>
      </w:r>
      <w:r w:rsidRPr="00846380">
        <w:t xml:space="preserve"> are those “others</w:t>
      </w:r>
      <w:r w:rsidRPr="00FF251D">
        <w:t>”?</w:t>
      </w:r>
      <w:r w:rsidRPr="00FF251D">
        <w:br/>
        <w:t>(d) What duties</w:t>
      </w:r>
      <w:r w:rsidRPr="00846380">
        <w:t xml:space="preserve"> are </w:t>
      </w:r>
      <w:r w:rsidRPr="00FF251D">
        <w:t xml:space="preserve">they </w:t>
      </w:r>
      <w:r w:rsidRPr="00846380">
        <w:t>under?</w:t>
      </w:r>
      <w:r w:rsidRPr="00FF251D">
        <w:br/>
      </w:r>
      <w:r w:rsidRPr="00846380">
        <w:t xml:space="preserve">For </w:t>
      </w:r>
      <w:r w:rsidRPr="00FF251D">
        <w:t>the moment,</w:t>
      </w:r>
      <w:r w:rsidRPr="00846380">
        <w:t xml:space="preserve"> I </w:t>
      </w:r>
      <w:r w:rsidRPr="00FF251D">
        <w:t>will</w:t>
      </w:r>
      <w:r w:rsidRPr="00846380">
        <w:t xml:space="preserve"> focus on the first two questions</w:t>
      </w:r>
      <w:r w:rsidRPr="00FF251D">
        <w:t xml:space="preserve"> and </w:t>
      </w:r>
      <w:r w:rsidRPr="00846380">
        <w:t xml:space="preserve">return </w:t>
      </w:r>
      <w:r w:rsidRPr="00FF251D">
        <w:t xml:space="preserve">to </w:t>
      </w:r>
      <w:r w:rsidRPr="00846380">
        <w:t xml:space="preserve">the latter two </w:t>
      </w:r>
      <w:r w:rsidRPr="00FF251D">
        <w:t>below.</w:t>
      </w:r>
    </w:p>
    <w:p w14:paraId="3B2AFA6B" w14:textId="77777777" w:rsidR="00D4322B" w:rsidRPr="00846380" w:rsidRDefault="00D4322B" w:rsidP="00D4322B">
      <w:pPr>
        <w:rPr>
          <w:b/>
        </w:rPr>
      </w:pPr>
      <w:r w:rsidRPr="00846380">
        <w:rPr>
          <w:b/>
        </w:rPr>
        <w:t xml:space="preserve">Can the </w:t>
      </w:r>
      <w:r w:rsidRPr="00FF251D">
        <w:rPr>
          <w:b/>
          <w:bCs/>
        </w:rPr>
        <w:t>Press Have Rights</w:t>
      </w:r>
      <w:r w:rsidRPr="00846380">
        <w:rPr>
          <w:b/>
        </w:rPr>
        <w:t>?</w:t>
      </w:r>
    </w:p>
    <w:p w14:paraId="7AD5B934" w14:textId="70791B88" w:rsidR="00D4322B" w:rsidRDefault="00D4322B" w:rsidP="00D4322B">
      <w:pPr>
        <w:rPr>
          <w:rtl/>
        </w:rPr>
      </w:pPr>
      <w:r>
        <w:t xml:space="preserve">The traditional press is </w:t>
      </w:r>
      <w:r w:rsidRPr="00FF251D">
        <w:t>largely</w:t>
      </w:r>
      <w:r>
        <w:t xml:space="preserve"> organized </w:t>
      </w:r>
      <w:r w:rsidRPr="00FF251D">
        <w:t xml:space="preserve">as </w:t>
      </w:r>
      <w:r>
        <w:t>commercial</w:t>
      </w:r>
      <w:r w:rsidRPr="00FF251D">
        <w:t xml:space="preserve"> corporations. To argue that</w:t>
      </w:r>
      <w:r>
        <w:t xml:space="preserve"> </w:t>
      </w:r>
      <w:r>
        <w:t>these corporations</w:t>
      </w:r>
      <w:r w:rsidRPr="00FF251D">
        <w:t>—and the</w:t>
      </w:r>
      <w:r>
        <w:t xml:space="preserve"> decisions</w:t>
      </w:r>
      <w:r w:rsidRPr="00FF251D">
        <w:t xml:space="preserve"> and</w:t>
      </w:r>
      <w:r>
        <w:t xml:space="preserve"> actions of their employees</w:t>
      </w:r>
      <w:r w:rsidRPr="00FF251D">
        <w:t>—</w:t>
      </w:r>
      <w:r>
        <w:t xml:space="preserve">are protected by rights assumes that </w:t>
      </w:r>
      <w:r w:rsidRPr="00FF251D">
        <w:t>such entities</w:t>
      </w:r>
      <w:r>
        <w:t xml:space="preserve"> </w:t>
      </w:r>
      <w:proofErr w:type="gramStart"/>
      <w:r>
        <w:t>are capable of having</w:t>
      </w:r>
      <w:proofErr w:type="gramEnd"/>
      <w:r>
        <w:t xml:space="preserve"> rights</w:t>
      </w:r>
      <w:r w:rsidRPr="00FF251D">
        <w:t xml:space="preserve"> at all</w:t>
      </w:r>
      <w:r>
        <w:t xml:space="preserve">. The question of corporate rights </w:t>
      </w:r>
      <w:r w:rsidRPr="00FF251D">
        <w:t>has long been</w:t>
      </w:r>
      <w:r>
        <w:t xml:space="preserve"> contentious in</w:t>
      </w:r>
      <w:r w:rsidRPr="00FF251D">
        <w:t xml:space="preserve"> both</w:t>
      </w:r>
      <w:r>
        <w:t xml:space="preserve"> constitutional and corporate law. </w:t>
      </w:r>
      <w:r w:rsidRPr="0065385B">
        <w:lastRenderedPageBreak/>
        <w:t xml:space="preserve">Although it is now </w:t>
      </w:r>
      <w:r w:rsidRPr="00FF251D">
        <w:t>widely accepted</w:t>
      </w:r>
      <w:r w:rsidRPr="0065385B">
        <w:t xml:space="preserve"> that corporations </w:t>
      </w:r>
      <w:r w:rsidRPr="00FF251D">
        <w:t>possess</w:t>
      </w:r>
      <w:r w:rsidRPr="0065385B">
        <w:t xml:space="preserve"> at least some constitutional rights, this </w:t>
      </w:r>
      <w:r w:rsidRPr="00FF251D">
        <w:t>was</w:t>
      </w:r>
      <w:r w:rsidRPr="0065385B">
        <w:t xml:space="preserve"> not </w:t>
      </w:r>
      <w:r w:rsidRPr="00FF251D">
        <w:t>always the case.</w:t>
      </w:r>
      <w:r w:rsidRPr="0065385B">
        <w:t xml:space="preserve"> Until the mid-</w:t>
      </w:r>
      <w:r w:rsidRPr="00FF251D">
        <w:t>nineteenth</w:t>
      </w:r>
      <w:r w:rsidRPr="0065385B">
        <w:t xml:space="preserve"> century, </w:t>
      </w:r>
      <w:r w:rsidRPr="00FF251D">
        <w:t>U.S.</w:t>
      </w:r>
      <w:r w:rsidRPr="0065385B">
        <w:t xml:space="preserve"> courts </w:t>
      </w:r>
      <w:r w:rsidRPr="00FF251D">
        <w:t>viewed</w:t>
      </w:r>
      <w:r w:rsidRPr="0065385B">
        <w:t xml:space="preserve"> corporations as </w:t>
      </w:r>
      <w:r w:rsidRPr="00FF251D">
        <w:t>“</w:t>
      </w:r>
      <w:r w:rsidRPr="0065385B">
        <w:t>artificial creatures</w:t>
      </w:r>
      <w:r w:rsidRPr="00FF251D">
        <w:t>” rather than “persons” capable</w:t>
      </w:r>
      <w:r w:rsidRPr="0065385B">
        <w:t xml:space="preserve"> of </w:t>
      </w:r>
      <w:r w:rsidRPr="00FF251D">
        <w:t>bearing</w:t>
      </w:r>
      <w:r w:rsidRPr="00C171C6">
        <w:rPr>
          <w:lang w:val="en"/>
        </w:rPr>
        <w:t xml:space="preserve"> </w:t>
      </w:r>
      <w:r w:rsidRPr="0065385B">
        <w:t xml:space="preserve"> constitutional rights</w:t>
      </w:r>
      <w:r w:rsidRPr="00FF251D">
        <w:t>.</w:t>
      </w:r>
      <w:r>
        <w:rPr>
          <w:rStyle w:val="FootnoteReference"/>
          <w:lang w:val="en"/>
        </w:rPr>
        <w:footnoteReference w:id="13"/>
      </w:r>
      <w:r w:rsidRPr="00FF251D">
        <w:t xml:space="preserve"> The shift toward recognizing corporate rights began with</w:t>
      </w:r>
      <w:r w:rsidRPr="0065385B">
        <w:t xml:space="preserve"> </w:t>
      </w:r>
      <w:r w:rsidRPr="0065385B">
        <w:rPr>
          <w:i/>
        </w:rPr>
        <w:t xml:space="preserve">Santa Clara County v. Southern </w:t>
      </w:r>
      <w:r w:rsidRPr="00FF251D">
        <w:rPr>
          <w:i/>
          <w:iCs/>
        </w:rPr>
        <w:t>Pacific Railroad</w:t>
      </w:r>
      <w:r w:rsidRPr="0065385B">
        <w:rPr>
          <w:i/>
        </w:rPr>
        <w:t xml:space="preserve"> Co.</w:t>
      </w:r>
      <w:r w:rsidRPr="00FF251D">
        <w:t xml:space="preserve"> (1886).</w:t>
      </w:r>
      <w:r>
        <w:rPr>
          <w:rStyle w:val="FootnoteReference"/>
          <w:lang w:val="en"/>
        </w:rPr>
        <w:footnoteReference w:id="14"/>
      </w:r>
      <w:r w:rsidRPr="00FF251D">
        <w:t xml:space="preserve"> That approach</w:t>
      </w:r>
      <w:r w:rsidRPr="0065385B">
        <w:t xml:space="preserve"> has </w:t>
      </w:r>
      <w:r w:rsidRPr="00FF251D">
        <w:t xml:space="preserve">since </w:t>
      </w:r>
      <w:r w:rsidRPr="0065385B">
        <w:t xml:space="preserve">become dominant in American </w:t>
      </w:r>
      <w:r w:rsidRPr="00FF251D">
        <w:t>jurisprudence</w:t>
      </w:r>
      <w:r w:rsidRPr="0065385B">
        <w:t xml:space="preserve"> and </w:t>
      </w:r>
      <w:r w:rsidRPr="00FF251D">
        <w:t>has been</w:t>
      </w:r>
      <w:r w:rsidRPr="0065385B">
        <w:t xml:space="preserve"> adopted </w:t>
      </w:r>
      <w:r w:rsidRPr="00FF251D">
        <w:t>in many other jurisdictions,</w:t>
      </w:r>
      <w:r>
        <w:rPr>
          <w:rStyle w:val="FootnoteReference"/>
          <w:lang w:val="en"/>
        </w:rPr>
        <w:footnoteReference w:id="15"/>
      </w:r>
      <w:r w:rsidRPr="0065385B">
        <w:t xml:space="preserve"> </w:t>
      </w:r>
      <w:r w:rsidRPr="00FF251D">
        <w:t xml:space="preserve"> though it has</w:t>
      </w:r>
      <w:r w:rsidR="00643D46">
        <w:t xml:space="preserve"> </w:t>
      </w:r>
      <w:r w:rsidRPr="0065385B">
        <w:t xml:space="preserve">also </w:t>
      </w:r>
      <w:r w:rsidRPr="00FF251D">
        <w:t>been forcefully—</w:t>
      </w:r>
      <w:r w:rsidRPr="0065385B">
        <w:t>and</w:t>
      </w:r>
      <w:r w:rsidRPr="00FF251D">
        <w:t>,</w:t>
      </w:r>
      <w:r w:rsidRPr="0065385B">
        <w:t xml:space="preserve"> in my </w:t>
      </w:r>
      <w:r w:rsidRPr="00FF251D">
        <w:t>view,</w:t>
      </w:r>
      <w:r w:rsidRPr="0065385B">
        <w:t xml:space="preserve"> convincingly</w:t>
      </w:r>
      <w:r w:rsidRPr="00FF251D">
        <w:t>—criticized.</w:t>
      </w:r>
      <w:bookmarkStart w:id="1" w:name="_Ref211163998"/>
      <w:r>
        <w:rPr>
          <w:rStyle w:val="FootnoteReference"/>
          <w:lang w:val="en"/>
        </w:rPr>
        <w:footnoteReference w:id="16"/>
      </w:r>
      <w:bookmarkEnd w:id="1"/>
      <w:r w:rsidRPr="00FF251D">
        <w:t xml:space="preserve"> Yet the Supreme Court has</w:t>
      </w:r>
      <w:r w:rsidRPr="0065385B">
        <w:t xml:space="preserve"> repeatedly </w:t>
      </w:r>
      <w:r w:rsidRPr="00FF251D">
        <w:t>reaffirmed it</w:t>
      </w:r>
      <w:r>
        <w:t>.</w:t>
      </w:r>
      <w:r>
        <w:rPr>
          <w:rStyle w:val="FootnoteReference"/>
          <w:lang w:val="en"/>
        </w:rPr>
        <w:footnoteReference w:id="17"/>
      </w:r>
      <w:r w:rsidRPr="00FF251D">
        <w:t xml:space="preserve"> For present</w:t>
      </w:r>
      <w:r w:rsidRPr="0065385B">
        <w:t xml:space="preserve"> purposes</w:t>
      </w:r>
      <w:r w:rsidRPr="00FF251D">
        <w:t>, therefore</w:t>
      </w:r>
      <w:r w:rsidRPr="0065385B">
        <w:t>, I proceed on the</w:t>
      </w:r>
      <w:r w:rsidRPr="00FF251D">
        <w:t xml:space="preserve"> working</w:t>
      </w:r>
      <w:r w:rsidRPr="0065385B">
        <w:t xml:space="preserve"> assumption that news organizations, like </w:t>
      </w:r>
      <w:r w:rsidRPr="00FF251D">
        <w:t>other corporations, can be bearers</w:t>
      </w:r>
      <w:r w:rsidRPr="0065385B">
        <w:t xml:space="preserve"> of </w:t>
      </w:r>
      <w:r w:rsidRPr="00D4322B">
        <w:t>rights.</w:t>
      </w:r>
    </w:p>
    <w:p w14:paraId="6668628E" w14:textId="77777777" w:rsidR="00565AF2" w:rsidRPr="00FF0ECA" w:rsidRDefault="00565AF2" w:rsidP="00565AF2">
      <w:pPr>
        <w:rPr>
          <w:b/>
          <w:bCs/>
        </w:rPr>
      </w:pPr>
      <w:r w:rsidRPr="00370308">
        <w:rPr>
          <w:b/>
        </w:rPr>
        <w:t xml:space="preserve">Is the </w:t>
      </w:r>
      <w:r w:rsidRPr="00FF0ECA">
        <w:rPr>
          <w:b/>
          <w:bCs/>
        </w:rPr>
        <w:t>Press’s Well-Being Sufficient Grounds</w:t>
      </w:r>
      <w:r w:rsidRPr="00370308">
        <w:rPr>
          <w:b/>
        </w:rPr>
        <w:t xml:space="preserve"> for </w:t>
      </w:r>
      <w:r w:rsidRPr="00FF0ECA">
        <w:rPr>
          <w:b/>
          <w:bCs/>
        </w:rPr>
        <w:t>Recognizing</w:t>
      </w:r>
      <w:r w:rsidRPr="00370308">
        <w:rPr>
          <w:b/>
        </w:rPr>
        <w:t xml:space="preserve"> a </w:t>
      </w:r>
      <w:r w:rsidRPr="00FF0ECA">
        <w:rPr>
          <w:b/>
          <w:bCs/>
        </w:rPr>
        <w:t>Right</w:t>
      </w:r>
      <w:r w:rsidRPr="00370308">
        <w:rPr>
          <w:b/>
        </w:rPr>
        <w:t xml:space="preserve"> to </w:t>
      </w:r>
      <w:r w:rsidRPr="00FF0ECA">
        <w:rPr>
          <w:b/>
          <w:bCs/>
        </w:rPr>
        <w:t>Freedom of the Press?</w:t>
      </w:r>
    </w:p>
    <w:p w14:paraId="4D99DA12" w14:textId="77777777" w:rsidR="00565AF2" w:rsidRDefault="00565AF2" w:rsidP="00565AF2">
      <w:r w:rsidRPr="00FF0ECA">
        <w:t xml:space="preserve">To assess whether </w:t>
      </w:r>
      <w:r>
        <w:t>freedom of the press</w:t>
      </w:r>
      <w:r w:rsidRPr="00FF0ECA">
        <w:t xml:space="preserve"> can be justified as </w:t>
      </w:r>
      <w:r>
        <w:t xml:space="preserve">a right, we must </w:t>
      </w:r>
      <w:r w:rsidRPr="00FF0ECA">
        <w:t>first identify</w:t>
      </w:r>
      <w:r>
        <w:t xml:space="preserve"> what </w:t>
      </w:r>
      <w:r w:rsidRPr="00FF0ECA">
        <w:t xml:space="preserve">interests it serves and whether those interests </w:t>
      </w:r>
      <w:r>
        <w:t xml:space="preserve">are </w:t>
      </w:r>
      <w:r w:rsidRPr="00FF0ECA">
        <w:t>weighty enough to impose duties on others.</w:t>
      </w:r>
      <w:r>
        <w:t xml:space="preserve"> In the context of free speech</w:t>
      </w:r>
      <w:r w:rsidRPr="00FF0ECA">
        <w:t xml:space="preserve">, </w:t>
      </w:r>
      <w:r>
        <w:t xml:space="preserve">scholars </w:t>
      </w:r>
      <w:r w:rsidRPr="00FF0ECA">
        <w:t>have long recognized three principal justifications:</w:t>
      </w:r>
      <w:bookmarkStart w:id="2" w:name="_Ref211164027"/>
      <w:r>
        <w:rPr>
          <w:rStyle w:val="FootnoteReference"/>
        </w:rPr>
        <w:footnoteReference w:id="18"/>
      </w:r>
      <w:bookmarkEnd w:id="2"/>
      <w:r>
        <w:t xml:space="preserve">(a) the development of individual autonomy and personality; (b) </w:t>
      </w:r>
      <w:proofErr w:type="gramStart"/>
      <w:r>
        <w:t>the  truth</w:t>
      </w:r>
      <w:proofErr w:type="gramEnd"/>
      <w:r>
        <w:t xml:space="preserve">; </w:t>
      </w:r>
      <w:r w:rsidRPr="00FF0ECA">
        <w:t>and</w:t>
      </w:r>
      <w:r>
        <w:t xml:space="preserve"> (c) the </w:t>
      </w:r>
      <w:r w:rsidRPr="00FF0ECA">
        <w:t>functioning of democracy.</w:t>
      </w:r>
    </w:p>
    <w:p w14:paraId="224FC161" w14:textId="77777777" w:rsidR="00565AF2" w:rsidRDefault="00565AF2" w:rsidP="00565AF2">
      <w:pPr>
        <w:rPr>
          <w:rFonts w:eastAsia="Calibri"/>
        </w:rPr>
      </w:pPr>
      <w:r>
        <w:t xml:space="preserve">The </w:t>
      </w:r>
      <w:r w:rsidRPr="00FF0ECA">
        <w:t xml:space="preserve">first </w:t>
      </w:r>
      <w:r>
        <w:t>justification</w:t>
      </w:r>
      <w:r w:rsidRPr="00FF0ECA">
        <w:t>—</w:t>
      </w:r>
      <w:r>
        <w:t xml:space="preserve">developing one’s </w:t>
      </w:r>
      <w:r>
        <w:t>autonomy</w:t>
      </w:r>
      <w:r>
        <w:t xml:space="preserve"> and personality (described also as “personal growth</w:t>
      </w:r>
      <w:r>
        <w:t xml:space="preserve"> and self-realization</w:t>
      </w:r>
      <w:r>
        <w:t>”)</w:t>
      </w:r>
      <w:r>
        <w:rPr>
          <w:rStyle w:val="FootnoteReference"/>
        </w:rPr>
        <w:footnoteReference w:id="19"/>
      </w:r>
      <w:r>
        <w:t xml:space="preserve">is </w:t>
      </w:r>
      <w:r w:rsidRPr="00FF0ECA">
        <w:t>distinctly</w:t>
      </w:r>
      <w:r>
        <w:t xml:space="preserve"> individualistic. It </w:t>
      </w:r>
      <w:r w:rsidRPr="00FF0ECA">
        <w:t>concerns</w:t>
      </w:r>
      <w:r>
        <w:t xml:space="preserve"> the well-being of </w:t>
      </w:r>
      <w:r w:rsidRPr="00FF0ECA">
        <w:t>each</w:t>
      </w:r>
      <w:r>
        <w:t xml:space="preserve"> person. </w:t>
      </w:r>
      <w:r w:rsidRPr="00FF0ECA">
        <w:t>Through expression</w:t>
      </w:r>
      <w:r w:rsidRPr="00204C9C">
        <w:rPr>
          <w:rFonts w:eastAsia="Calibri"/>
        </w:rPr>
        <w:t xml:space="preserve"> we </w:t>
      </w:r>
      <w:r w:rsidRPr="00FF0ECA">
        <w:t>externalize thoughts</w:t>
      </w:r>
      <w:r w:rsidRPr="00204C9C">
        <w:rPr>
          <w:rFonts w:eastAsia="Calibri"/>
        </w:rPr>
        <w:t xml:space="preserve"> and emotions</w:t>
      </w:r>
      <w:r w:rsidRPr="00FF0ECA">
        <w:t>;</w:t>
      </w:r>
      <w:r w:rsidRPr="00204C9C">
        <w:rPr>
          <w:rFonts w:eastAsia="Calibri"/>
        </w:rPr>
        <w:t xml:space="preserve"> the need to </w:t>
      </w:r>
      <w:r w:rsidRPr="00FF0ECA">
        <w:t>make</w:t>
      </w:r>
      <w:r w:rsidRPr="00204C9C">
        <w:rPr>
          <w:rFonts w:eastAsia="Calibri"/>
        </w:rPr>
        <w:t xml:space="preserve"> them </w:t>
      </w:r>
      <w:r w:rsidRPr="00FF0ECA">
        <w:t>intelligible to</w:t>
      </w:r>
      <w:r w:rsidRPr="00204C9C">
        <w:rPr>
          <w:rFonts w:eastAsia="Calibri"/>
        </w:rPr>
        <w:t xml:space="preserve"> others </w:t>
      </w:r>
      <w:r w:rsidRPr="00FF0ECA">
        <w:t>refines our</w:t>
      </w:r>
      <w:r w:rsidRPr="00204C9C">
        <w:rPr>
          <w:rFonts w:eastAsia="Calibri"/>
        </w:rPr>
        <w:t xml:space="preserve"> ideas and </w:t>
      </w:r>
      <w:r w:rsidRPr="00FF0ECA">
        <w:t>gives</w:t>
      </w:r>
      <w:r w:rsidRPr="00204C9C">
        <w:rPr>
          <w:rFonts w:eastAsia="Calibri"/>
        </w:rPr>
        <w:t xml:space="preserve"> them</w:t>
      </w:r>
      <w:r w:rsidRPr="00FF0ECA">
        <w:t xml:space="preserve"> form.</w:t>
      </w:r>
      <w:r w:rsidRPr="00204C9C">
        <w:rPr>
          <w:rFonts w:eastAsia="Calibri"/>
          <w:vertAlign w:val="superscript"/>
        </w:rPr>
        <w:footnoteReference w:id="20"/>
      </w:r>
      <w:r w:rsidRPr="00FF0ECA">
        <w:t xml:space="preserve"> Because the development of personality and autonomy is central</w:t>
      </w:r>
      <w:r w:rsidRPr="00204C9C">
        <w:rPr>
          <w:rFonts w:eastAsia="Calibri"/>
        </w:rPr>
        <w:t xml:space="preserve"> to </w:t>
      </w:r>
      <w:r w:rsidRPr="00FF0ECA">
        <w:t xml:space="preserve">human flourishing, </w:t>
      </w:r>
      <w:r w:rsidRPr="00204C9C">
        <w:rPr>
          <w:rFonts w:eastAsia="Calibri"/>
        </w:rPr>
        <w:t>this justification</w:t>
      </w:r>
      <w:r w:rsidRPr="00FF0ECA">
        <w:t xml:space="preserve"> supports</w:t>
      </w:r>
      <w:r w:rsidRPr="00204C9C">
        <w:rPr>
          <w:rFonts w:eastAsia="Calibri"/>
        </w:rPr>
        <w:t xml:space="preserve"> an obligation on the state to refrain from </w:t>
      </w:r>
      <w:r w:rsidRPr="00FF0ECA">
        <w:t>restricting individual</w:t>
      </w:r>
      <w:r w:rsidRPr="00204C9C">
        <w:rPr>
          <w:rFonts w:eastAsia="Calibri"/>
        </w:rPr>
        <w:t xml:space="preserve"> </w:t>
      </w:r>
      <w:r w:rsidRPr="00204C9C">
        <w:rPr>
          <w:rFonts w:eastAsia="Calibri"/>
        </w:rPr>
        <w:lastRenderedPageBreak/>
        <w:t>expression.</w:t>
      </w:r>
      <w:r>
        <w:rPr>
          <w:rFonts w:eastAsia="Calibri"/>
        </w:rPr>
        <w:t xml:space="preserve"> In Anglo-American liberal </w:t>
      </w:r>
      <w:r w:rsidRPr="00FF0ECA">
        <w:t>thought,</w:t>
      </w:r>
      <w:r>
        <w:rPr>
          <w:rFonts w:eastAsia="Calibri"/>
        </w:rPr>
        <w:t xml:space="preserve"> this libertarian </w:t>
      </w:r>
      <w:r w:rsidRPr="00FF0ECA">
        <w:t>rationale</w:t>
      </w:r>
      <w:r>
        <w:rPr>
          <w:rFonts w:eastAsia="Calibri"/>
        </w:rPr>
        <w:t xml:space="preserve"> is foundational</w:t>
      </w:r>
      <w:r w:rsidRPr="00FF0ECA">
        <w:t>, traceable</w:t>
      </w:r>
      <w:r>
        <w:rPr>
          <w:rFonts w:eastAsia="Calibri"/>
        </w:rPr>
        <w:t xml:space="preserve"> to John Milton’s </w:t>
      </w:r>
      <w:proofErr w:type="spellStart"/>
      <w:r>
        <w:rPr>
          <w:rFonts w:eastAsia="Calibri"/>
          <w:i/>
          <w:iCs/>
        </w:rPr>
        <w:t>Areopagitica</w:t>
      </w:r>
      <w:proofErr w:type="spellEnd"/>
      <w:r w:rsidRPr="00FF0ECA">
        <w:t xml:space="preserve">, and remains </w:t>
      </w:r>
      <w:r>
        <w:rPr>
          <w:rFonts w:eastAsia="Calibri"/>
        </w:rPr>
        <w:t xml:space="preserve">dominant in </w:t>
      </w:r>
      <w:r w:rsidRPr="00FF0ECA">
        <w:t xml:space="preserve">both </w:t>
      </w:r>
      <w:r>
        <w:rPr>
          <w:rFonts w:eastAsia="Calibri"/>
        </w:rPr>
        <w:t xml:space="preserve">Supreme Court </w:t>
      </w:r>
      <w:r w:rsidRPr="00FF0ECA">
        <w:t>jurisprudence and agency interpretations of the First Amendment.</w:t>
      </w:r>
      <w:r>
        <w:rPr>
          <w:rStyle w:val="FootnoteReference"/>
          <w:rFonts w:eastAsia="Calibri"/>
        </w:rPr>
        <w:footnoteReference w:id="21"/>
      </w:r>
    </w:p>
    <w:p w14:paraId="68BA5BBC" w14:textId="77777777" w:rsidR="00565AF2" w:rsidRDefault="00565AF2" w:rsidP="00565AF2">
      <w:pPr>
        <w:rPr>
          <w:rFonts w:eastAsia="Calibri"/>
        </w:rPr>
      </w:pPr>
      <w:r>
        <w:rPr>
          <w:rFonts w:eastAsia="Calibri"/>
        </w:rPr>
        <w:t xml:space="preserve">Milton also </w:t>
      </w:r>
      <w:r w:rsidRPr="00FF0ECA">
        <w:t xml:space="preserve">advanced </w:t>
      </w:r>
      <w:r>
        <w:rPr>
          <w:rFonts w:eastAsia="Calibri"/>
        </w:rPr>
        <w:t>t</w:t>
      </w:r>
      <w:r w:rsidRPr="00204C9C">
        <w:rPr>
          <w:rFonts w:eastAsia="Calibri"/>
        </w:rPr>
        <w:t>he second justification</w:t>
      </w:r>
      <w:r w:rsidRPr="00FF0ECA">
        <w:t>: that free</w:t>
      </w:r>
      <w:r w:rsidRPr="00204C9C">
        <w:rPr>
          <w:rFonts w:eastAsia="Calibri" w:hint="cs"/>
        </w:rPr>
        <w:t xml:space="preserve"> expression</w:t>
      </w:r>
      <w:r>
        <w:rPr>
          <w:rFonts w:eastAsia="Calibri"/>
        </w:rPr>
        <w:t xml:space="preserve"> is the best </w:t>
      </w:r>
      <w:r w:rsidRPr="00FF0ECA">
        <w:t xml:space="preserve">means of arriving at </w:t>
      </w:r>
      <w:r>
        <w:rPr>
          <w:rFonts w:eastAsia="Calibri"/>
        </w:rPr>
        <w:t>truth.</w:t>
      </w:r>
      <w:r w:rsidRPr="00204C9C">
        <w:rPr>
          <w:rFonts w:eastAsia="Calibri" w:hint="cs"/>
        </w:rPr>
        <w:t xml:space="preserve"> </w:t>
      </w:r>
      <w:r w:rsidRPr="00FF0ECA">
        <w:t>“[</w:t>
      </w:r>
      <w:r w:rsidRPr="00204C9C">
        <w:rPr>
          <w:rFonts w:eastAsia="Calibri"/>
        </w:rPr>
        <w:t>S]o Truth be in the field</w:t>
      </w:r>
      <w:r w:rsidRPr="00FF0ECA">
        <w:t>,” he wrote, “</w:t>
      </w:r>
      <w:r w:rsidRPr="00204C9C">
        <w:rPr>
          <w:rFonts w:eastAsia="Calibri"/>
        </w:rPr>
        <w:t xml:space="preserve">we do injuriously by licensing and prohibiting to misdoubt her strength. Let her and Falsehood grapple; </w:t>
      </w:r>
      <w:r w:rsidRPr="00FF0ECA">
        <w:t>who</w:t>
      </w:r>
      <w:r w:rsidRPr="00204C9C">
        <w:rPr>
          <w:rFonts w:eastAsia="Calibri"/>
        </w:rPr>
        <w:t xml:space="preserve"> ever knew Truth put to the worse, in a free and open encounter</w:t>
      </w:r>
      <w:r w:rsidRPr="00FF0ECA">
        <w:t>?”</w:t>
      </w:r>
      <w:r w:rsidRPr="00204C9C">
        <w:rPr>
          <w:rFonts w:eastAsia="Calibri"/>
          <w:vertAlign w:val="superscript"/>
        </w:rPr>
        <w:footnoteReference w:id="22"/>
      </w:r>
      <w:r w:rsidRPr="00204C9C">
        <w:rPr>
          <w:rFonts w:eastAsia="Calibri"/>
        </w:rPr>
        <w:t xml:space="preserve"> </w:t>
      </w:r>
      <w:r w:rsidRPr="00FF0ECA">
        <w:t>The familiar “marketplace</w:t>
      </w:r>
      <w:r>
        <w:rPr>
          <w:rFonts w:hint="cs"/>
          <w:rtl/>
        </w:rPr>
        <w:t xml:space="preserve"> </w:t>
      </w:r>
      <w:r w:rsidRPr="00204C9C">
        <w:rPr>
          <w:rFonts w:eastAsia="Calibri"/>
        </w:rPr>
        <w:t>of ideas</w:t>
      </w:r>
      <w:bookmarkStart w:id="3" w:name="_Ref426819051"/>
      <w:r>
        <w:rPr>
          <w:rFonts w:hint="cs"/>
          <w:rtl/>
        </w:rPr>
        <w:t>"</w:t>
      </w:r>
      <w:r w:rsidRPr="00370308">
        <w:rPr>
          <w:rFonts w:eastAsia="Calibri"/>
          <w:vertAlign w:val="superscript"/>
        </w:rPr>
        <w:t xml:space="preserve"> </w:t>
      </w:r>
      <w:r w:rsidRPr="00204C9C">
        <w:rPr>
          <w:rFonts w:eastAsia="Calibri"/>
          <w:vertAlign w:val="superscript"/>
        </w:rPr>
        <w:footnoteReference w:id="23"/>
      </w:r>
      <w:bookmarkEnd w:id="3"/>
      <w:r w:rsidRPr="00FF0ECA">
        <w:t xml:space="preserve"> metaphor stems from this view and </w:t>
      </w:r>
      <w:r w:rsidRPr="00204C9C">
        <w:rPr>
          <w:rFonts w:eastAsia="Calibri"/>
        </w:rPr>
        <w:t xml:space="preserve">has become a </w:t>
      </w:r>
      <w:r w:rsidRPr="00FF0ECA">
        <w:t xml:space="preserve">staple of modern free speech theory. It is </w:t>
      </w:r>
      <w:r w:rsidRPr="00204C9C">
        <w:rPr>
          <w:rFonts w:eastAsia="Calibri" w:hint="cs"/>
        </w:rPr>
        <w:t xml:space="preserve">frequently </w:t>
      </w:r>
      <w:r w:rsidRPr="00FF0ECA">
        <w:t>invoked</w:t>
      </w:r>
      <w:r w:rsidRPr="00204C9C">
        <w:rPr>
          <w:rFonts w:eastAsia="Calibri" w:hint="cs"/>
        </w:rPr>
        <w:t xml:space="preserve"> to </w:t>
      </w:r>
      <w:r w:rsidRPr="00FF0ECA">
        <w:t>defend</w:t>
      </w:r>
      <w:r w:rsidRPr="00204C9C">
        <w:rPr>
          <w:rFonts w:eastAsia="Calibri" w:hint="cs"/>
        </w:rPr>
        <w:t xml:space="preserve"> the </w:t>
      </w:r>
      <w:r w:rsidRPr="00FF0ECA">
        <w:t>autonomy</w:t>
      </w:r>
      <w:r w:rsidRPr="00204C9C">
        <w:rPr>
          <w:rFonts w:eastAsia="Calibri" w:hint="cs"/>
        </w:rPr>
        <w:t xml:space="preserve"> of journalists and </w:t>
      </w:r>
      <w:r w:rsidRPr="00FF0ECA">
        <w:t xml:space="preserve">publishers to decide what to print or broadcast. </w:t>
      </w:r>
    </w:p>
    <w:p w14:paraId="505E2FA9" w14:textId="781F5A65" w:rsidR="00565AF2" w:rsidRPr="00C71AEF" w:rsidRDefault="00565AF2" w:rsidP="00565AF2">
      <w:pPr>
        <w:rPr>
          <w:rFonts w:eastAsia="Calibri"/>
        </w:rPr>
      </w:pPr>
      <w:r w:rsidRPr="00204C9C">
        <w:rPr>
          <w:rFonts w:eastAsia="Calibri" w:hint="cs"/>
        </w:rPr>
        <w:t xml:space="preserve">The third </w:t>
      </w:r>
      <w:r w:rsidRPr="00FF0ECA">
        <w:t xml:space="preserve">justification holds that </w:t>
      </w:r>
      <w:r w:rsidRPr="00204C9C">
        <w:rPr>
          <w:rFonts w:eastAsia="Calibri" w:hint="cs"/>
        </w:rPr>
        <w:t xml:space="preserve">freedom of expression is </w:t>
      </w:r>
      <w:r w:rsidRPr="00FF0ECA">
        <w:t>indispensable to</w:t>
      </w:r>
      <w:r w:rsidRPr="00204C9C">
        <w:rPr>
          <w:rFonts w:eastAsia="Calibri" w:hint="cs"/>
        </w:rPr>
        <w:t xml:space="preserve"> democratic </w:t>
      </w:r>
      <w:r w:rsidRPr="00FF0ECA">
        <w:t>governance</w:t>
      </w:r>
      <w:r w:rsidRPr="00204C9C">
        <w:rPr>
          <w:rFonts w:eastAsia="Calibri" w:hint="cs"/>
        </w:rPr>
        <w:t xml:space="preserve">. </w:t>
      </w:r>
      <w:r>
        <w:rPr>
          <w:rFonts w:eastAsia="Calibri"/>
        </w:rPr>
        <w:t xml:space="preserve">John Stuart </w:t>
      </w:r>
      <w:r w:rsidRPr="00204C9C">
        <w:rPr>
          <w:rFonts w:eastAsia="Calibri"/>
        </w:rPr>
        <w:t xml:space="preserve">Mill, </w:t>
      </w:r>
      <w:r>
        <w:rPr>
          <w:rFonts w:eastAsia="Calibri"/>
        </w:rPr>
        <w:t xml:space="preserve">who </w:t>
      </w:r>
      <w:r w:rsidRPr="00FF0ECA">
        <w:t xml:space="preserve">accepted </w:t>
      </w:r>
      <w:r w:rsidRPr="00204C9C">
        <w:rPr>
          <w:rFonts w:eastAsia="Calibri"/>
        </w:rPr>
        <w:t>truth</w:t>
      </w:r>
      <w:r w:rsidRPr="00FF0ECA">
        <w:t>-seeking</w:t>
      </w:r>
      <w:r w:rsidRPr="00204C9C">
        <w:rPr>
          <w:rFonts w:eastAsia="Calibri"/>
        </w:rPr>
        <w:t xml:space="preserve"> as the </w:t>
      </w:r>
      <w:r w:rsidRPr="00FF0ECA">
        <w:t>central rationale for free</w:t>
      </w:r>
      <w:r w:rsidRPr="00204C9C">
        <w:rPr>
          <w:rFonts w:eastAsia="Calibri"/>
        </w:rPr>
        <w:t xml:space="preserve"> expression, </w:t>
      </w:r>
      <w:r w:rsidRPr="00FF0ECA">
        <w:t>distinguished between</w:t>
      </w:r>
      <w:r w:rsidRPr="00204C9C">
        <w:rPr>
          <w:rFonts w:eastAsia="Calibri"/>
        </w:rPr>
        <w:t xml:space="preserve"> the </w:t>
      </w:r>
      <w:r w:rsidRPr="00370308">
        <w:t xml:space="preserve">private </w:t>
      </w:r>
      <w:r w:rsidRPr="00FF0ECA">
        <w:t xml:space="preserve">and </w:t>
      </w:r>
      <w:r>
        <w:rPr>
          <w:rFonts w:eastAsia="Calibri"/>
        </w:rPr>
        <w:t xml:space="preserve">the </w:t>
      </w:r>
      <w:r w:rsidRPr="00370308">
        <w:rPr>
          <w:rFonts w:hint="cs"/>
        </w:rPr>
        <w:t>societ</w:t>
      </w:r>
      <w:r w:rsidRPr="00370308">
        <w:t xml:space="preserve">al </w:t>
      </w:r>
      <w:r>
        <w:rPr>
          <w:rFonts w:eastAsia="Calibri"/>
        </w:rPr>
        <w:t>search</w:t>
      </w:r>
      <w:r w:rsidRPr="00FF0ECA">
        <w:t xml:space="preserve"> for truth. “The</w:t>
      </w:r>
      <w:r w:rsidRPr="00204C9C">
        <w:rPr>
          <w:rFonts w:eastAsia="Calibri"/>
        </w:rPr>
        <w:t xml:space="preserve"> peculiar evil of silencing the expression of an opinion</w:t>
      </w:r>
      <w:r w:rsidRPr="00FF0ECA">
        <w:t>,” he wrote, “</w:t>
      </w:r>
      <w:r w:rsidRPr="00204C9C">
        <w:rPr>
          <w:rFonts w:eastAsia="Calibri"/>
        </w:rPr>
        <w:t>is that it is robbing the human race</w:t>
      </w:r>
      <w:r w:rsidRPr="00FF0ECA">
        <w:t>.”</w:t>
      </w:r>
      <w:r w:rsidRPr="00204C9C">
        <w:rPr>
          <w:rFonts w:eastAsia="Calibri"/>
          <w:vertAlign w:val="superscript"/>
        </w:rPr>
        <w:footnoteReference w:id="24"/>
      </w:r>
      <w:r w:rsidRPr="00FF0ECA">
        <w:t xml:space="preserve"> Restricting speech deprives</w:t>
      </w:r>
      <w:r w:rsidRPr="00204C9C">
        <w:rPr>
          <w:rFonts w:eastAsia="Calibri"/>
        </w:rPr>
        <w:t xml:space="preserve"> the public </w:t>
      </w:r>
      <w:r w:rsidRPr="00FF0ECA">
        <w:t>of the opportunity to hear and evaluate competing views.</w:t>
      </w:r>
      <w:r>
        <w:rPr>
          <w:rFonts w:eastAsia="Calibri"/>
        </w:rPr>
        <w:t xml:space="preserve"> As </w:t>
      </w:r>
      <w:r w:rsidRPr="00204C9C">
        <w:rPr>
          <w:rFonts w:eastAsia="Calibri"/>
        </w:rPr>
        <w:t xml:space="preserve">Walter Bagehot </w:t>
      </w:r>
      <w:r w:rsidRPr="00FF0ECA">
        <w:t xml:space="preserve">later </w:t>
      </w:r>
      <w:r w:rsidRPr="00204C9C">
        <w:rPr>
          <w:rFonts w:eastAsia="Calibri"/>
        </w:rPr>
        <w:t>argued</w:t>
      </w:r>
      <w:r w:rsidRPr="00FF0ECA">
        <w:t>, rational deliberation—the</w:t>
      </w:r>
      <w:r>
        <w:rPr>
          <w:rFonts w:eastAsia="Calibri"/>
        </w:rPr>
        <w:t xml:space="preserve"> </w:t>
      </w:r>
      <w:r w:rsidRPr="00204C9C">
        <w:rPr>
          <w:rFonts w:eastAsia="Calibri"/>
        </w:rPr>
        <w:t xml:space="preserve">condition </w:t>
      </w:r>
      <w:r w:rsidRPr="00FF0ECA">
        <w:t>of</w:t>
      </w:r>
      <w:r w:rsidRPr="00204C9C">
        <w:rPr>
          <w:rFonts w:eastAsia="Calibri"/>
        </w:rPr>
        <w:t xml:space="preserve"> a parliamentary regime</w:t>
      </w:r>
      <w:r w:rsidRPr="00FF0ECA">
        <w:t>—</w:t>
      </w:r>
      <w:r>
        <w:rPr>
          <w:rFonts w:eastAsia="Calibri"/>
        </w:rPr>
        <w:t xml:space="preserve">requires </w:t>
      </w:r>
      <w:r w:rsidRPr="00FF0ECA">
        <w:t>“</w:t>
      </w:r>
      <w:r w:rsidRPr="00204C9C">
        <w:rPr>
          <w:rFonts w:eastAsia="Calibri"/>
        </w:rPr>
        <w:t>the power of hearing the reasons of others, of comparing them quietly with one’s own reasons, and then being guided by the result</w:t>
      </w:r>
      <w:r w:rsidRPr="00FF0ECA">
        <w:t>.”</w:t>
      </w:r>
      <w:r w:rsidRPr="00204C9C">
        <w:rPr>
          <w:rFonts w:eastAsia="Calibri"/>
          <w:vertAlign w:val="superscript"/>
        </w:rPr>
        <w:footnoteReference w:id="25"/>
      </w:r>
      <w:r>
        <w:rPr>
          <w:rFonts w:eastAsia="Calibri"/>
        </w:rPr>
        <w:t xml:space="preserve"> Free speech is thus a </w:t>
      </w:r>
      <w:r w:rsidRPr="00FF0ECA">
        <w:t>precondition</w:t>
      </w:r>
      <w:r>
        <w:rPr>
          <w:rFonts w:eastAsia="Calibri"/>
        </w:rPr>
        <w:t xml:space="preserve"> for democracy worthy of </w:t>
      </w:r>
      <w:r w:rsidRPr="00FF0ECA">
        <w:t>the</w:t>
      </w:r>
      <w:r>
        <w:rPr>
          <w:rFonts w:eastAsia="Calibri"/>
        </w:rPr>
        <w:t xml:space="preserve"> name.</w:t>
      </w:r>
    </w:p>
    <w:p w14:paraId="4857439B" w14:textId="77777777" w:rsidR="00565AF2" w:rsidRPr="00FF0ECA" w:rsidRDefault="00565AF2" w:rsidP="00565AF2">
      <w:r w:rsidRPr="00FF0ECA">
        <w:t xml:space="preserve">Do </w:t>
      </w:r>
      <w:r>
        <w:rPr>
          <w:rFonts w:eastAsia="Calibri"/>
        </w:rPr>
        <w:t xml:space="preserve">these </w:t>
      </w:r>
      <w:r w:rsidRPr="00FF0ECA">
        <w:t xml:space="preserve">same </w:t>
      </w:r>
      <w:r>
        <w:rPr>
          <w:rFonts w:eastAsia="Calibri"/>
        </w:rPr>
        <w:t>justifications</w:t>
      </w:r>
      <w:r w:rsidRPr="00FF0ECA">
        <w:t xml:space="preserve"> support a distinct right</w:t>
      </w:r>
      <w:r>
        <w:rPr>
          <w:rFonts w:eastAsia="Calibri"/>
        </w:rPr>
        <w:t xml:space="preserve"> to freedom of the press</w:t>
      </w:r>
      <w:r w:rsidRPr="00FF0ECA">
        <w:t xml:space="preserve">, or does the Press Clause merely duplicate the Speech Clause? Many scholars, and </w:t>
      </w:r>
      <w:r>
        <w:rPr>
          <w:rFonts w:eastAsia="Calibri"/>
        </w:rPr>
        <w:t xml:space="preserve">the Supreme Court </w:t>
      </w:r>
      <w:r w:rsidRPr="00FF0ECA">
        <w:t>itself, have</w:t>
      </w:r>
      <w:r>
        <w:rPr>
          <w:rFonts w:eastAsia="Calibri"/>
        </w:rPr>
        <w:t xml:space="preserve"> treated </w:t>
      </w:r>
      <w:r w:rsidRPr="004A3D61">
        <w:rPr>
          <w:rFonts w:eastAsia="Calibri"/>
        </w:rPr>
        <w:t xml:space="preserve">the Press Clause as </w:t>
      </w:r>
      <w:r w:rsidRPr="00FF0ECA">
        <w:t>“</w:t>
      </w:r>
      <w:r w:rsidRPr="004A3D61">
        <w:rPr>
          <w:rFonts w:eastAsia="Calibri"/>
        </w:rPr>
        <w:t>a superfluous subset of the Speech Clause</w:t>
      </w:r>
      <w:r w:rsidRPr="00FF0ECA">
        <w:t>” (Bhagwat).</w:t>
      </w:r>
      <w:r>
        <w:rPr>
          <w:rFonts w:eastAsia="Calibri"/>
        </w:rPr>
        <w:t xml:space="preserve"> Eugene Volokh </w:t>
      </w:r>
      <w:r w:rsidRPr="00FF0ECA">
        <w:t>has similarly concluded that</w:t>
      </w:r>
      <w:r>
        <w:rPr>
          <w:rFonts w:eastAsia="Calibri"/>
        </w:rPr>
        <w:t xml:space="preserve"> “</w:t>
      </w:r>
      <w:r w:rsidRPr="001958DA">
        <w:rPr>
          <w:rFonts w:eastAsia="Calibri"/>
        </w:rPr>
        <w:t>the First Amendment rights of the institutional press and of other speakers rise and fall together.</w:t>
      </w:r>
      <w:r>
        <w:rPr>
          <w:rFonts w:eastAsia="Calibri"/>
        </w:rPr>
        <w:t>”</w:t>
      </w:r>
      <w:r>
        <w:rPr>
          <w:rStyle w:val="FootnoteReference"/>
          <w:rFonts w:eastAsia="Calibri"/>
        </w:rPr>
        <w:footnoteReference w:id="26"/>
      </w:r>
      <w:r>
        <w:rPr>
          <w:rFonts w:eastAsia="Calibri"/>
        </w:rPr>
        <w:t xml:space="preserve"> Kent </w:t>
      </w:r>
      <w:r w:rsidRPr="00204C9C">
        <w:rPr>
          <w:rFonts w:eastAsia="Calibri"/>
        </w:rPr>
        <w:t>Greenawalt</w:t>
      </w:r>
      <w:r w:rsidRPr="00FF0ECA">
        <w:t>, in defining</w:t>
      </w:r>
      <w:r>
        <w:rPr>
          <w:rFonts w:eastAsia="Calibri"/>
        </w:rPr>
        <w:t xml:space="preserve"> free speech</w:t>
      </w:r>
      <w:r w:rsidRPr="00FF0ECA">
        <w:t>,</w:t>
      </w:r>
      <w:r>
        <w:rPr>
          <w:rFonts w:eastAsia="Calibri"/>
        </w:rPr>
        <w:t xml:space="preserve"> wrote that </w:t>
      </w:r>
      <w:r w:rsidRPr="00FF0ECA">
        <w:t>the term “</w:t>
      </w:r>
      <w:r>
        <w:rPr>
          <w:rFonts w:eastAsia="Calibri"/>
        </w:rPr>
        <w:t xml:space="preserve">is </w:t>
      </w:r>
      <w:r w:rsidRPr="00585C0C">
        <w:t>meant to cover both freedom of speech and freedom of the press</w:t>
      </w:r>
      <w:r w:rsidRPr="00FF0ECA">
        <w:t>.”</w:t>
      </w:r>
      <w:r>
        <w:rPr>
          <w:rStyle w:val="FootnoteReference"/>
        </w:rPr>
        <w:footnoteReference w:id="27"/>
      </w:r>
      <w:r w:rsidRPr="00FF0ECA">
        <w:t xml:space="preserve"> Melville Nimmer once suggested that</w:t>
      </w:r>
      <w:r>
        <w:t xml:space="preserve"> </w:t>
      </w:r>
      <w:r w:rsidRPr="00204C9C">
        <w:rPr>
          <w:rFonts w:eastAsia="Calibri"/>
        </w:rPr>
        <w:t xml:space="preserve"> </w:t>
      </w:r>
      <w:r w:rsidRPr="00204C9C">
        <w:rPr>
          <w:rFonts w:eastAsia="Calibri"/>
        </w:rPr>
        <w:lastRenderedPageBreak/>
        <w:t>freedom of the press</w:t>
      </w:r>
      <w:r w:rsidRPr="00FF0ECA">
        <w:t xml:space="preserve"> is simply</w:t>
      </w:r>
      <w:r w:rsidRPr="00204C9C">
        <w:rPr>
          <w:rFonts w:eastAsia="Calibri"/>
        </w:rPr>
        <w:t xml:space="preserve"> the</w:t>
      </w:r>
      <w:r w:rsidRPr="00FF0ECA">
        <w:t xml:space="preserve"> textual</w:t>
      </w:r>
      <w:r w:rsidRPr="00204C9C">
        <w:rPr>
          <w:rFonts w:eastAsia="Calibri"/>
        </w:rPr>
        <w:t xml:space="preserve"> application of </w:t>
      </w:r>
      <w:r w:rsidRPr="00FF0ECA">
        <w:t>free speech to the written word.</w:t>
      </w:r>
      <w:bookmarkStart w:id="4" w:name="_Ref426835495"/>
      <w:r w:rsidRPr="00204C9C">
        <w:rPr>
          <w:rFonts w:eastAsia="Calibri"/>
          <w:vertAlign w:val="superscript"/>
        </w:rPr>
        <w:footnoteReference w:id="28"/>
      </w:r>
      <w:bookmarkEnd w:id="4"/>
      <w:r w:rsidRPr="00204C9C">
        <w:rPr>
          <w:rFonts w:eastAsia="Calibri"/>
        </w:rPr>
        <w:t xml:space="preserve"> </w:t>
      </w:r>
      <w:r w:rsidRPr="00FF0ECA">
        <w:t xml:space="preserve"> If so, restrictions on the press are merely another form of </w:t>
      </w:r>
      <w:r w:rsidRPr="00204C9C">
        <w:rPr>
          <w:rFonts w:eastAsia="Calibri"/>
        </w:rPr>
        <w:t xml:space="preserve">restriction on </w:t>
      </w:r>
      <w:r w:rsidRPr="00FF0ECA">
        <w:t>speech.</w:t>
      </w:r>
    </w:p>
    <w:p w14:paraId="56C969A6" w14:textId="77777777" w:rsidR="00565AF2" w:rsidRDefault="00565AF2" w:rsidP="00565AF2">
      <w:pPr>
        <w:rPr>
          <w:rFonts w:eastAsia="Calibri"/>
        </w:rPr>
      </w:pPr>
      <w:r w:rsidRPr="00FF0ECA">
        <w:t>However, if</w:t>
      </w:r>
      <w:r>
        <w:rPr>
          <w:rFonts w:eastAsia="Calibri"/>
        </w:rPr>
        <w:t xml:space="preserve"> we </w:t>
      </w:r>
      <w:r w:rsidRPr="00FF0ECA">
        <w:t>follow</w:t>
      </w:r>
      <w:r>
        <w:rPr>
          <w:rFonts w:eastAsia="Calibri"/>
        </w:rPr>
        <w:t xml:space="preserve"> Raz’s </w:t>
      </w:r>
      <w:r w:rsidRPr="00FF0ECA">
        <w:t>view</w:t>
      </w:r>
      <w:r>
        <w:rPr>
          <w:rFonts w:eastAsia="Calibri"/>
        </w:rPr>
        <w:t xml:space="preserve"> that a right </w:t>
      </w:r>
      <w:r w:rsidRPr="00FF0ECA">
        <w:t>arises</w:t>
      </w:r>
      <w:r>
        <w:rPr>
          <w:rFonts w:eastAsia="Calibri"/>
        </w:rPr>
        <w:t xml:space="preserve"> from an interest important enough to </w:t>
      </w:r>
      <w:r w:rsidRPr="00FF0ECA">
        <w:t xml:space="preserve">impose duties </w:t>
      </w:r>
      <w:r>
        <w:rPr>
          <w:rFonts w:eastAsia="Calibri"/>
        </w:rPr>
        <w:t xml:space="preserve">on others, </w:t>
      </w:r>
      <w:r w:rsidRPr="00FF0ECA">
        <w:t xml:space="preserve">examining the interests that justify </w:t>
      </w:r>
      <w:r w:rsidRPr="001958DA">
        <w:rPr>
          <w:rFonts w:eastAsia="Calibri" w:hint="cs"/>
        </w:rPr>
        <w:t xml:space="preserve">protection </w:t>
      </w:r>
      <w:r w:rsidRPr="00FF0ECA">
        <w:t>helps to</w:t>
      </w:r>
      <w:r w:rsidRPr="001958DA">
        <w:rPr>
          <w:rFonts w:eastAsia="Calibri"/>
        </w:rPr>
        <w:t xml:space="preserve"> define </w:t>
      </w:r>
      <w:r w:rsidRPr="00FF0ECA">
        <w:t xml:space="preserve">both </w:t>
      </w:r>
      <w:r w:rsidRPr="001958DA">
        <w:rPr>
          <w:rFonts w:eastAsia="Calibri"/>
        </w:rPr>
        <w:t xml:space="preserve">the </w:t>
      </w:r>
      <w:r w:rsidRPr="00FF0ECA">
        <w:t>content and the</w:t>
      </w:r>
      <w:r w:rsidRPr="001958DA">
        <w:rPr>
          <w:rFonts w:eastAsia="Calibri"/>
        </w:rPr>
        <w:t xml:space="preserve"> limits</w:t>
      </w:r>
      <w:r w:rsidRPr="00FF0ECA">
        <w:t xml:space="preserve"> of the right.</w:t>
      </w:r>
      <w:r w:rsidRPr="003D12F1">
        <w:rPr>
          <w:rFonts w:eastAsia="Calibri"/>
        </w:rPr>
        <w:t xml:space="preserve"> Acts not necessary </w:t>
      </w:r>
      <w:r w:rsidRPr="00FF0ECA">
        <w:t xml:space="preserve">to protect that </w:t>
      </w:r>
      <w:r w:rsidRPr="003D12F1">
        <w:rPr>
          <w:rFonts w:eastAsia="Calibri"/>
        </w:rPr>
        <w:t xml:space="preserve">interest </w:t>
      </w:r>
      <w:r w:rsidRPr="00FF0ECA">
        <w:t>fall outside its</w:t>
      </w:r>
      <w:r w:rsidRPr="003D12F1">
        <w:rPr>
          <w:rFonts w:eastAsia="Calibri"/>
        </w:rPr>
        <w:t xml:space="preserve"> scope</w:t>
      </w:r>
      <w:r w:rsidRPr="00FF0ECA">
        <w:t xml:space="preserve">. On this reasoning, the standard </w:t>
      </w:r>
      <w:r>
        <w:rPr>
          <w:rFonts w:eastAsia="Calibri"/>
        </w:rPr>
        <w:t xml:space="preserve">justifications for </w:t>
      </w:r>
      <w:r w:rsidRPr="00FF0ECA">
        <w:t>freedom of</w:t>
      </w:r>
      <w:r>
        <w:rPr>
          <w:rFonts w:eastAsia="Calibri"/>
        </w:rPr>
        <w:t xml:space="preserve"> speech </w:t>
      </w:r>
      <w:r w:rsidRPr="00FF0ECA">
        <w:t>place</w:t>
      </w:r>
      <w:r>
        <w:rPr>
          <w:rFonts w:eastAsia="Calibri"/>
        </w:rPr>
        <w:t xml:space="preserve"> it on </w:t>
      </w:r>
      <w:r w:rsidRPr="00FF0ECA">
        <w:t>a different footing from</w:t>
      </w:r>
      <w:r>
        <w:rPr>
          <w:rFonts w:eastAsia="Calibri"/>
        </w:rPr>
        <w:t xml:space="preserve"> freedom of the press.</w:t>
      </w:r>
    </w:p>
    <w:p w14:paraId="07E6E511" w14:textId="77777777" w:rsidR="00565AF2" w:rsidRDefault="00565AF2" w:rsidP="00565AF2">
      <w:pPr>
        <w:rPr>
          <w:rFonts w:eastAsia="Calibri"/>
        </w:rPr>
      </w:pPr>
      <w:r w:rsidRPr="00204C9C">
        <w:rPr>
          <w:rFonts w:eastAsia="Calibri"/>
        </w:rPr>
        <w:t xml:space="preserve">The </w:t>
      </w:r>
      <w:r w:rsidRPr="00FF0ECA">
        <w:t xml:space="preserve">autonomy-based </w:t>
      </w:r>
      <w:r w:rsidRPr="00204C9C">
        <w:rPr>
          <w:rFonts w:eastAsia="Calibri"/>
        </w:rPr>
        <w:t>justification</w:t>
      </w:r>
      <w:r>
        <w:rPr>
          <w:rFonts w:eastAsia="Calibri"/>
        </w:rPr>
        <w:t xml:space="preserve"> </w:t>
      </w:r>
      <w:r w:rsidRPr="00FF0ECA">
        <w:t>primarily</w:t>
      </w:r>
      <w:r>
        <w:rPr>
          <w:rFonts w:eastAsia="Calibri"/>
        </w:rPr>
        <w:t xml:space="preserve"> </w:t>
      </w:r>
      <w:r w:rsidRPr="00204C9C">
        <w:rPr>
          <w:rFonts w:eastAsia="Calibri"/>
        </w:rPr>
        <w:t xml:space="preserve">serves private </w:t>
      </w:r>
      <w:r w:rsidRPr="00FF0ECA">
        <w:t>interests.</w:t>
      </w:r>
      <w:r w:rsidRPr="00204C9C">
        <w:rPr>
          <w:rFonts w:eastAsia="Calibri"/>
          <w:vertAlign w:val="superscript"/>
        </w:rPr>
        <w:footnoteReference w:id="29"/>
      </w:r>
      <w:r w:rsidRPr="00204C9C">
        <w:rPr>
          <w:rFonts w:eastAsia="Calibri"/>
        </w:rPr>
        <w:t xml:space="preserve"> </w:t>
      </w:r>
      <w:r w:rsidRPr="00FF0ECA">
        <w:t xml:space="preserve"> Every</w:t>
      </w:r>
      <w:r w:rsidRPr="00204C9C">
        <w:rPr>
          <w:rFonts w:eastAsia="Calibri"/>
        </w:rPr>
        <w:t xml:space="preserve"> individual has an interest in </w:t>
      </w:r>
      <w:r w:rsidRPr="00FF0ECA">
        <w:t>developing personal</w:t>
      </w:r>
      <w:r w:rsidRPr="00204C9C">
        <w:rPr>
          <w:rFonts w:eastAsia="Calibri"/>
        </w:rPr>
        <w:t xml:space="preserve"> autonomy</w:t>
      </w:r>
      <w:r w:rsidRPr="00FF0ECA">
        <w:t>;</w:t>
      </w:r>
      <w:r>
        <w:rPr>
          <w:rFonts w:eastAsia="Calibri"/>
        </w:rPr>
        <w:t xml:space="preserve"> journalists and </w:t>
      </w:r>
      <w:r w:rsidRPr="00FF0ECA">
        <w:t>editors share that</w:t>
      </w:r>
      <w:r>
        <w:rPr>
          <w:rFonts w:eastAsia="Calibri"/>
        </w:rPr>
        <w:t xml:space="preserve"> interest</w:t>
      </w:r>
      <w:r w:rsidRPr="00FF0ECA">
        <w:t>, but it is not unique to them. Defining</w:t>
      </w:r>
      <w:r w:rsidRPr="00204C9C">
        <w:rPr>
          <w:rFonts w:eastAsia="Calibri"/>
        </w:rPr>
        <w:t xml:space="preserve"> freedom of the press on this </w:t>
      </w:r>
      <w:r w:rsidRPr="00FF0ECA">
        <w:t>basis collapses</w:t>
      </w:r>
      <w:r w:rsidRPr="00204C9C">
        <w:rPr>
          <w:rFonts w:eastAsia="Calibri"/>
        </w:rPr>
        <w:t xml:space="preserve"> it </w:t>
      </w:r>
      <w:r w:rsidRPr="00FF0ECA">
        <w:t>into</w:t>
      </w:r>
      <w:r w:rsidRPr="00204C9C">
        <w:rPr>
          <w:rFonts w:eastAsia="Calibri"/>
        </w:rPr>
        <w:t xml:space="preserve"> freedom of </w:t>
      </w:r>
      <w:r w:rsidRPr="00FF0ECA">
        <w:t>speech</w:t>
      </w:r>
      <w:r w:rsidRPr="00204C9C">
        <w:rPr>
          <w:rFonts w:eastAsia="Calibri"/>
        </w:rPr>
        <w:t xml:space="preserve"> and </w:t>
      </w:r>
      <w:r w:rsidRPr="00FF0ECA">
        <w:t>renders</w:t>
      </w:r>
      <w:r w:rsidRPr="00204C9C">
        <w:rPr>
          <w:rFonts w:eastAsia="Calibri"/>
        </w:rPr>
        <w:t xml:space="preserve"> it redundant</w:t>
      </w:r>
      <w:r w:rsidRPr="00FF0ECA">
        <w:t>. There is no persuasive reason</w:t>
      </w:r>
      <w:r>
        <w:rPr>
          <w:rFonts w:eastAsia="Calibri"/>
        </w:rPr>
        <w:t xml:space="preserve"> why the </w:t>
      </w:r>
      <w:r w:rsidRPr="00FF0ECA">
        <w:t>personal</w:t>
      </w:r>
      <w:r>
        <w:rPr>
          <w:rFonts w:eastAsia="Calibri"/>
        </w:rPr>
        <w:t xml:space="preserve"> self</w:t>
      </w:r>
      <w:r w:rsidRPr="00FF0ECA">
        <w:t>-realization</w:t>
      </w:r>
      <w:r>
        <w:rPr>
          <w:rFonts w:eastAsia="Calibri"/>
        </w:rPr>
        <w:t xml:space="preserve"> of those </w:t>
      </w:r>
      <w:r w:rsidRPr="00FF0ECA">
        <w:t>who work</w:t>
      </w:r>
      <w:r>
        <w:rPr>
          <w:rFonts w:eastAsia="Calibri"/>
        </w:rPr>
        <w:t xml:space="preserve"> in media deserves </w:t>
      </w:r>
      <w:r w:rsidRPr="00FF0ECA">
        <w:t>greater constitutional</w:t>
      </w:r>
      <w:r>
        <w:rPr>
          <w:rFonts w:eastAsia="Calibri"/>
        </w:rPr>
        <w:t xml:space="preserve"> protection than that of other </w:t>
      </w:r>
      <w:r w:rsidRPr="00FF0ECA">
        <w:t>citizens. The problem</w:t>
      </w:r>
      <w:r>
        <w:rPr>
          <w:rFonts w:eastAsia="Calibri"/>
        </w:rPr>
        <w:t xml:space="preserve"> becomes </w:t>
      </w:r>
      <w:r w:rsidRPr="00FF0ECA">
        <w:t>sharper</w:t>
      </w:r>
      <w:r>
        <w:rPr>
          <w:rFonts w:eastAsia="Calibri"/>
        </w:rPr>
        <w:t xml:space="preserve"> </w:t>
      </w:r>
      <w:r w:rsidRPr="00204C9C">
        <w:rPr>
          <w:rFonts w:eastAsia="Calibri"/>
        </w:rPr>
        <w:t xml:space="preserve">when </w:t>
      </w:r>
      <w:r w:rsidRPr="00FF0ECA">
        <w:t xml:space="preserve">the expressive </w:t>
      </w:r>
      <w:r w:rsidRPr="00204C9C">
        <w:rPr>
          <w:rFonts w:eastAsia="Calibri"/>
        </w:rPr>
        <w:t xml:space="preserve">freedom of </w:t>
      </w:r>
      <w:r w:rsidRPr="00FF0ECA">
        <w:t>a media corporation</w:t>
      </w:r>
      <w:r>
        <w:rPr>
          <w:rFonts w:eastAsia="Calibri"/>
        </w:rPr>
        <w:t xml:space="preserve"> or </w:t>
      </w:r>
      <w:r w:rsidRPr="00FF0ECA">
        <w:t>journalist</w:t>
      </w:r>
      <w:r>
        <w:rPr>
          <w:rFonts w:eastAsia="Calibri"/>
        </w:rPr>
        <w:t xml:space="preserve"> </w:t>
      </w:r>
      <w:r w:rsidRPr="00370308">
        <w:t>conflicts</w:t>
      </w:r>
      <w:r w:rsidRPr="00204C9C">
        <w:rPr>
          <w:rFonts w:eastAsia="Calibri"/>
        </w:rPr>
        <w:t xml:space="preserve"> with </w:t>
      </w:r>
      <w:r w:rsidRPr="00FF0ECA">
        <w:t xml:space="preserve">other individuals’ </w:t>
      </w:r>
      <w:proofErr w:type="gramStart"/>
      <w:r>
        <w:rPr>
          <w:rFonts w:eastAsia="Calibri"/>
        </w:rPr>
        <w:t>interests</w:t>
      </w:r>
      <w:r w:rsidRPr="00FF0ECA">
        <w:t>—</w:t>
      </w:r>
      <w:proofErr w:type="gramEnd"/>
      <w:r>
        <w:rPr>
          <w:rFonts w:eastAsia="Calibri"/>
        </w:rPr>
        <w:t xml:space="preserve">including </w:t>
      </w:r>
      <w:r w:rsidRPr="00FF0ECA">
        <w:t>those grounded in</w:t>
      </w:r>
      <w:r>
        <w:rPr>
          <w:rFonts w:eastAsia="Calibri"/>
        </w:rPr>
        <w:t xml:space="preserve"> the </w:t>
      </w:r>
      <w:r w:rsidRPr="00FF0ECA">
        <w:t xml:space="preserve">remaining </w:t>
      </w:r>
      <w:r>
        <w:rPr>
          <w:rFonts w:eastAsia="Calibri"/>
        </w:rPr>
        <w:t xml:space="preserve">two justifications of </w:t>
      </w:r>
      <w:r w:rsidRPr="00FF0ECA">
        <w:t>truth and democracy. Consider</w:t>
      </w:r>
      <w:r>
        <w:rPr>
          <w:rFonts w:eastAsia="Calibri"/>
        </w:rPr>
        <w:t xml:space="preserve"> </w:t>
      </w:r>
      <w:r>
        <w:rPr>
          <w:rFonts w:eastAsia="Calibri"/>
          <w:i/>
          <w:iCs/>
        </w:rPr>
        <w:t>Tornillo</w:t>
      </w:r>
      <w:r w:rsidRPr="00FF0ECA">
        <w:t>:</w:t>
      </w:r>
      <w:r>
        <w:rPr>
          <w:rStyle w:val="FootnoteReference"/>
          <w:rFonts w:eastAsia="Calibri"/>
        </w:rPr>
        <w:footnoteReference w:id="30"/>
      </w:r>
      <w:r>
        <w:rPr>
          <w:rFonts w:eastAsia="Calibri"/>
        </w:rPr>
        <w:t xml:space="preserve"> </w:t>
      </w:r>
      <w:r w:rsidRPr="00FF0ECA">
        <w:t xml:space="preserve"> the Court invoked </w:t>
      </w:r>
      <w:r>
        <w:rPr>
          <w:rFonts w:eastAsia="Calibri"/>
        </w:rPr>
        <w:t xml:space="preserve">“freedom of the press” to allow a </w:t>
      </w:r>
      <w:r w:rsidRPr="00FF0ECA">
        <w:t>newspaper</w:t>
      </w:r>
      <w:r>
        <w:rPr>
          <w:rFonts w:eastAsia="Calibri"/>
        </w:rPr>
        <w:t xml:space="preserve"> to prevent an individual from </w:t>
      </w:r>
      <w:r w:rsidRPr="00FF0ECA">
        <w:t>responding</w:t>
      </w:r>
      <w:r>
        <w:rPr>
          <w:rFonts w:eastAsia="Calibri"/>
        </w:rPr>
        <w:t xml:space="preserve"> to </w:t>
      </w:r>
      <w:r w:rsidRPr="00FF0ECA">
        <w:t>criticism</w:t>
      </w:r>
      <w:r>
        <w:rPr>
          <w:rFonts w:eastAsia="Calibri"/>
        </w:rPr>
        <w:t xml:space="preserve">. It is </w:t>
      </w:r>
      <w:r w:rsidRPr="00FF0ECA">
        <w:t>understandable that no person should</w:t>
      </w:r>
      <w:r>
        <w:rPr>
          <w:rFonts w:eastAsia="Calibri"/>
        </w:rPr>
        <w:t xml:space="preserve"> be </w:t>
      </w:r>
      <w:r w:rsidRPr="00FF0ECA">
        <w:t>compelled</w:t>
      </w:r>
      <w:r>
        <w:rPr>
          <w:rFonts w:eastAsia="Calibri"/>
        </w:rPr>
        <w:t xml:space="preserve"> to </w:t>
      </w:r>
      <w:r w:rsidRPr="00FF0ECA">
        <w:t>publish another’s</w:t>
      </w:r>
      <w:r>
        <w:rPr>
          <w:rFonts w:eastAsia="Calibri"/>
        </w:rPr>
        <w:t xml:space="preserve"> words</w:t>
      </w:r>
      <w:r w:rsidRPr="00FF0ECA">
        <w:t>; that</w:t>
      </w:r>
      <w:r>
        <w:rPr>
          <w:rFonts w:eastAsia="Calibri"/>
        </w:rPr>
        <w:t xml:space="preserve"> would </w:t>
      </w:r>
      <w:r w:rsidRPr="00FF0ECA">
        <w:t>infringe</w:t>
      </w:r>
      <w:r>
        <w:rPr>
          <w:rFonts w:eastAsia="Calibri"/>
        </w:rPr>
        <w:t xml:space="preserve"> autonomy. But that </w:t>
      </w:r>
      <w:r w:rsidRPr="00FF0ECA">
        <w:t>is a matter of personal free speech,</w:t>
      </w:r>
      <w:r>
        <w:rPr>
          <w:rFonts w:eastAsia="Calibri"/>
        </w:rPr>
        <w:t xml:space="preserve"> not </w:t>
      </w:r>
      <w:r w:rsidRPr="00FF0ECA">
        <w:t xml:space="preserve">of </w:t>
      </w:r>
      <w:r>
        <w:rPr>
          <w:rFonts w:eastAsia="Calibri"/>
        </w:rPr>
        <w:t>freedom of</w:t>
      </w:r>
      <w:r w:rsidRPr="00FF0ECA">
        <w:t xml:space="preserve"> the press. If, as I argue later,</w:t>
      </w:r>
      <w:r>
        <w:rPr>
          <w:rFonts w:eastAsia="Calibri"/>
        </w:rPr>
        <w:t xml:space="preserve"> the press</w:t>
      </w:r>
      <w:r w:rsidRPr="00FF0ECA">
        <w:t xml:space="preserve"> bears</w:t>
      </w:r>
      <w:r>
        <w:rPr>
          <w:rFonts w:eastAsia="Calibri"/>
        </w:rPr>
        <w:t xml:space="preserve"> a duty to convey information to the public, </w:t>
      </w:r>
      <w:r w:rsidRPr="00FF0ECA">
        <w:t xml:space="preserve">then </w:t>
      </w:r>
      <w:r w:rsidRPr="00FF0ECA">
        <w:rPr>
          <w:i/>
          <w:iCs/>
        </w:rPr>
        <w:t>Tornillo</w:t>
      </w:r>
      <w:r w:rsidRPr="00FF0ECA">
        <w:t xml:space="preserve"> is best viewed as a </w:t>
      </w:r>
      <w:r>
        <w:rPr>
          <w:rFonts w:eastAsia="Calibri"/>
        </w:rPr>
        <w:t xml:space="preserve">conflict </w:t>
      </w:r>
      <w:r w:rsidRPr="00FF0ECA">
        <w:t>between the newspaper’s freedom of speech (in the sense of avoiding compelled expression) and</w:t>
      </w:r>
      <w:r>
        <w:rPr>
          <w:rFonts w:eastAsia="Calibri"/>
        </w:rPr>
        <w:t xml:space="preserve"> the public’s right to freedom of the press.</w:t>
      </w:r>
    </w:p>
    <w:p w14:paraId="3FEE75E6" w14:textId="77777777" w:rsidR="00565AF2" w:rsidRDefault="00565AF2" w:rsidP="00565AF2">
      <w:pPr>
        <w:rPr>
          <w:rFonts w:eastAsia="Calibri"/>
        </w:rPr>
      </w:pPr>
      <w:r w:rsidRPr="00FF0ECA">
        <w:t>A distinct</w:t>
      </w:r>
      <w:r>
        <w:rPr>
          <w:rFonts w:eastAsia="Calibri"/>
        </w:rPr>
        <w:t xml:space="preserve"> treatment of </w:t>
      </w:r>
      <w:r w:rsidRPr="00FF0ECA">
        <w:t>journalists’</w:t>
      </w:r>
      <w:r>
        <w:rPr>
          <w:rFonts w:eastAsia="Calibri"/>
        </w:rPr>
        <w:t xml:space="preserve"> speech can </w:t>
      </w:r>
      <w:r w:rsidRPr="00FF0ECA">
        <w:t xml:space="preserve">therefore rest </w:t>
      </w:r>
      <w:r>
        <w:rPr>
          <w:rFonts w:eastAsia="Calibri"/>
        </w:rPr>
        <w:t xml:space="preserve">only on the </w:t>
      </w:r>
      <w:r w:rsidRPr="00FF0ECA">
        <w:t>latter</w:t>
      </w:r>
      <w:r>
        <w:rPr>
          <w:rFonts w:eastAsia="Calibri"/>
        </w:rPr>
        <w:t xml:space="preserve"> two justifications</w:t>
      </w:r>
      <w:r w:rsidRPr="00FF0ECA">
        <w:t>—</w:t>
      </w:r>
      <w:r>
        <w:rPr>
          <w:rFonts w:eastAsia="Calibri"/>
        </w:rPr>
        <w:t>truth</w:t>
      </w:r>
      <w:r w:rsidRPr="00FF0ECA">
        <w:t>-</w:t>
      </w:r>
      <w:r>
        <w:rPr>
          <w:rFonts w:eastAsia="Calibri"/>
        </w:rPr>
        <w:t xml:space="preserve">seeking </w:t>
      </w:r>
      <w:r w:rsidRPr="00FF0ECA">
        <w:t>and, above all, democracy—because here</w:t>
      </w:r>
      <w:r>
        <w:rPr>
          <w:rFonts w:eastAsia="Calibri"/>
        </w:rPr>
        <w:t xml:space="preserve"> the press is </w:t>
      </w:r>
      <w:r w:rsidRPr="00FF0ECA">
        <w:t>uniquely positioned among communicators. The press provides citizens with</w:t>
      </w:r>
      <w:r>
        <w:rPr>
          <w:rFonts w:eastAsia="Calibri"/>
        </w:rPr>
        <w:t xml:space="preserve"> the information </w:t>
      </w:r>
      <w:r w:rsidRPr="00FF0ECA">
        <w:t xml:space="preserve">necessary for </w:t>
      </w:r>
      <w:r>
        <w:rPr>
          <w:rFonts w:eastAsia="Calibri"/>
        </w:rPr>
        <w:t xml:space="preserve">political </w:t>
      </w:r>
      <w:r w:rsidRPr="00FF0ECA">
        <w:t>judgment</w:t>
      </w:r>
      <w:r>
        <w:rPr>
          <w:rFonts w:eastAsia="Calibri"/>
        </w:rPr>
        <w:t>, feeds the public sphere</w:t>
      </w:r>
      <w:r w:rsidRPr="00FF0ECA">
        <w:t>,</w:t>
      </w:r>
      <w:r>
        <w:rPr>
          <w:rFonts w:eastAsia="Calibri"/>
        </w:rPr>
        <w:t xml:space="preserve"> and shapes </w:t>
      </w:r>
      <w:r w:rsidRPr="00FF0ECA">
        <w:t>collective</w:t>
      </w:r>
      <w:r>
        <w:rPr>
          <w:rFonts w:eastAsia="Calibri"/>
        </w:rPr>
        <w:t xml:space="preserve"> discourse. </w:t>
      </w:r>
      <w:r w:rsidRPr="00FF0ECA">
        <w:t>Courts and</w:t>
      </w:r>
      <w:r>
        <w:rPr>
          <w:rFonts w:eastAsia="Calibri"/>
        </w:rPr>
        <w:t xml:space="preserve"> scholars</w:t>
      </w:r>
      <w:r w:rsidRPr="00FF0ECA">
        <w:t xml:space="preserve"> alike have recognized this role, but its</w:t>
      </w:r>
      <w:r>
        <w:rPr>
          <w:rFonts w:eastAsia="Calibri"/>
        </w:rPr>
        <w:t xml:space="preserve"> normative </w:t>
      </w:r>
      <w:r w:rsidRPr="00FF0ECA">
        <w:t>implications have</w:t>
      </w:r>
      <w:r>
        <w:rPr>
          <w:rFonts w:eastAsia="Calibri"/>
        </w:rPr>
        <w:t xml:space="preserve"> not been fully </w:t>
      </w:r>
      <w:r w:rsidRPr="00FF0ECA">
        <w:t xml:space="preserve">pursued. If democracy is the ground for </w:t>
      </w:r>
      <w:r w:rsidRPr="006F5233">
        <w:rPr>
          <w:rFonts w:eastAsia="Calibri"/>
        </w:rPr>
        <w:t>freedom of the press</w:t>
      </w:r>
      <w:r w:rsidRPr="00FF0ECA">
        <w:t xml:space="preserve">, then the right </w:t>
      </w:r>
      <w:r w:rsidRPr="006F5233">
        <w:rPr>
          <w:rFonts w:eastAsia="Calibri"/>
        </w:rPr>
        <w:t xml:space="preserve">does not </w:t>
      </w:r>
      <w:r w:rsidRPr="00FF0ECA">
        <w:t>belong to journalists or publishers at all—it belongs</w:t>
      </w:r>
      <w:r w:rsidRPr="006F5233">
        <w:rPr>
          <w:rFonts w:eastAsia="Calibri"/>
        </w:rPr>
        <w:t xml:space="preserve"> to </w:t>
      </w:r>
      <w:r w:rsidRPr="00FF0ECA">
        <w:t xml:space="preserve">the public. The conventional view that </w:t>
      </w:r>
      <w:r w:rsidRPr="006F5233">
        <w:rPr>
          <w:rFonts w:eastAsia="Calibri"/>
        </w:rPr>
        <w:t xml:space="preserve">press freedom </w:t>
      </w:r>
      <w:r w:rsidRPr="00FF0ECA">
        <w:t xml:space="preserve">grants rights </w:t>
      </w:r>
      <w:r w:rsidRPr="006F5233">
        <w:rPr>
          <w:rFonts w:eastAsia="Calibri"/>
        </w:rPr>
        <w:t xml:space="preserve">to </w:t>
      </w:r>
      <w:r w:rsidRPr="006F5233">
        <w:rPr>
          <w:rFonts w:eastAsia="Calibri"/>
        </w:rPr>
        <w:lastRenderedPageBreak/>
        <w:t>journalists</w:t>
      </w:r>
      <w:r w:rsidRPr="00FF0ECA">
        <w:t>,</w:t>
      </w:r>
      <w:r w:rsidRPr="006F5233">
        <w:rPr>
          <w:rFonts w:eastAsia="Calibri"/>
        </w:rPr>
        <w:t xml:space="preserve"> and that the </w:t>
      </w:r>
      <w:r w:rsidRPr="00FF0ECA">
        <w:t>corresponding</w:t>
      </w:r>
      <w:r w:rsidRPr="006F5233">
        <w:rPr>
          <w:rFonts w:eastAsia="Calibri"/>
        </w:rPr>
        <w:t xml:space="preserve"> duty </w:t>
      </w:r>
      <w:r w:rsidRPr="00FF0ECA">
        <w:t>lies solely with</w:t>
      </w:r>
      <w:r w:rsidRPr="006F5233">
        <w:rPr>
          <w:rFonts w:eastAsia="Calibri"/>
        </w:rPr>
        <w:t xml:space="preserve"> the government not </w:t>
      </w:r>
      <w:proofErr w:type="gramStart"/>
      <w:r w:rsidRPr="006F5233">
        <w:rPr>
          <w:rFonts w:eastAsia="Calibri"/>
        </w:rPr>
        <w:t xml:space="preserve">to </w:t>
      </w:r>
      <w:r w:rsidRPr="00FF0ECA">
        <w:t>interfere</w:t>
      </w:r>
      <w:proofErr w:type="gramEnd"/>
      <w:r w:rsidRPr="006F5233">
        <w:rPr>
          <w:rFonts w:eastAsia="Calibri"/>
        </w:rPr>
        <w:t xml:space="preserve">, is </w:t>
      </w:r>
      <w:r w:rsidRPr="00FF0ECA">
        <w:t>therefore mistaken</w:t>
      </w:r>
      <w:r w:rsidRPr="006F5233">
        <w:rPr>
          <w:rFonts w:eastAsia="Calibri"/>
        </w:rPr>
        <w:t>.</w:t>
      </w:r>
    </w:p>
    <w:p w14:paraId="612C2C7F" w14:textId="77777777" w:rsidR="00C649C5" w:rsidRPr="001A23D8" w:rsidRDefault="00C649C5" w:rsidP="00C649C5">
      <w:pPr>
        <w:rPr>
          <w:b/>
        </w:rPr>
      </w:pPr>
      <w:r w:rsidRPr="001A23D8">
        <w:rPr>
          <w:b/>
        </w:rPr>
        <w:t xml:space="preserve">The </w:t>
      </w:r>
      <w:r w:rsidRPr="00FC103B">
        <w:rPr>
          <w:b/>
          <w:bCs/>
        </w:rPr>
        <w:t>Public’s Well-Being</w:t>
      </w:r>
      <w:r w:rsidRPr="001A23D8">
        <w:rPr>
          <w:b/>
        </w:rPr>
        <w:t xml:space="preserve"> and </w:t>
      </w:r>
      <w:r w:rsidRPr="00FC103B">
        <w:rPr>
          <w:b/>
          <w:bCs/>
        </w:rPr>
        <w:t>Freedom</w:t>
      </w:r>
      <w:r w:rsidRPr="001A23D8">
        <w:rPr>
          <w:b/>
        </w:rPr>
        <w:t xml:space="preserve"> of the </w:t>
      </w:r>
      <w:r w:rsidRPr="00FC103B">
        <w:rPr>
          <w:b/>
          <w:bCs/>
        </w:rPr>
        <w:t>Press</w:t>
      </w:r>
    </w:p>
    <w:p w14:paraId="76B3DC53" w14:textId="77777777" w:rsidR="00C649C5" w:rsidRPr="0091697E" w:rsidRDefault="00C649C5" w:rsidP="00C649C5">
      <w:pPr>
        <w:rPr>
          <w:rFonts w:eastAsia="Calibri"/>
        </w:rPr>
      </w:pPr>
      <w:r>
        <w:rPr>
          <w:rFonts w:eastAsia="Calibri"/>
        </w:rPr>
        <w:t xml:space="preserve">I have shown that the </w:t>
      </w:r>
      <w:r w:rsidRPr="00FC103B">
        <w:t>well-being of the press itself</w:t>
      </w:r>
      <w:r>
        <w:rPr>
          <w:rFonts w:eastAsia="Calibri"/>
        </w:rPr>
        <w:t xml:space="preserve"> cannot </w:t>
      </w:r>
      <w:r w:rsidRPr="00FC103B">
        <w:t>justify</w:t>
      </w:r>
      <w:r>
        <w:rPr>
          <w:rFonts w:eastAsia="Calibri"/>
        </w:rPr>
        <w:t xml:space="preserve"> a right to freedom of the press. </w:t>
      </w:r>
      <w:r w:rsidRPr="00FC103B">
        <w:t>The right’s moral foundation must instead rest on the public’s well-being. One of the earliest and clearest articulations of</w:t>
      </w:r>
      <w:r>
        <w:rPr>
          <w:rFonts w:eastAsia="Calibri"/>
        </w:rPr>
        <w:t xml:space="preserve"> this </w:t>
      </w:r>
      <w:r w:rsidRPr="00FC103B">
        <w:t>view came from</w:t>
      </w:r>
      <w:r w:rsidRPr="0091697E">
        <w:rPr>
          <w:rFonts w:eastAsia="Calibri"/>
        </w:rPr>
        <w:t xml:space="preserve"> the 1947 Hutchins </w:t>
      </w:r>
      <w:r w:rsidRPr="00FC103B">
        <w:t>Commission,</w:t>
      </w:r>
      <w:r>
        <w:rPr>
          <w:rStyle w:val="FootnoteReference"/>
          <w:rFonts w:eastAsia="Calibri"/>
        </w:rPr>
        <w:footnoteReference w:id="31"/>
      </w:r>
      <w:r w:rsidRPr="00FC103B">
        <w:t xml:space="preserve"> which declared</w:t>
      </w:r>
      <w:r w:rsidRPr="0091697E">
        <w:rPr>
          <w:rFonts w:eastAsia="Calibri"/>
        </w:rPr>
        <w:t xml:space="preserve"> in its final report:</w:t>
      </w:r>
    </w:p>
    <w:p w14:paraId="6D185456" w14:textId="77777777" w:rsidR="00C649C5" w:rsidRPr="0091697E" w:rsidRDefault="00C649C5" w:rsidP="00C649C5">
      <w:pPr>
        <w:rPr>
          <w:rFonts w:eastAsia="Calibri"/>
        </w:rPr>
      </w:pPr>
      <w:r w:rsidRPr="00FC103B">
        <w:t>“</w:t>
      </w:r>
      <w:r w:rsidRPr="0091697E">
        <w:rPr>
          <w:rFonts w:eastAsia="Calibri"/>
        </w:rPr>
        <w:t xml:space="preserve">The need of the consumer to have adequate and uncontaminated mental food is such that he is under a duty to get it; and, because of this duty, his interest acquires the stature of a </w:t>
      </w:r>
      <w:r w:rsidRPr="001A23D8">
        <w:t>right</w:t>
      </w:r>
      <w:r w:rsidRPr="0091697E">
        <w:rPr>
          <w:rFonts w:eastAsia="Calibri"/>
        </w:rPr>
        <w:t>. It becomes legitimate to speak of the moral right of men to the news they can use</w:t>
      </w:r>
      <w:r w:rsidRPr="00FC103B">
        <w:t>.”</w:t>
      </w:r>
      <w:bookmarkStart w:id="5" w:name="_Ref395549465"/>
      <w:r w:rsidRPr="00204C9C">
        <w:rPr>
          <w:vertAlign w:val="superscript"/>
        </w:rPr>
        <w:footnoteReference w:id="32"/>
      </w:r>
      <w:bookmarkEnd w:id="5"/>
    </w:p>
    <w:p w14:paraId="59684E91" w14:textId="77777777" w:rsidR="00C649C5" w:rsidRPr="00A079D2" w:rsidRDefault="00C649C5" w:rsidP="00C649C5">
      <w:r w:rsidRPr="0091697E">
        <w:rPr>
          <w:rFonts w:eastAsia="Calibri"/>
        </w:rPr>
        <w:t xml:space="preserve">The information </w:t>
      </w:r>
      <w:r w:rsidRPr="00FC103B">
        <w:t>supplied</w:t>
      </w:r>
      <w:r w:rsidRPr="0091697E">
        <w:rPr>
          <w:rFonts w:eastAsia="Calibri"/>
        </w:rPr>
        <w:t xml:space="preserve"> by the press</w:t>
      </w:r>
      <w:r w:rsidRPr="00FC103B">
        <w:t xml:space="preserve"> sustains</w:t>
      </w:r>
      <w:r w:rsidRPr="0091697E">
        <w:rPr>
          <w:rFonts w:eastAsia="Calibri"/>
        </w:rPr>
        <w:t xml:space="preserve"> the </w:t>
      </w:r>
      <w:r w:rsidRPr="0091697E">
        <w:rPr>
          <w:rFonts w:eastAsia="Calibri"/>
        </w:rPr>
        <w:t>wellbeing</w:t>
      </w:r>
      <w:r w:rsidRPr="0091697E">
        <w:rPr>
          <w:rFonts w:eastAsia="Calibri"/>
        </w:rPr>
        <w:t xml:space="preserve"> of democracy</w:t>
      </w:r>
      <w:r w:rsidRPr="0091697E">
        <w:rPr>
          <w:rFonts w:eastAsia="Calibri"/>
        </w:rPr>
        <w:t>,</w:t>
      </w:r>
      <w:r w:rsidRPr="0091697E">
        <w:rPr>
          <w:rFonts w:eastAsia="Calibri"/>
        </w:rPr>
        <w:t xml:space="preserve"> and of its </w:t>
      </w:r>
      <w:r w:rsidRPr="0091697E">
        <w:rPr>
          <w:rFonts w:eastAsia="Calibri"/>
        </w:rPr>
        <w:t xml:space="preserve">citizens </w:t>
      </w:r>
      <w:r w:rsidRPr="0091697E">
        <w:rPr>
          <w:rFonts w:eastAsia="Calibri"/>
          <w:i/>
          <w:iCs/>
        </w:rPr>
        <w:t>qua</w:t>
      </w:r>
      <w:r w:rsidRPr="0091697E">
        <w:rPr>
          <w:rFonts w:eastAsia="Calibri"/>
        </w:rPr>
        <w:t xml:space="preserve"> citizens.</w:t>
      </w:r>
      <w:r w:rsidRPr="0091697E">
        <w:rPr>
          <w:rFonts w:eastAsia="Calibri"/>
        </w:rPr>
        <w:t xml:space="preserve"> It is </w:t>
      </w:r>
      <w:r w:rsidRPr="00C626F6">
        <w:rPr>
          <w:rFonts w:eastAsia="Calibri"/>
          <w:i/>
          <w:iCs/>
        </w:rPr>
        <w:t>the public’s</w:t>
      </w:r>
      <w:r w:rsidRPr="00C626F6">
        <w:rPr>
          <w:rFonts w:eastAsia="Calibri"/>
          <w:b/>
          <w:bCs/>
          <w:i/>
          <w:iCs/>
        </w:rPr>
        <w:t xml:space="preserve"> </w:t>
      </w:r>
      <w:r w:rsidRPr="0091697E">
        <w:rPr>
          <w:rFonts w:eastAsia="Calibri"/>
        </w:rPr>
        <w:t xml:space="preserve">well-being, its </w:t>
      </w:r>
      <w:r w:rsidRPr="0091697E">
        <w:rPr>
          <w:rFonts w:eastAsia="Calibri"/>
        </w:rPr>
        <w:t xml:space="preserve">interest, </w:t>
      </w:r>
      <w:r w:rsidRPr="0091697E">
        <w:rPr>
          <w:rFonts w:eastAsia="Calibri"/>
        </w:rPr>
        <w:t xml:space="preserve">which </w:t>
      </w:r>
      <w:r w:rsidRPr="0091697E">
        <w:rPr>
          <w:rFonts w:eastAsia="Calibri"/>
        </w:rPr>
        <w:t xml:space="preserve">is protected by </w:t>
      </w:r>
      <w:r w:rsidRPr="0091697E">
        <w:rPr>
          <w:rFonts w:eastAsia="Calibri"/>
        </w:rPr>
        <w:t>Freedom</w:t>
      </w:r>
      <w:r w:rsidRPr="0091697E">
        <w:rPr>
          <w:rFonts w:eastAsia="Calibri"/>
        </w:rPr>
        <w:t xml:space="preserve"> of the </w:t>
      </w:r>
      <w:r w:rsidRPr="0091697E">
        <w:rPr>
          <w:rFonts w:eastAsia="Calibri"/>
        </w:rPr>
        <w:t xml:space="preserve">Press. </w:t>
      </w:r>
      <w:r w:rsidRPr="0091697E">
        <w:rPr>
          <w:rFonts w:eastAsia="Calibri"/>
        </w:rPr>
        <w:t xml:space="preserve">If </w:t>
      </w:r>
      <w:r w:rsidRPr="0091697E">
        <w:rPr>
          <w:rFonts w:eastAsia="Calibri"/>
        </w:rPr>
        <w:t xml:space="preserve">I am committed to </w:t>
      </w:r>
      <w:r w:rsidRPr="0091697E">
        <w:rPr>
          <w:rFonts w:eastAsia="Calibri"/>
        </w:rPr>
        <w:t xml:space="preserve">Raz’s definition of rights, </w:t>
      </w:r>
      <w:r w:rsidRPr="0091697E">
        <w:rPr>
          <w:rFonts w:eastAsia="Calibri"/>
        </w:rPr>
        <w:t xml:space="preserve">I need now to roll back to </w:t>
      </w:r>
      <w:proofErr w:type="spellStart"/>
      <w:r w:rsidRPr="0091697E">
        <w:rPr>
          <w:rFonts w:eastAsia="Calibri"/>
        </w:rPr>
        <w:t>it’s</w:t>
      </w:r>
      <w:proofErr w:type="spellEnd"/>
      <w:r w:rsidRPr="0091697E">
        <w:rPr>
          <w:rFonts w:eastAsia="Calibri"/>
        </w:rPr>
        <w:t xml:space="preserve"> beginning –</w:t>
      </w:r>
      <w:r w:rsidRPr="0091697E">
        <w:rPr>
          <w:rFonts w:eastAsia="Calibri"/>
        </w:rPr>
        <w:t xml:space="preserve"> </w:t>
      </w:r>
      <w:r w:rsidRPr="00C626F6">
        <w:rPr>
          <w:i/>
        </w:rPr>
        <w:t xml:space="preserve">X has a right if and only if X </w:t>
      </w:r>
      <w:r w:rsidRPr="0091697E">
        <w:rPr>
          <w:rFonts w:eastAsia="Calibri"/>
          <w:i/>
          <w:iCs/>
        </w:rPr>
        <w:t>can</w:t>
      </w:r>
      <w:r w:rsidRPr="00C626F6">
        <w:rPr>
          <w:i/>
        </w:rPr>
        <w:t xml:space="preserve"> have a right.</w:t>
      </w:r>
      <w:r w:rsidRPr="0091697E">
        <w:rPr>
          <w:rFonts w:eastAsia="Calibri"/>
        </w:rPr>
        <w:t xml:space="preserve"> </w:t>
      </w:r>
      <w:r w:rsidRPr="00FC103B">
        <w:t>Can “</w:t>
      </w:r>
      <w:r w:rsidRPr="0091697E">
        <w:rPr>
          <w:rFonts w:eastAsia="Calibri"/>
        </w:rPr>
        <w:t>the public</w:t>
      </w:r>
      <w:r w:rsidRPr="00FC103B">
        <w:t>” itself be such</w:t>
      </w:r>
      <w:r w:rsidRPr="0091697E">
        <w:rPr>
          <w:rFonts w:eastAsia="Calibri"/>
        </w:rPr>
        <w:t xml:space="preserve"> a </w:t>
      </w:r>
      <w:r w:rsidRPr="00FC103B">
        <w:t>rights-holder? Does</w:t>
      </w:r>
      <w:r w:rsidRPr="00A079D2">
        <w:t xml:space="preserve"> this not </w:t>
      </w:r>
      <w:r w:rsidRPr="00FC103B">
        <w:t>depart</w:t>
      </w:r>
      <w:r w:rsidRPr="00A079D2">
        <w:t xml:space="preserve"> from the </w:t>
      </w:r>
      <w:r w:rsidRPr="00FC103B">
        <w:t xml:space="preserve">traditional understanding </w:t>
      </w:r>
      <w:r w:rsidRPr="00A079D2">
        <w:t xml:space="preserve">of </w:t>
      </w:r>
      <w:r w:rsidRPr="00FC103B">
        <w:t xml:space="preserve">rights as instruments for protecting individuals against </w:t>
      </w:r>
      <w:r w:rsidRPr="00A079D2">
        <w:t xml:space="preserve">stronger </w:t>
      </w:r>
      <w:r w:rsidRPr="00FC103B">
        <w:t>powers</w:t>
      </w:r>
      <w:r w:rsidRPr="00A079D2">
        <w:t>?</w:t>
      </w:r>
    </w:p>
    <w:p w14:paraId="119AFD1A" w14:textId="77777777" w:rsidR="00C649C5" w:rsidRPr="006478DA" w:rsidRDefault="00C649C5" w:rsidP="00C649C5">
      <w:pPr>
        <w:rPr>
          <w:b/>
          <w:bCs/>
          <w:rtl/>
        </w:rPr>
      </w:pPr>
      <w:r w:rsidRPr="00C626F6">
        <w:rPr>
          <w:b/>
        </w:rPr>
        <w:t xml:space="preserve">Can the </w:t>
      </w:r>
      <w:r w:rsidRPr="00FC103B">
        <w:rPr>
          <w:b/>
          <w:bCs/>
        </w:rPr>
        <w:t>Public Have</w:t>
      </w:r>
      <w:r w:rsidRPr="00C626F6">
        <w:rPr>
          <w:b/>
        </w:rPr>
        <w:t xml:space="preserve"> a </w:t>
      </w:r>
      <w:r w:rsidRPr="00FC103B">
        <w:rPr>
          <w:b/>
          <w:bCs/>
        </w:rPr>
        <w:t>Right</w:t>
      </w:r>
      <w:r w:rsidRPr="006478DA">
        <w:rPr>
          <w:b/>
        </w:rPr>
        <w:t>?</w:t>
      </w:r>
    </w:p>
    <w:p w14:paraId="01EC7B8E" w14:textId="77777777" w:rsidR="00C649C5" w:rsidRPr="00FC103B" w:rsidRDefault="00C649C5" w:rsidP="00C649C5">
      <w:r w:rsidRPr="00A079D2">
        <w:t xml:space="preserve">The very notion of a “community right” </w:t>
      </w:r>
      <w:r w:rsidRPr="00FC103B">
        <w:t>naturally arouses</w:t>
      </w:r>
      <w:r w:rsidRPr="00A079D2">
        <w:t xml:space="preserve"> skepticism</w:t>
      </w:r>
      <w:r w:rsidRPr="00FC103B">
        <w:t>. Yet the</w:t>
      </w:r>
      <w:r w:rsidRPr="00A079D2">
        <w:t xml:space="preserve"> communal interest </w:t>
      </w:r>
      <w:r w:rsidRPr="00FC103B">
        <w:t>described</w:t>
      </w:r>
      <w:r>
        <w:t xml:space="preserve"> here </w:t>
      </w:r>
      <w:r w:rsidRPr="00FC103B">
        <w:t>derives</w:t>
      </w:r>
      <w:r w:rsidRPr="00A079D2">
        <w:t xml:space="preserve"> from the members’ own interest in the secure and continuous existence of their community, </w:t>
      </w:r>
      <w:r w:rsidRPr="00FC103B">
        <w:t>which in turn</w:t>
      </w:r>
      <w:r w:rsidRPr="00A079D2">
        <w:t xml:space="preserve"> enhances their lives.</w:t>
      </w:r>
      <w:r>
        <w:rPr>
          <w:rStyle w:val="FootnoteReference"/>
        </w:rPr>
        <w:footnoteReference w:id="33"/>
      </w:r>
      <w:r w:rsidRPr="00A079D2">
        <w:t xml:space="preserve"> </w:t>
      </w:r>
      <w:r w:rsidRPr="00FC103B">
        <w:t xml:space="preserve"> The</w:t>
      </w:r>
      <w:r>
        <w:t xml:space="preserve"> </w:t>
      </w:r>
      <w:r w:rsidRPr="00A079D2">
        <w:t xml:space="preserve">communal interest is </w:t>
      </w:r>
      <w:r w:rsidRPr="00FC103B">
        <w:t>therefore not alien to</w:t>
      </w:r>
      <w:r w:rsidRPr="00A079D2">
        <w:t xml:space="preserve"> individual </w:t>
      </w:r>
      <w:r w:rsidRPr="00FC103B">
        <w:t>welfare but an extension of it.</w:t>
      </w:r>
      <w:r>
        <w:t xml:space="preserve"> In </w:t>
      </w:r>
      <w:r w:rsidRPr="00FC103B">
        <w:t>this context,</w:t>
      </w:r>
      <w:r>
        <w:t xml:space="preserve"> it is the community’s </w:t>
      </w:r>
      <w:r w:rsidRPr="00FC103B">
        <w:t xml:space="preserve">shared </w:t>
      </w:r>
      <w:r>
        <w:t xml:space="preserve">interest in a </w:t>
      </w:r>
      <w:r w:rsidRPr="00FC103B">
        <w:t>functioning</w:t>
      </w:r>
      <w:r>
        <w:t xml:space="preserve"> democracy</w:t>
      </w:r>
      <w:r w:rsidRPr="00FC103B">
        <w:t xml:space="preserve"> that underlies the claim.</w:t>
      </w:r>
    </w:p>
    <w:p w14:paraId="684CB766" w14:textId="77777777" w:rsidR="00C649C5" w:rsidRPr="00A079D2" w:rsidRDefault="00C649C5" w:rsidP="00C649C5">
      <w:pPr>
        <w:ind w:firstLine="720"/>
      </w:pPr>
      <w:r>
        <w:t xml:space="preserve">Raz himself </w:t>
      </w:r>
      <w:r w:rsidRPr="00FC103B">
        <w:t>recognized the legitimacy of group</w:t>
      </w:r>
      <w:r>
        <w:t xml:space="preserve"> rights </w:t>
      </w:r>
      <w:r w:rsidRPr="00FC103B">
        <w:t>when they serve</w:t>
      </w:r>
      <w:r>
        <w:t xml:space="preserve"> the interests </w:t>
      </w:r>
      <w:r w:rsidRPr="00204C9C">
        <w:rPr>
          <w:rFonts w:eastAsia="Times New Roman"/>
        </w:rPr>
        <w:t>of individuals as members of a group in a public good</w:t>
      </w:r>
      <w:r w:rsidRPr="00FC103B">
        <w:t>, provided that “</w:t>
      </w:r>
      <w:r w:rsidRPr="00204C9C">
        <w:rPr>
          <w:rFonts w:eastAsia="Times New Roman"/>
        </w:rPr>
        <w:t>the right is a right to that public good because it serves their interest as members of the group.</w:t>
      </w:r>
      <w:r>
        <w:rPr>
          <w:rFonts w:eastAsia="Times New Roman"/>
        </w:rPr>
        <w:t>”</w:t>
      </w:r>
      <w:r>
        <w:rPr>
          <w:rStyle w:val="FootnoteReference"/>
        </w:rPr>
        <w:footnoteReference w:id="34"/>
      </w:r>
    </w:p>
    <w:p w14:paraId="6224A277" w14:textId="77777777" w:rsidR="00C649C5" w:rsidRPr="00A079D2" w:rsidRDefault="00C649C5" w:rsidP="00C649C5">
      <w:r w:rsidRPr="00A079D2">
        <w:t xml:space="preserve">A </w:t>
      </w:r>
      <w:r w:rsidRPr="00FC103B">
        <w:t>communal</w:t>
      </w:r>
      <w:r w:rsidRPr="00A079D2">
        <w:t xml:space="preserve"> right</w:t>
      </w:r>
      <w:r w:rsidRPr="00FC103B">
        <w:t>, then, is not merely the sum of individual</w:t>
      </w:r>
      <w:r w:rsidRPr="00A079D2">
        <w:t xml:space="preserve"> interests, as Bentham </w:t>
      </w:r>
      <w:r w:rsidRPr="00FC103B">
        <w:t>believed.</w:t>
      </w:r>
      <w:r>
        <w:rPr>
          <w:rStyle w:val="FootnoteReference"/>
        </w:rPr>
        <w:footnoteReference w:id="35"/>
      </w:r>
      <w:r w:rsidRPr="00FC103B">
        <w:t xml:space="preserve"> It cannot be reduced to </w:t>
      </w:r>
      <w:r w:rsidRPr="00512F95">
        <w:t xml:space="preserve">the aggregate of </w:t>
      </w:r>
      <w:r w:rsidRPr="00FC103B">
        <w:t>private claims. It arises from cooperative life within a</w:t>
      </w:r>
      <w:r>
        <w:t xml:space="preserve"> group</w:t>
      </w:r>
      <w:r w:rsidRPr="00FC103B">
        <w:t xml:space="preserve"> and from the </w:t>
      </w:r>
      <w:proofErr w:type="gramStart"/>
      <w:r w:rsidRPr="00FC103B">
        <w:t>members’</w:t>
      </w:r>
      <w:proofErr w:type="gramEnd"/>
      <w:r w:rsidRPr="00FC103B">
        <w:t xml:space="preserve"> shared interest</w:t>
      </w:r>
      <w:r w:rsidRPr="00A079D2">
        <w:t xml:space="preserve"> in the </w:t>
      </w:r>
      <w:r w:rsidRPr="00FC103B">
        <w:t>group’s flourishing.</w:t>
      </w:r>
      <w:r w:rsidRPr="00FC103B">
        <w:br/>
      </w:r>
      <w:r w:rsidRPr="00FC103B">
        <w:lastRenderedPageBreak/>
        <w:t xml:space="preserve">The </w:t>
      </w:r>
      <w:r w:rsidRPr="00A079D2">
        <w:t>right of peoples to self-determination</w:t>
      </w:r>
      <w:r w:rsidRPr="00FC103B">
        <w:t xml:space="preserve"> illustrates this point</w:t>
      </w:r>
      <w:r w:rsidRPr="00A079D2">
        <w:t xml:space="preserve">: no individual can </w:t>
      </w:r>
      <w:r w:rsidRPr="00FC103B">
        <w:t>claim</w:t>
      </w:r>
      <w:r w:rsidRPr="00A079D2">
        <w:t xml:space="preserve"> it alone, </w:t>
      </w:r>
      <w:r w:rsidRPr="00FC103B">
        <w:t>though</w:t>
      </w:r>
      <w:r w:rsidRPr="00A079D2">
        <w:t xml:space="preserve"> the people </w:t>
      </w:r>
      <w:r w:rsidRPr="00FC103B">
        <w:t>collectively can.</w:t>
      </w:r>
      <w:r w:rsidRPr="00A079D2">
        <w:t xml:space="preserve"> An </w:t>
      </w:r>
      <w:r w:rsidRPr="00FC103B">
        <w:t>individual may have a genuine</w:t>
      </w:r>
      <w:r w:rsidRPr="00A079D2">
        <w:t xml:space="preserve"> interest in national independence, but </w:t>
      </w:r>
      <w:r w:rsidRPr="00FC103B">
        <w:t xml:space="preserve">that interest is </w:t>
      </w:r>
      <w:r w:rsidRPr="00A079D2">
        <w:t>insufficient</w:t>
      </w:r>
      <w:r w:rsidRPr="00FC103B">
        <w:t>,</w:t>
      </w:r>
      <w:r w:rsidRPr="00A079D2">
        <w:t xml:space="preserve"> on its own</w:t>
      </w:r>
      <w:r w:rsidRPr="00FC103B">
        <w:t>,</w:t>
      </w:r>
      <w:r w:rsidRPr="00A079D2">
        <w:t xml:space="preserve"> to impose </w:t>
      </w:r>
      <w:r w:rsidRPr="00FC103B">
        <w:t xml:space="preserve">corresponding </w:t>
      </w:r>
      <w:r w:rsidRPr="00A079D2">
        <w:t xml:space="preserve">duties on others. Only when the collective </w:t>
      </w:r>
      <w:r w:rsidRPr="00FC103B">
        <w:t>acts</w:t>
      </w:r>
      <w:r w:rsidRPr="00A079D2">
        <w:t xml:space="preserve"> as </w:t>
      </w:r>
      <w:r w:rsidRPr="00FC103B">
        <w:t>more</w:t>
      </w:r>
      <w:r w:rsidRPr="00A079D2">
        <w:t xml:space="preserve"> than the sum of its parts does </w:t>
      </w:r>
      <w:r w:rsidRPr="00FC103B">
        <w:t>the claim acquire moral force</w:t>
      </w:r>
      <w:r>
        <w:t xml:space="preserve"> and </w:t>
      </w:r>
      <w:r w:rsidRPr="00FC103B">
        <w:t>take</w:t>
      </w:r>
      <w:r>
        <w:t xml:space="preserve"> the </w:t>
      </w:r>
      <w:r w:rsidRPr="00FC103B">
        <w:t>shape</w:t>
      </w:r>
      <w:r>
        <w:t xml:space="preserve"> of a </w:t>
      </w:r>
      <w:r w:rsidRPr="00A079D2">
        <w:t>right.</w:t>
      </w:r>
      <w:r>
        <w:rPr>
          <w:rStyle w:val="FootnoteReference"/>
        </w:rPr>
        <w:footnoteReference w:id="36"/>
      </w:r>
    </w:p>
    <w:p w14:paraId="32799AFA" w14:textId="77777777" w:rsidR="00C649C5" w:rsidRDefault="00C649C5" w:rsidP="00C649C5">
      <w:r w:rsidRPr="00A079D2">
        <w:t xml:space="preserve">If individuals have an interest in the vitality of their community, they necessarily have an interest in </w:t>
      </w:r>
      <w:r w:rsidRPr="00FC103B">
        <w:t xml:space="preserve">the proper functioning of the </w:t>
      </w:r>
      <w:r w:rsidRPr="00A079D2">
        <w:t>press</w:t>
      </w:r>
      <w:r w:rsidRPr="00FC103B">
        <w:t xml:space="preserve"> within it. Journalism is constitutive of community life. The continuous circulation of information among institutions, officials, and citizens sustains the very existence of a political community. A population deprived of communication and mutual awareness ceases to be a community in any meaningful sense.</w:t>
      </w:r>
      <w:r w:rsidRPr="00FC103B">
        <w:br/>
        <w:t xml:space="preserve">The community right asserted here is therefore not a right to </w:t>
      </w:r>
      <w:r w:rsidRPr="00FC103B">
        <w:rPr>
          <w:i/>
          <w:iCs/>
        </w:rPr>
        <w:t>any</w:t>
      </w:r>
      <w:r w:rsidRPr="00FC103B">
        <w:t xml:space="preserve"> press, but </w:t>
      </w:r>
      <w:r w:rsidRPr="00A079D2">
        <w:t xml:space="preserve">to a </w:t>
      </w:r>
      <w:r w:rsidRPr="00C626F6">
        <w:rPr>
          <w:i/>
        </w:rPr>
        <w:t>free</w:t>
      </w:r>
      <w:r w:rsidRPr="00A079D2">
        <w:t xml:space="preserve"> one. </w:t>
      </w:r>
      <w:r w:rsidRPr="00FC103B">
        <w:t xml:space="preserve">According to </w:t>
      </w:r>
      <w:r>
        <w:t xml:space="preserve">Raz’s </w:t>
      </w:r>
      <w:r w:rsidRPr="00FC103B">
        <w:t xml:space="preserve">test, </w:t>
      </w:r>
      <w:r>
        <w:t xml:space="preserve">it </w:t>
      </w:r>
      <w:r w:rsidRPr="00FC103B">
        <w:t xml:space="preserve">is only a free press that </w:t>
      </w:r>
      <w:r>
        <w:t xml:space="preserve">serves </w:t>
      </w:r>
      <w:r w:rsidRPr="00FC103B">
        <w:t>the</w:t>
      </w:r>
      <w:r>
        <w:t xml:space="preserve"> interests </w:t>
      </w:r>
      <w:r w:rsidRPr="00FC103B">
        <w:t xml:space="preserve">of individuals </w:t>
      </w:r>
      <w:r>
        <w:t>as members of the group</w:t>
      </w:r>
      <w:r w:rsidRPr="00FC103B">
        <w:t>. A</w:t>
      </w:r>
      <w:r>
        <w:t xml:space="preserve"> press </w:t>
      </w:r>
      <w:r w:rsidRPr="00FC103B">
        <w:t>controlled by government or subordinated</w:t>
      </w:r>
      <w:r>
        <w:t xml:space="preserve"> to </w:t>
      </w:r>
      <w:r w:rsidRPr="00FC103B">
        <w:t xml:space="preserve">private powers does not </w:t>
      </w:r>
      <w:r>
        <w:t>serve those interests</w:t>
      </w:r>
      <w:r w:rsidRPr="00FC103B">
        <w:t>.</w:t>
      </w:r>
      <w:r>
        <w:br/>
        <w:t xml:space="preserve">A </w:t>
      </w:r>
      <w:r w:rsidRPr="00A84B2D">
        <w:t xml:space="preserve">free press </w:t>
      </w:r>
      <w:r w:rsidRPr="00FC103B">
        <w:t>nourishes</w:t>
      </w:r>
      <w:r>
        <w:t xml:space="preserve"> democratic communities </w:t>
      </w:r>
      <w:r w:rsidRPr="00FC103B">
        <w:t xml:space="preserve">by enabling an open </w:t>
      </w:r>
      <w:r w:rsidRPr="00A84B2D">
        <w:t xml:space="preserve">flow of information between </w:t>
      </w:r>
      <w:r w:rsidRPr="00FC103B">
        <w:t>citizens and their governing institutions.</w:t>
      </w:r>
      <w:r w:rsidRPr="00A079D2">
        <w:t xml:space="preserve"> It fosters </w:t>
      </w:r>
      <w:r w:rsidRPr="00FC103B">
        <w:t>transparency, broadens</w:t>
      </w:r>
      <w:r w:rsidRPr="00A079D2">
        <w:t xml:space="preserve"> horizons, and strengthens </w:t>
      </w:r>
      <w:r w:rsidRPr="00FC103B">
        <w:t xml:space="preserve">civic </w:t>
      </w:r>
      <w:r w:rsidRPr="00A079D2">
        <w:t>dialogue and self-critique.</w:t>
      </w:r>
      <w:r>
        <w:t xml:space="preserve"> </w:t>
      </w:r>
      <w:r w:rsidRPr="00FC103B">
        <w:t>Such a community, characterized by openness and public deliberation, expands</w:t>
      </w:r>
      <w:r w:rsidRPr="00A84B2D">
        <w:t xml:space="preserve"> the range of possibilities for </w:t>
      </w:r>
      <w:r w:rsidRPr="00FC103B">
        <w:t>its members</w:t>
      </w:r>
      <w:r w:rsidRPr="00A84B2D">
        <w:t xml:space="preserve"> </w:t>
      </w:r>
      <w:r>
        <w:t xml:space="preserve">and </w:t>
      </w:r>
      <w:r w:rsidRPr="00FC103B">
        <w:t>contributes</w:t>
      </w:r>
      <w:r>
        <w:t xml:space="preserve"> to their </w:t>
      </w:r>
      <w:r w:rsidRPr="00FC103B">
        <w:t>individual well-being. Strengthening</w:t>
      </w:r>
      <w:r>
        <w:t xml:space="preserve"> this </w:t>
      </w:r>
      <w:r w:rsidRPr="00FC103B">
        <w:t>form</w:t>
      </w:r>
      <w:r>
        <w:t xml:space="preserve"> of community can </w:t>
      </w:r>
      <w:r w:rsidRPr="00FC103B">
        <w:t>therefore serve as</w:t>
      </w:r>
      <w:r>
        <w:t xml:space="preserve"> the foundation </w:t>
      </w:r>
      <w:r w:rsidRPr="00FC103B">
        <w:t>of</w:t>
      </w:r>
      <w:r>
        <w:t xml:space="preserve"> a public right.</w:t>
      </w:r>
      <w:r>
        <w:rPr>
          <w:rStyle w:val="FootnoteReference"/>
        </w:rPr>
        <w:footnoteReference w:id="37"/>
      </w:r>
      <w:r>
        <w:t xml:space="preserve"> </w:t>
      </w:r>
    </w:p>
    <w:p w14:paraId="7E3B4A4C" w14:textId="77777777" w:rsidR="00C649C5" w:rsidRPr="00A079D2" w:rsidRDefault="00C649C5" w:rsidP="00C649C5">
      <w:r w:rsidRPr="00FC103B">
        <w:t>Still, classical theories of</w:t>
      </w:r>
      <w:r w:rsidRPr="00A079D2">
        <w:t xml:space="preserve"> rights </w:t>
      </w:r>
      <w:r w:rsidRPr="00FC103B">
        <w:t xml:space="preserve">justify them primarily as shields for </w:t>
      </w:r>
      <w:r w:rsidRPr="00A079D2">
        <w:t xml:space="preserve">the weak </w:t>
      </w:r>
      <w:r w:rsidRPr="00FC103B">
        <w:t>against</w:t>
      </w:r>
      <w:r w:rsidRPr="00A079D2">
        <w:t xml:space="preserve"> the strong. At first glance, the </w:t>
      </w:r>
      <w:r w:rsidRPr="00FC103B">
        <w:t>“</w:t>
      </w:r>
      <w:r w:rsidRPr="00A079D2">
        <w:t xml:space="preserve">public” seems not to </w:t>
      </w:r>
      <w:r w:rsidRPr="00FC103B">
        <w:t>need</w:t>
      </w:r>
      <w:r w:rsidRPr="00A079D2">
        <w:t xml:space="preserve"> such protection</w:t>
      </w:r>
      <w:r w:rsidRPr="00FC103B">
        <w:t>: as</w:t>
      </w:r>
      <w:r w:rsidRPr="00A079D2">
        <w:t xml:space="preserve"> the collective of all </w:t>
      </w:r>
      <w:r w:rsidRPr="00FC103B">
        <w:t>citizens</w:t>
      </w:r>
      <w:r w:rsidRPr="00A079D2">
        <w:t>, it appears to be the source of power</w:t>
      </w:r>
      <w:r w:rsidRPr="00FC103B">
        <w:t xml:space="preserve"> rather than</w:t>
      </w:r>
      <w:r w:rsidRPr="00A079D2">
        <w:t xml:space="preserve"> its object. Yet in practice the public</w:t>
      </w:r>
      <w:r w:rsidRPr="00FC103B">
        <w:t>—disorganized</w:t>
      </w:r>
      <w:r w:rsidRPr="00A079D2">
        <w:t>, fragmented, and often uninformed</w:t>
      </w:r>
      <w:r w:rsidRPr="00FC103B">
        <w:t>—</w:t>
      </w:r>
      <w:r w:rsidRPr="00A079D2">
        <w:t xml:space="preserve">can be dominated by </w:t>
      </w:r>
      <w:r w:rsidRPr="00FC103B">
        <w:t xml:space="preserve">concentrated political or economic </w:t>
      </w:r>
      <w:r w:rsidRPr="00A079D2">
        <w:t>forces</w:t>
      </w:r>
      <w:r w:rsidRPr="00FC103B">
        <w:t>.</w:t>
      </w:r>
      <w:r w:rsidRPr="00FC103B">
        <w:br/>
        <w:t>Even if</w:t>
      </w:r>
      <w:r w:rsidRPr="00A079D2">
        <w:t xml:space="preserve"> society </w:t>
      </w:r>
      <w:proofErr w:type="gramStart"/>
      <w:r w:rsidRPr="00A079D2">
        <w:t xml:space="preserve">as a whole </w:t>
      </w:r>
      <w:r w:rsidRPr="00FC103B">
        <w:t>is</w:t>
      </w:r>
      <w:proofErr w:type="gramEnd"/>
      <w:r w:rsidRPr="00A079D2">
        <w:t xml:space="preserve"> less </w:t>
      </w:r>
      <w:r w:rsidRPr="00FC103B">
        <w:t>vulnerable</w:t>
      </w:r>
      <w:r w:rsidRPr="00A079D2">
        <w:t xml:space="preserve"> than individuals</w:t>
      </w:r>
      <w:r w:rsidRPr="00FC103B">
        <w:t xml:space="preserve"> or minorities</w:t>
      </w:r>
      <w:r w:rsidRPr="00A079D2">
        <w:t xml:space="preserve">, it </w:t>
      </w:r>
      <w:r w:rsidRPr="00FC103B">
        <w:t>remains structurally exposed</w:t>
      </w:r>
      <w:r w:rsidRPr="00A079D2">
        <w:t xml:space="preserve"> to manipulation by governments, bureaucracies, and corporations. </w:t>
      </w:r>
      <w:r w:rsidRPr="00FC103B">
        <w:t>In contemporary societies, the</w:t>
      </w:r>
      <w:r w:rsidRPr="00A079D2">
        <w:t xml:space="preserve"> latter often </w:t>
      </w:r>
      <w:r w:rsidRPr="00FC103B">
        <w:t>wield power comparable to or greater than</w:t>
      </w:r>
      <w:r w:rsidRPr="00A079D2">
        <w:t xml:space="preserve"> that </w:t>
      </w:r>
      <w:r w:rsidRPr="00FC103B">
        <w:t>of the</w:t>
      </w:r>
      <w:r w:rsidRPr="00A079D2">
        <w:t xml:space="preserve"> state</w:t>
      </w:r>
      <w:r w:rsidRPr="00FC103B">
        <w:t>, exploiting</w:t>
      </w:r>
      <w:r w:rsidRPr="00A079D2">
        <w:t xml:space="preserve"> communication</w:t>
      </w:r>
      <w:r w:rsidRPr="00FC103B">
        <w:t xml:space="preserve"> channels for profit</w:t>
      </w:r>
      <w:r w:rsidRPr="00A079D2">
        <w:t xml:space="preserve"> and influence</w:t>
      </w:r>
      <w:r w:rsidRPr="00FC103B">
        <w:t xml:space="preserve">. Such powers distort </w:t>
      </w:r>
      <w:r w:rsidRPr="00A079D2">
        <w:t>public discourse through control of media</w:t>
      </w:r>
      <w:r w:rsidRPr="00FC103B">
        <w:t xml:space="preserve"> ownership and content.</w:t>
      </w:r>
      <w:r w:rsidRPr="00A079D2">
        <w:t xml:space="preserve"> Civil society</w:t>
      </w:r>
      <w:r w:rsidRPr="00FC103B">
        <w:t xml:space="preserve"> alone</w:t>
      </w:r>
      <w:r w:rsidRPr="00A079D2">
        <w:t xml:space="preserve"> cannot </w:t>
      </w:r>
      <w:r w:rsidRPr="00FC103B">
        <w:t>always</w:t>
      </w:r>
      <w:r w:rsidRPr="00A079D2">
        <w:t xml:space="preserve"> resist these </w:t>
      </w:r>
      <w:r w:rsidRPr="00FC103B">
        <w:t>pressures</w:t>
      </w:r>
      <w:r w:rsidRPr="00A079D2">
        <w:t>.</w:t>
      </w:r>
    </w:p>
    <w:p w14:paraId="439E51E0" w14:textId="77777777" w:rsidR="00C649C5" w:rsidRDefault="00C649C5" w:rsidP="00C649C5">
      <w:r>
        <w:t>T</w:t>
      </w:r>
      <w:r w:rsidRPr="00A079D2">
        <w:t xml:space="preserve">he public therefore requires protection to </w:t>
      </w:r>
      <w:r w:rsidRPr="00FC103B">
        <w:t>maintain its capacity for open, self-sustaining communication</w:t>
      </w:r>
      <w:r w:rsidRPr="00A079D2">
        <w:t>.</w:t>
      </w:r>
      <w:r>
        <w:t xml:space="preserve"> </w:t>
      </w:r>
      <w:r w:rsidRPr="00A079D2">
        <w:t>Recogni</w:t>
      </w:r>
      <w:r>
        <w:t>zing</w:t>
      </w:r>
      <w:r w:rsidRPr="00A079D2">
        <w:t xml:space="preserve"> a </w:t>
      </w:r>
      <w:r w:rsidRPr="006478DA">
        <w:rPr>
          <w:i/>
        </w:rPr>
        <w:t>public right</w:t>
      </w:r>
      <w:r w:rsidRPr="00A079D2">
        <w:t xml:space="preserve"> </w:t>
      </w:r>
      <w:r w:rsidRPr="00FC103B">
        <w:t>to a free press aligns</w:t>
      </w:r>
      <w:r w:rsidRPr="00A079D2">
        <w:t xml:space="preserve"> with the foundational rationale of rights themselves. </w:t>
      </w:r>
      <w:r w:rsidRPr="00FC103B">
        <w:t xml:space="preserve">It </w:t>
      </w:r>
      <w:r w:rsidRPr="00A079D2">
        <w:t xml:space="preserve">protects individuals as members of a democratic community and shields essential communal interests from </w:t>
      </w:r>
      <w:r w:rsidRPr="00FC103B">
        <w:t>forces they</w:t>
      </w:r>
      <w:r w:rsidRPr="00A079D2">
        <w:t xml:space="preserve"> </w:t>
      </w:r>
      <w:r w:rsidRPr="00A079D2">
        <w:lastRenderedPageBreak/>
        <w:t xml:space="preserve">cannot </w:t>
      </w:r>
      <w:r w:rsidRPr="00FC103B">
        <w:t>counter</w:t>
      </w:r>
      <w:r w:rsidRPr="00A079D2">
        <w:t xml:space="preserve"> alone. Whether </w:t>
      </w:r>
      <w:r w:rsidRPr="00FC103B">
        <w:t>conceived</w:t>
      </w:r>
      <w:r w:rsidRPr="00A079D2">
        <w:t xml:space="preserve"> as the realization of the </w:t>
      </w:r>
      <w:r w:rsidRPr="00FC103B">
        <w:t>public’s “</w:t>
      </w:r>
      <w:r w:rsidRPr="00A079D2">
        <w:t>right to know</w:t>
      </w:r>
      <w:r w:rsidRPr="00FC103B">
        <w:t>”</w:t>
      </w:r>
      <w:r w:rsidRPr="00A079D2">
        <w:t xml:space="preserve"> or as that right’s substantive expression, freedom of the press </w:t>
      </w:r>
      <w:r w:rsidRPr="00FC103B">
        <w:t>should be understood</w:t>
      </w:r>
      <w:r w:rsidRPr="00A079D2">
        <w:t xml:space="preserve"> as a central </w:t>
      </w:r>
      <w:r w:rsidRPr="006478DA">
        <w:rPr>
          <w:i/>
        </w:rPr>
        <w:t>community right</w:t>
      </w:r>
      <w:r w:rsidRPr="00A079D2">
        <w:t xml:space="preserve">—one that sustains </w:t>
      </w:r>
      <w:r w:rsidRPr="00FC103B">
        <w:t>democratic life</w:t>
      </w:r>
      <w:r w:rsidRPr="00A079D2">
        <w:t xml:space="preserve"> and defines its moral </w:t>
      </w:r>
      <w:r w:rsidRPr="00FC103B">
        <w:t>character</w:t>
      </w:r>
      <w:r w:rsidRPr="00A079D2">
        <w:t>.</w:t>
      </w:r>
    </w:p>
    <w:p w14:paraId="2BB7D96A" w14:textId="77777777" w:rsidR="00C649C5" w:rsidRPr="00A079D2" w:rsidRDefault="00C649C5" w:rsidP="00C649C5">
      <w:pPr>
        <w:rPr>
          <w:rtl/>
        </w:rPr>
      </w:pPr>
      <w:r w:rsidRPr="00FC103B">
        <w:t>Having established that</w:t>
      </w:r>
      <w:r>
        <w:t xml:space="preserve"> the public’s </w:t>
      </w:r>
      <w:r w:rsidRPr="00FC103B">
        <w:t>well-being grounds the right to</w:t>
      </w:r>
      <w:r>
        <w:t xml:space="preserve"> freedom of the press, and that the public can indeed </w:t>
      </w:r>
      <w:r w:rsidRPr="00FC103B">
        <w:t xml:space="preserve">hold such a right, </w:t>
      </w:r>
      <w:r>
        <w:t xml:space="preserve">the </w:t>
      </w:r>
      <w:r w:rsidRPr="00FC103B">
        <w:t>next</w:t>
      </w:r>
      <w:r>
        <w:t xml:space="preserve"> questions </w:t>
      </w:r>
      <w:r w:rsidRPr="00FC103B">
        <w:t xml:space="preserve">arise: </w:t>
      </w:r>
      <w:r>
        <w:t xml:space="preserve">who are the “others” bound </w:t>
      </w:r>
      <w:r w:rsidRPr="00FC103B">
        <w:t xml:space="preserve">by duties corresponding to this right, and </w:t>
      </w:r>
      <w:r>
        <w:t xml:space="preserve">what </w:t>
      </w:r>
      <w:r w:rsidRPr="00FC103B">
        <w:t xml:space="preserve">precisely </w:t>
      </w:r>
      <w:r>
        <w:t>are those duties?</w:t>
      </w:r>
    </w:p>
    <w:p w14:paraId="471C8595" w14:textId="77777777" w:rsidR="00C649C5" w:rsidRPr="00FC103B" w:rsidRDefault="00C649C5" w:rsidP="00C649C5">
      <w:pPr>
        <w:rPr>
          <w:b/>
          <w:bCs/>
        </w:rPr>
      </w:pPr>
      <w:r w:rsidRPr="006478DA">
        <w:rPr>
          <w:b/>
        </w:rPr>
        <w:t xml:space="preserve">Duties of the </w:t>
      </w:r>
      <w:r w:rsidRPr="00FC103B">
        <w:rPr>
          <w:b/>
          <w:bCs/>
        </w:rPr>
        <w:t>Press: Whose Obligation?</w:t>
      </w:r>
    </w:p>
    <w:p w14:paraId="2C3D894F" w14:textId="77777777" w:rsidR="00C649C5" w:rsidRPr="006478DA" w:rsidRDefault="00C649C5" w:rsidP="00C649C5">
      <w:r w:rsidRPr="00FC103B">
        <w:t xml:space="preserve">If freedom of the </w:t>
      </w:r>
      <w:r w:rsidRPr="006478DA">
        <w:t>press</w:t>
      </w:r>
      <w:r w:rsidRPr="00FC103B">
        <w:t xml:space="preserve"> is a public right, who bears the correlative duty to secure it? The most obvious candidate is the state, which traditionally carries the obligation to protect and implement rights. Many governments provide some public media services—such as the BBC in the United Kingdom or PBS in the United States—through independent or semi-independent public broadcasting bodies. Yet a society in which only the state provides journalism cannot be said to enjoy </w:t>
      </w:r>
      <w:r w:rsidRPr="00FC103B">
        <w:rPr>
          <w:i/>
          <w:iCs/>
        </w:rPr>
        <w:t>freedom</w:t>
      </w:r>
      <w:r w:rsidRPr="00FC103B">
        <w:t xml:space="preserve"> of the press. Press freedom requires a diverse ecosystem of private and independent news organizations. But if the right belongs to the public, those private actors must also shoulder certain duties.</w:t>
      </w:r>
    </w:p>
    <w:p w14:paraId="4FC96FEB" w14:textId="77777777" w:rsidR="00C649C5" w:rsidRPr="00FC103B" w:rsidRDefault="00C649C5" w:rsidP="00C649C5">
      <w:r w:rsidRPr="00FC103B">
        <w:t xml:space="preserve">Under the classical libertarian conception, freedom of the press imposes only a negative duty on the </w:t>
      </w:r>
      <w:proofErr w:type="gramStart"/>
      <w:r w:rsidRPr="00FC103B">
        <w:t>state—a</w:t>
      </w:r>
      <w:proofErr w:type="gramEnd"/>
      <w:r w:rsidRPr="00FC103B">
        <w:t xml:space="preserve"> duty of non-interference. But if the public has a right to receive news and information, mere governmental abstention is inadequate. A hands-off approach cannot guarantee that information reaching the public is “adequate and uncontaminated.” Market pressures, ideological loyalties, and commercial interests can easily distort it.</w:t>
      </w:r>
      <w:r w:rsidRPr="00FC103B">
        <w:br/>
        <w:t>Hence, the recognition of a public right implies at least some positive duties on those engaged in journalism, especially large commercial media outlets that dominate public discourse.</w:t>
      </w:r>
    </w:p>
    <w:p w14:paraId="7DD76A80" w14:textId="77777777" w:rsidR="00C649C5" w:rsidRPr="00FC103B" w:rsidRDefault="00C649C5" w:rsidP="00C649C5">
      <w:r w:rsidRPr="00FC103B">
        <w:t xml:space="preserve">Can such duties be imposed on private entities? Many professional and commercial actors are already subject to obligations designed to protect public interests. Food manufacturers must meet public-health standards; physicians, lawyers, and therapists are bound by legally enforceable ethical codes. The distinctive challenge with journalism is to impose duties without undermining the press’s necessary independence from government. Independence, however, does not mean exemption from responsibility. Media outlets can and should be held accountable to the public whose </w:t>
      </w:r>
      <w:proofErr w:type="gramStart"/>
      <w:r w:rsidRPr="00FC103B">
        <w:t>right</w:t>
      </w:r>
      <w:proofErr w:type="gramEnd"/>
      <w:r w:rsidRPr="00FC103B">
        <w:t xml:space="preserve"> they serve, and the state may play a legitimate role in ensuring such accountability through appropriate frameworks of oversight.</w:t>
      </w:r>
    </w:p>
    <w:p w14:paraId="4C1DB26D" w14:textId="77777777" w:rsidR="00C649C5" w:rsidRPr="00FC103B" w:rsidRDefault="00C649C5" w:rsidP="00C649C5">
      <w:r w:rsidRPr="00FC103B">
        <w:t xml:space="preserve">The idea that private corporations performing public functions bear duties to respect human rights is not novel. Historically, only governments were viewed as threats to individual rights. Over time, as private corporations grew powerful enough to shape the </w:t>
      </w:r>
      <w:r w:rsidRPr="00FC103B">
        <w:lastRenderedPageBreak/>
        <w:t xml:space="preserve">public sphere, they too became capable of infringing fundamental rights. Aharon Barak, among others, has argued that when corporations exercise public functions or wield comparable influence, they </w:t>
      </w:r>
      <w:r>
        <w:t>can</w:t>
      </w:r>
      <w:r w:rsidRPr="00FC103B">
        <w:t xml:space="preserve"> be obligated to respect human rights.</w:t>
      </w:r>
      <w:r w:rsidRPr="00E80BE9">
        <w:rPr>
          <w:rStyle w:val="FootnoteReference"/>
          <w:rFonts w:asciiTheme="majorBidi" w:hAnsiTheme="majorBidi" w:cstheme="majorBidi"/>
        </w:rPr>
        <w:footnoteReference w:id="38"/>
      </w:r>
    </w:p>
    <w:p w14:paraId="2A52D83D" w14:textId="77777777" w:rsidR="00C649C5" w:rsidRPr="00FC103B" w:rsidRDefault="00C649C5" w:rsidP="00C649C5">
      <w:r w:rsidRPr="00FC103B">
        <w:t xml:space="preserve">The prevailing libertarian approach, which treats freedom of the press solely as a shield against government regulation, can therefore not only fail to protect the public’s right to know but actively harm it. Consider the </w:t>
      </w:r>
      <w:r w:rsidRPr="00FC103B">
        <w:rPr>
          <w:i/>
          <w:iCs/>
        </w:rPr>
        <w:t>Baidu</w:t>
      </w:r>
      <w:r w:rsidRPr="00FC103B">
        <w:t xml:space="preserve"> case (S.D.N.Y. 2014), where the court held that a search engine’s decision to suppress information about democracy was itself protected by the First Amendment.</w:t>
      </w:r>
      <w:r w:rsidRPr="00E80BE9">
        <w:rPr>
          <w:rStyle w:val="FootnoteReference"/>
          <w:rFonts w:asciiTheme="majorBidi" w:hAnsiTheme="majorBidi" w:cstheme="majorBidi"/>
        </w:rPr>
        <w:footnoteReference w:id="39"/>
      </w:r>
      <w:r w:rsidRPr="00AE604A">
        <w:rPr>
          <w:rFonts w:asciiTheme="majorBidi" w:hAnsiTheme="majorBidi" w:cstheme="majorBidi"/>
        </w:rPr>
        <w:t xml:space="preserve"> </w:t>
      </w:r>
      <w:r w:rsidRPr="00FC103B">
        <w:t xml:space="preserve"> The judge saw “no irony” in protecting Baidu’s censorship under the democratic ideal of free speech.</w:t>
      </w:r>
      <w:r w:rsidRPr="00E80BE9">
        <w:rPr>
          <w:rStyle w:val="FootnoteReference"/>
          <w:rFonts w:asciiTheme="majorBidi" w:hAnsiTheme="majorBidi" w:cstheme="majorBidi"/>
        </w:rPr>
        <w:footnoteReference w:id="40"/>
      </w:r>
      <w:r w:rsidRPr="00FC103B">
        <w:t xml:space="preserve"> Yet if freedom of the press is meant to secure the public’s “mental food” necessary for democracy, this reasoning collapses. Silencing viewpoints or concealing information from the public constitutes a breach, not a realization, of freedom of the press. The case exemplifies how a purely libertarian reading of press freedom can undermine the very public right it purports to serve.</w:t>
      </w:r>
    </w:p>
    <w:p w14:paraId="473E716E" w14:textId="77777777" w:rsidR="00C649C5" w:rsidRPr="00FC103B" w:rsidRDefault="00C649C5" w:rsidP="00C649C5">
      <w:r w:rsidRPr="00FC103B">
        <w:t xml:space="preserve">Recognizing that the traditional conception harms </w:t>
      </w:r>
      <w:proofErr w:type="gramStart"/>
      <w:r w:rsidRPr="00FC103B">
        <w:t>the public right</w:t>
      </w:r>
      <w:proofErr w:type="gramEnd"/>
      <w:r w:rsidRPr="00FC103B">
        <w:t xml:space="preserve"> is </w:t>
      </w:r>
      <w:proofErr w:type="gramStart"/>
      <w:r w:rsidRPr="00FC103B">
        <w:t>not itself</w:t>
      </w:r>
      <w:proofErr w:type="gramEnd"/>
      <w:r w:rsidRPr="00FC103B">
        <w:t xml:space="preserve"> enough to justify affirmative duties. We must show </w:t>
      </w:r>
      <w:r w:rsidRPr="00FC103B">
        <w:rPr>
          <w:i/>
          <w:iCs/>
        </w:rPr>
        <w:t>why</w:t>
      </w:r>
      <w:r w:rsidRPr="00FC103B">
        <w:t xml:space="preserve"> journalism should be treated as a public service that carries enforceable obligations. The following sections develop three overlapping justifications: (1) the public character of the press; (2) the press’s operation as a provider of “merit goods”; and (3) its use of public resources. Each </w:t>
      </w:r>
      <w:proofErr w:type="gramStart"/>
      <w:r w:rsidRPr="00FC103B">
        <w:t>points</w:t>
      </w:r>
      <w:proofErr w:type="gramEnd"/>
      <w:r w:rsidRPr="00FC103B">
        <w:t xml:space="preserve"> toward the same conclusion—that the press owes duties to the public whose rights sustain its privileges.</w:t>
      </w:r>
    </w:p>
    <w:p w14:paraId="41925790" w14:textId="77777777" w:rsidR="00C649C5" w:rsidRPr="00FC103B" w:rsidRDefault="00C649C5" w:rsidP="00C649C5"/>
    <w:p w14:paraId="2635F78C" w14:textId="77777777" w:rsidR="00C649C5" w:rsidRPr="006478DA" w:rsidRDefault="00C649C5" w:rsidP="00C649C5">
      <w:pPr>
        <w:rPr>
          <w:b/>
        </w:rPr>
      </w:pPr>
      <w:r w:rsidRPr="006478DA">
        <w:rPr>
          <w:b/>
        </w:rPr>
        <w:t>Justification Based on the Public Character of the Press</w:t>
      </w:r>
    </w:p>
    <w:p w14:paraId="7F666D3A" w14:textId="77777777" w:rsidR="00C649C5" w:rsidRPr="00FC103B" w:rsidRDefault="00C649C5" w:rsidP="00C649C5">
      <w:r w:rsidRPr="00FC103B">
        <w:t>Historically,</w:t>
      </w:r>
      <w:r w:rsidRPr="006478DA">
        <w:t xml:space="preserve"> government regulation of the private electronic media in the United States was justified </w:t>
      </w:r>
      <w:r w:rsidRPr="00FC103B">
        <w:t>on</w:t>
      </w:r>
      <w:r w:rsidRPr="006478DA">
        <w:t xml:space="preserve"> economic </w:t>
      </w:r>
      <w:r w:rsidRPr="00FC103B">
        <w:t>grounds</w:t>
      </w:r>
      <w:r w:rsidRPr="006478DA">
        <w:t xml:space="preserve">. The </w:t>
      </w:r>
      <w:r w:rsidRPr="00FC103B">
        <w:t>scarcity</w:t>
      </w:r>
      <w:r w:rsidRPr="006478DA">
        <w:t xml:space="preserve"> of </w:t>
      </w:r>
      <w:r w:rsidRPr="00FC103B">
        <w:t xml:space="preserve">broadcast </w:t>
      </w:r>
      <w:r w:rsidRPr="006478DA">
        <w:t xml:space="preserve">frequencies and the </w:t>
      </w:r>
      <w:r w:rsidRPr="00FC103B">
        <w:t>classification</w:t>
      </w:r>
      <w:r w:rsidRPr="006478DA">
        <w:t xml:space="preserve"> of the airwaves as a public resource </w:t>
      </w:r>
      <w:r w:rsidRPr="00FC103B">
        <w:t>formed</w:t>
      </w:r>
      <w:r w:rsidRPr="006478DA">
        <w:t xml:space="preserve"> the </w:t>
      </w:r>
      <w:r w:rsidRPr="00FC103B">
        <w:t xml:space="preserve">basis for </w:t>
      </w:r>
      <w:r w:rsidRPr="006478DA">
        <w:t xml:space="preserve">regulatory </w:t>
      </w:r>
      <w:r w:rsidRPr="00FC103B">
        <w:t>regimes</w:t>
      </w:r>
      <w:r w:rsidRPr="006478DA">
        <w:t xml:space="preserve"> such as the </w:t>
      </w:r>
      <w:r w:rsidRPr="00FC103B">
        <w:t>Fairness Doctrine.</w:t>
      </w:r>
      <w:r w:rsidRPr="006478DA">
        <w:t xml:space="preserve"> This </w:t>
      </w:r>
      <w:r w:rsidRPr="00FC103B">
        <w:t xml:space="preserve">rationale </w:t>
      </w:r>
      <w:r w:rsidRPr="006478DA">
        <w:t xml:space="preserve">also </w:t>
      </w:r>
      <w:r w:rsidRPr="00FC103B">
        <w:t>explained</w:t>
      </w:r>
      <w:r w:rsidRPr="006478DA">
        <w:t xml:space="preserve"> why </w:t>
      </w:r>
      <w:r w:rsidRPr="00FC103B">
        <w:t>courts distinguished</w:t>
      </w:r>
      <w:r w:rsidRPr="006478DA">
        <w:t xml:space="preserve"> between the </w:t>
      </w:r>
      <w:r w:rsidRPr="00FC103B">
        <w:t>broadcast</w:t>
      </w:r>
      <w:r w:rsidRPr="006478DA">
        <w:t xml:space="preserve"> media</w:t>
      </w:r>
      <w:r w:rsidRPr="00FC103B">
        <w:t>—</w:t>
      </w:r>
      <w:r w:rsidRPr="006478DA">
        <w:t xml:space="preserve">subject to </w:t>
      </w:r>
      <w:r w:rsidRPr="00FC103B">
        <w:t xml:space="preserve">licensing and </w:t>
      </w:r>
      <w:r w:rsidRPr="006478DA">
        <w:t>regulation</w:t>
      </w:r>
      <w:r w:rsidRPr="00FC103B">
        <w:t>—and the print press, which enjoyed greater freedom.</w:t>
      </w:r>
      <w:r w:rsidRPr="00E80BE9">
        <w:rPr>
          <w:rStyle w:val="FootnoteReference"/>
          <w:rFonts w:asciiTheme="majorBidi" w:hAnsiTheme="majorBidi" w:cstheme="majorBidi"/>
        </w:rPr>
        <w:footnoteReference w:id="41"/>
      </w:r>
    </w:p>
    <w:p w14:paraId="17795331" w14:textId="77777777" w:rsidR="00C649C5" w:rsidRPr="00FC103B" w:rsidRDefault="00C649C5" w:rsidP="00C649C5">
      <w:r w:rsidRPr="00FC103B">
        <w:t>That distinction, however, rested on fragile economic premises. Ronald Coase famously argued that if the issue were merely efficient allocation of scarce frequencies</w:t>
      </w:r>
      <w:r w:rsidRPr="006478DA">
        <w:t xml:space="preserve">, property rights in </w:t>
      </w:r>
      <w:r w:rsidRPr="00FC103B">
        <w:t xml:space="preserve">those </w:t>
      </w:r>
      <w:r w:rsidRPr="006478DA">
        <w:t xml:space="preserve">frequencies could be </w:t>
      </w:r>
      <w:r w:rsidRPr="00FC103B">
        <w:t>auctioned</w:t>
      </w:r>
      <w:r w:rsidRPr="006478DA">
        <w:t xml:space="preserve"> to the highest bidder</w:t>
      </w:r>
      <w:r w:rsidRPr="00FC103B">
        <w:t>.</w:t>
      </w:r>
      <w:r w:rsidRPr="00E80BE9">
        <w:rPr>
          <w:rStyle w:val="FootnoteReference"/>
          <w:rFonts w:asciiTheme="majorBidi" w:hAnsiTheme="majorBidi" w:cstheme="majorBidi"/>
        </w:rPr>
        <w:footnoteReference w:id="42"/>
      </w:r>
      <w:r w:rsidRPr="00FC103B">
        <w:t xml:space="preserve"> Spectrum scarcity, on its own, did not justify </w:t>
      </w:r>
      <w:r w:rsidRPr="006478DA">
        <w:t xml:space="preserve">content </w:t>
      </w:r>
      <w:r w:rsidRPr="00FC103B">
        <w:t xml:space="preserve">regulation </w:t>
      </w:r>
      <w:r w:rsidRPr="006478DA">
        <w:t xml:space="preserve">such as </w:t>
      </w:r>
      <w:r w:rsidRPr="00FC103B">
        <w:t>fairness or balance requirements.</w:t>
      </w:r>
      <w:r w:rsidRPr="00FC103B">
        <w:br/>
      </w:r>
      <w:r w:rsidRPr="00FC103B">
        <w:lastRenderedPageBreak/>
        <w:t xml:space="preserve">Technological developments have </w:t>
      </w:r>
      <w:r w:rsidRPr="006478DA">
        <w:t xml:space="preserve">further </w:t>
      </w:r>
      <w:r w:rsidRPr="00FC103B">
        <w:t>eroded the</w:t>
      </w:r>
      <w:r w:rsidRPr="006478DA">
        <w:t xml:space="preserve"> economic </w:t>
      </w:r>
      <w:r w:rsidRPr="00FC103B">
        <w:t>rationale. Cable television and, later, digital</w:t>
      </w:r>
      <w:r w:rsidRPr="006478DA">
        <w:t xml:space="preserve"> broadcasting via the internet </w:t>
      </w:r>
      <w:r w:rsidRPr="00FC103B">
        <w:t>have eliminated</w:t>
      </w:r>
      <w:r w:rsidRPr="006478DA">
        <w:t xml:space="preserve"> </w:t>
      </w:r>
      <w:proofErr w:type="gramStart"/>
      <w:r w:rsidRPr="006478DA">
        <w:t xml:space="preserve">the </w:t>
      </w:r>
      <w:r w:rsidRPr="00FC103B">
        <w:t>technical</w:t>
      </w:r>
      <w:proofErr w:type="gramEnd"/>
      <w:r w:rsidRPr="00FC103B">
        <w:t xml:space="preserve"> limitations that once justified special regulation. The </w:t>
      </w:r>
      <w:r w:rsidRPr="006478DA">
        <w:t>distinction between electronic</w:t>
      </w:r>
      <w:r w:rsidRPr="00FC103B">
        <w:t xml:space="preserve"> and print</w:t>
      </w:r>
      <w:r w:rsidRPr="006478DA">
        <w:t xml:space="preserve"> media no longer </w:t>
      </w:r>
      <w:r w:rsidRPr="00FC103B">
        <w:t>corresponds to real differences in capacity or reach.</w:t>
      </w:r>
      <w:r w:rsidRPr="00E80BE9">
        <w:rPr>
          <w:rStyle w:val="FootnoteReference"/>
          <w:rFonts w:asciiTheme="majorBidi" w:hAnsiTheme="majorBidi" w:cstheme="majorBidi"/>
        </w:rPr>
        <w:footnoteReference w:id="43"/>
      </w:r>
      <w:r w:rsidRPr="006478DA">
        <w:t xml:space="preserve"> If content regulation of journalism</w:t>
      </w:r>
      <w:r w:rsidRPr="00FC103B">
        <w:t xml:space="preserve"> can still be justified, its basis must lie not in economics but in the </w:t>
      </w:r>
      <w:r w:rsidRPr="006478DA">
        <w:t xml:space="preserve">social and moral </w:t>
      </w:r>
      <w:r w:rsidRPr="00FC103B">
        <w:t>character of the journalistic function itself. It must rest on an understanding of journalism as a public service whose quality the community has an interest in safeguarding.</w:t>
      </w:r>
    </w:p>
    <w:p w14:paraId="247941DD" w14:textId="77777777" w:rsidR="00C649C5" w:rsidRPr="006478DA" w:rsidRDefault="00C649C5" w:rsidP="00C649C5">
      <w:r w:rsidRPr="00FC103B">
        <w:t xml:space="preserve">Social and moral considerations can indeed </w:t>
      </w:r>
      <w:r w:rsidRPr="006478DA">
        <w:t xml:space="preserve">provide such </w:t>
      </w:r>
      <w:r w:rsidRPr="00FC103B">
        <w:t xml:space="preserve">justification. The press performs a public role analogous to other socially necessary </w:t>
      </w:r>
      <w:r w:rsidRPr="006478DA">
        <w:t>services</w:t>
      </w:r>
      <w:r w:rsidRPr="00FC103B">
        <w:t xml:space="preserve">. Economists have described certain goods as </w:t>
      </w:r>
      <w:r w:rsidRPr="00FC103B">
        <w:rPr>
          <w:i/>
          <w:iCs/>
        </w:rPr>
        <w:t>merit goods</w:t>
      </w:r>
      <w:r w:rsidRPr="00FC103B">
        <w:t xml:space="preserve">—services </w:t>
      </w:r>
      <w:r w:rsidRPr="006478DA">
        <w:t xml:space="preserve">that </w:t>
      </w:r>
      <w:r w:rsidRPr="00FC103B">
        <w:t>individuals and societies ought to</w:t>
      </w:r>
      <w:r w:rsidRPr="006478DA">
        <w:t xml:space="preserve"> have </w:t>
      </w:r>
      <w:r w:rsidRPr="00FC103B">
        <w:t>“</w:t>
      </w:r>
      <w:r w:rsidRPr="006478DA">
        <w:t>on the basis of some concept of benefit, rather than ability and willingness to pay</w:t>
      </w:r>
      <w:r w:rsidRPr="00FC103B">
        <w:t>.”</w:t>
      </w:r>
      <w:r w:rsidRPr="004501C4">
        <w:rPr>
          <w:rStyle w:val="FootnoteReference"/>
          <w:rFonts w:asciiTheme="majorBidi" w:hAnsiTheme="majorBidi" w:cstheme="majorBidi"/>
        </w:rPr>
        <w:t xml:space="preserve"> </w:t>
      </w:r>
      <w:r w:rsidRPr="00E80BE9">
        <w:rPr>
          <w:rStyle w:val="FootnoteReference"/>
          <w:rFonts w:asciiTheme="majorBidi" w:hAnsiTheme="majorBidi" w:cstheme="majorBidi"/>
        </w:rPr>
        <w:footnoteReference w:id="44"/>
      </w:r>
      <w:r w:rsidRPr="00AE604A">
        <w:rPr>
          <w:rFonts w:asciiTheme="majorBidi" w:hAnsiTheme="majorBidi" w:cstheme="majorBidi"/>
        </w:rPr>
        <w:t xml:space="preserve"> </w:t>
      </w:r>
      <w:r w:rsidRPr="00FC103B">
        <w:t xml:space="preserve"> Richard Musgrave coined the term to describe </w:t>
      </w:r>
      <w:r w:rsidRPr="006478DA">
        <w:t xml:space="preserve">goods that </w:t>
      </w:r>
      <w:r w:rsidRPr="00FC103B">
        <w:t>markets underproduce</w:t>
      </w:r>
      <w:r w:rsidRPr="006478DA">
        <w:t xml:space="preserve"> because their </w:t>
      </w:r>
      <w:r w:rsidRPr="00FC103B">
        <w:t xml:space="preserve">private and public </w:t>
      </w:r>
      <w:r w:rsidRPr="006478DA">
        <w:t xml:space="preserve">benefits </w:t>
      </w:r>
      <w:r w:rsidRPr="00FC103B">
        <w:t>diverge. Education and public health are classic examples.</w:t>
      </w:r>
      <w:r w:rsidRPr="006478DA">
        <w:t xml:space="preserve"> The justification for state </w:t>
      </w:r>
      <w:r w:rsidRPr="00FC103B">
        <w:t>involvement</w:t>
      </w:r>
      <w:r w:rsidRPr="006478DA">
        <w:t xml:space="preserve"> in </w:t>
      </w:r>
      <w:r w:rsidRPr="00FC103B">
        <w:t>their provision</w:t>
      </w:r>
      <w:r w:rsidRPr="006478DA">
        <w:t xml:space="preserve"> rests not </w:t>
      </w:r>
      <w:r w:rsidRPr="00FC103B">
        <w:t xml:space="preserve">merely </w:t>
      </w:r>
      <w:r w:rsidRPr="006478DA">
        <w:t xml:space="preserve">on efficiency but on moral and </w:t>
      </w:r>
      <w:r w:rsidRPr="00FC103B">
        <w:t>civic</w:t>
      </w:r>
      <w:r w:rsidRPr="006478DA">
        <w:t xml:space="preserve"> grounds</w:t>
      </w:r>
      <w:r w:rsidRPr="00FC103B">
        <w:t>: these</w:t>
      </w:r>
      <w:r w:rsidRPr="006478DA">
        <w:t xml:space="preserve"> are </w:t>
      </w:r>
      <w:r w:rsidRPr="00FC103B">
        <w:t>preconditions</w:t>
      </w:r>
      <w:r w:rsidRPr="006478DA">
        <w:t xml:space="preserve"> for human freedom and dignity.</w:t>
      </w:r>
    </w:p>
    <w:p w14:paraId="5AE08490" w14:textId="77777777" w:rsidR="00C649C5" w:rsidRPr="00FC103B" w:rsidRDefault="00C649C5" w:rsidP="00C649C5">
      <w:r w:rsidRPr="006478DA">
        <w:t xml:space="preserve">News and information </w:t>
      </w:r>
      <w:r w:rsidRPr="00FC103B">
        <w:t>share</w:t>
      </w:r>
      <w:r w:rsidRPr="006478DA">
        <w:t xml:space="preserve"> this </w:t>
      </w:r>
      <w:r w:rsidRPr="00FC103B">
        <w:t>status.</w:t>
      </w:r>
      <w:r w:rsidRPr="006478DA">
        <w:t xml:space="preserve"> Access to reliable information is </w:t>
      </w:r>
      <w:r w:rsidRPr="00FC103B">
        <w:t xml:space="preserve">essential </w:t>
      </w:r>
      <w:r w:rsidRPr="006478DA">
        <w:t xml:space="preserve">for democratic participation. Citizens cannot </w:t>
      </w:r>
      <w:r w:rsidRPr="00FC103B">
        <w:t>make informed collective decisions or hold authority to account</w:t>
      </w:r>
      <w:r w:rsidRPr="006478DA">
        <w:t xml:space="preserve"> without it. In a </w:t>
      </w:r>
      <w:r w:rsidRPr="00FC103B">
        <w:t>democracy</w:t>
      </w:r>
      <w:r w:rsidRPr="006478DA">
        <w:t xml:space="preserve">, citizens require </w:t>
      </w:r>
      <w:r w:rsidRPr="00FC103B">
        <w:t xml:space="preserve">a steady flow of </w:t>
      </w:r>
      <w:r w:rsidRPr="006478DA">
        <w:t xml:space="preserve">diverse </w:t>
      </w:r>
      <w:r w:rsidRPr="00FC103B">
        <w:t xml:space="preserve">and accurate </w:t>
      </w:r>
      <w:r w:rsidRPr="006478DA">
        <w:t xml:space="preserve">information to </w:t>
      </w:r>
      <w:r w:rsidRPr="00FC103B">
        <w:t>deliberate</w:t>
      </w:r>
      <w:r w:rsidRPr="006478DA">
        <w:t xml:space="preserve">, form opinions, and </w:t>
      </w:r>
      <w:r w:rsidRPr="00FC103B">
        <w:t xml:space="preserve">act collectively. Journalism </w:t>
      </w:r>
      <w:r w:rsidRPr="006478DA">
        <w:t xml:space="preserve">that fails to provide </w:t>
      </w:r>
      <w:r w:rsidRPr="00FC103B">
        <w:t>such</w:t>
      </w:r>
      <w:r w:rsidRPr="006478DA">
        <w:t xml:space="preserve"> information</w:t>
      </w:r>
      <w:r w:rsidRPr="00FC103B">
        <w:t>—</w:t>
      </w:r>
      <w:r w:rsidRPr="006478DA">
        <w:t xml:space="preserve">or that </w:t>
      </w:r>
      <w:r w:rsidRPr="00FC103B">
        <w:t>substitutes distortion and propaganda for it—</w:t>
      </w:r>
      <w:r w:rsidRPr="006478DA">
        <w:t xml:space="preserve">harms not only </w:t>
      </w:r>
      <w:r w:rsidRPr="00FC103B">
        <w:t>individuals</w:t>
      </w:r>
      <w:r w:rsidRPr="006478DA">
        <w:t xml:space="preserve"> but the entire community. </w:t>
      </w:r>
      <w:r w:rsidRPr="00FC103B">
        <w:t>The press thus produces</w:t>
      </w:r>
      <w:r w:rsidRPr="006478DA">
        <w:t xml:space="preserve"> positive externalities </w:t>
      </w:r>
      <w:r w:rsidRPr="00FC103B">
        <w:t>akin to those associated with education or public health: its benefits radiate through the civic body, enhancing collective well-being.</w:t>
      </w:r>
    </w:p>
    <w:p w14:paraId="724A7AE0" w14:textId="77777777" w:rsidR="00C649C5" w:rsidRPr="00FC103B" w:rsidRDefault="00C649C5" w:rsidP="00C649C5">
      <w:r w:rsidRPr="00FC103B">
        <w:t xml:space="preserve">The moral argument follows naturally. Many constitutions, though not the American one, enshrine social rights such as health, education, and social security. International </w:t>
      </w:r>
      <w:proofErr w:type="gramStart"/>
      <w:r w:rsidRPr="00FC103B">
        <w:t>instruments—</w:t>
      </w:r>
      <w:proofErr w:type="gramEnd"/>
      <w:r w:rsidRPr="00FC103B">
        <w:t xml:space="preserve">most notably the International Covenant on Economic, Social and Cultural </w:t>
      </w:r>
      <w:proofErr w:type="gramStart"/>
      <w:r w:rsidRPr="00FC103B">
        <w:t>Rights—</w:t>
      </w:r>
      <w:proofErr w:type="gramEnd"/>
      <w:r w:rsidRPr="00FC103B">
        <w:t>recognize these as essential conditions of dignity and freedom. In the same way, access to trustworthy information may be regarded as a social right necessary for the exercise of political freedom.</w:t>
      </w:r>
      <w:r w:rsidRPr="00FC103B">
        <w:br/>
        <w:t>If the state can intervene to ensure the provision of other merit goods, it can also act to ensure the provision of accurate and comprehensive news. Such intervention need not entail direct control; it can operate through incentives, professional standards, and public accountability mechanisms that reinforce the press’s own normative commitments.</w:t>
      </w:r>
    </w:p>
    <w:p w14:paraId="2E58D92A" w14:textId="77777777" w:rsidR="00C649C5" w:rsidRPr="006478DA" w:rsidRDefault="00C649C5" w:rsidP="00C649C5">
      <w:r w:rsidRPr="00FC103B">
        <w:lastRenderedPageBreak/>
        <w:t>The case for recognizing the press as a merit good therefore rests not on economic scarcity but on democratic necessity. The public depends on journalism that serves collective self-government. The press’s privileged legal status—its special protections and immunities—should thus be understood as corresponding to its public service role. These privileges are justified only insofar as the press fulfills that role; when it fails to do so, the privileges lose their normative foundation</w:t>
      </w:r>
      <w:r w:rsidRPr="006478DA">
        <w:t>.</w:t>
      </w:r>
    </w:p>
    <w:p w14:paraId="218FE86A" w14:textId="77777777" w:rsidR="00C649C5" w:rsidRDefault="00C649C5" w:rsidP="00C649C5"/>
    <w:p w14:paraId="44B227BD" w14:textId="77777777" w:rsidR="007827C1" w:rsidRPr="007815F3" w:rsidRDefault="007827C1" w:rsidP="007827C1">
      <w:pPr>
        <w:rPr>
          <w:b/>
        </w:rPr>
      </w:pPr>
      <w:r w:rsidRPr="007815F3">
        <w:rPr>
          <w:b/>
        </w:rPr>
        <w:t>The Public Resources Principle</w:t>
      </w:r>
    </w:p>
    <w:p w14:paraId="01AB5794" w14:textId="77777777" w:rsidR="007827C1" w:rsidRPr="001A46EC" w:rsidRDefault="007827C1" w:rsidP="007827C1">
      <w:r w:rsidRPr="001A46EC">
        <w:t>A further</w:t>
      </w:r>
      <w:r w:rsidRPr="007815F3">
        <w:t xml:space="preserve"> justification for </w:t>
      </w:r>
      <w:r w:rsidRPr="001A46EC">
        <w:t>imposing duties on</w:t>
      </w:r>
      <w:r w:rsidRPr="007815F3">
        <w:t xml:space="preserve"> the </w:t>
      </w:r>
      <w:r w:rsidRPr="001A46EC">
        <w:t xml:space="preserve">press arises from its </w:t>
      </w:r>
      <w:r w:rsidRPr="007815F3">
        <w:t>use of public resources.</w:t>
      </w:r>
      <w:r w:rsidRPr="001A46EC">
        <w:t xml:space="preserve"> Whenever</w:t>
      </w:r>
      <w:r w:rsidRPr="007815F3">
        <w:t xml:space="preserve"> a private enterprise depends on </w:t>
      </w:r>
      <w:r w:rsidRPr="001A46EC">
        <w:t xml:space="preserve">assets that belong to </w:t>
      </w:r>
      <w:r w:rsidRPr="007815F3">
        <w:t xml:space="preserve">the </w:t>
      </w:r>
      <w:r w:rsidRPr="001A46EC">
        <w:t>community—</w:t>
      </w:r>
      <w:r w:rsidRPr="007815F3">
        <w:t xml:space="preserve">natural resources </w:t>
      </w:r>
      <w:r w:rsidRPr="001A46EC">
        <w:t>such as</w:t>
      </w:r>
      <w:r w:rsidRPr="007815F3">
        <w:t xml:space="preserve"> fisheries or forests</w:t>
      </w:r>
      <w:r w:rsidRPr="001A46EC">
        <w:t>,</w:t>
      </w:r>
      <w:r w:rsidRPr="007815F3">
        <w:t xml:space="preserve"> or public infrastructure like roads or utilities</w:t>
      </w:r>
      <w:r w:rsidRPr="00AE604A">
        <w:rPr>
          <w:rFonts w:asciiTheme="majorBidi" w:eastAsia="Times New Roman" w:hAnsiTheme="majorBidi" w:cstheme="majorBidi"/>
        </w:rPr>
        <w:t xml:space="preserve">, society has a legitimate claim to ensure that such use serves </w:t>
      </w:r>
      <w:r w:rsidRPr="007815F3">
        <w:rPr>
          <w:rFonts w:asciiTheme="majorBidi" w:eastAsia="Times New Roman" w:hAnsiTheme="majorBidi" w:cstheme="majorBidi"/>
        </w:rPr>
        <w:t>the public interest</w:t>
      </w:r>
      <w:r w:rsidRPr="00AE604A">
        <w:rPr>
          <w:rFonts w:asciiTheme="majorBidi" w:eastAsia="Times New Roman" w:hAnsiTheme="majorBidi" w:cstheme="majorBidi"/>
        </w:rPr>
        <w:t>, not merely private profit.</w:t>
      </w:r>
      <w:r w:rsidRPr="007815F3">
        <w:t xml:space="preserve"> This principle </w:t>
      </w:r>
      <w:r w:rsidRPr="001A46EC">
        <w:t>rests on the understanding</w:t>
      </w:r>
      <w:r w:rsidRPr="007815F3">
        <w:t xml:space="preserve"> that public resources are held in trust for the benefit of all citizens, and </w:t>
      </w:r>
      <w:r w:rsidRPr="001A46EC">
        <w:t xml:space="preserve">that </w:t>
      </w:r>
      <w:r w:rsidRPr="007815F3">
        <w:t xml:space="preserve">their exploitation for private </w:t>
      </w:r>
      <w:r w:rsidRPr="001A46EC">
        <w:t>profit entails a duty</w:t>
      </w:r>
      <w:r w:rsidRPr="007815F3">
        <w:t xml:space="preserve"> to </w:t>
      </w:r>
      <w:r w:rsidRPr="001A46EC">
        <w:t>use them in ways consistent with the public good.</w:t>
      </w:r>
    </w:p>
    <w:p w14:paraId="254B7B0B" w14:textId="77777777" w:rsidR="007827C1" w:rsidRPr="001A46EC" w:rsidRDefault="007827C1" w:rsidP="007827C1">
      <w:r w:rsidRPr="001A46EC">
        <w:t>Historically, this rationale underpinned government regulation of broadcasting. The airwaves and spectrum were regarded as</w:t>
      </w:r>
      <w:r w:rsidRPr="007815F3">
        <w:t xml:space="preserve"> public </w:t>
      </w:r>
      <w:r w:rsidRPr="001A46EC">
        <w:t>property, and license holders were expected to serve “the public interest, convenience, and necessity.”</w:t>
      </w:r>
      <w:r w:rsidRPr="007815F3">
        <w:rPr>
          <w:rStyle w:val="FootnoteReference"/>
        </w:rPr>
        <w:t xml:space="preserve"> </w:t>
      </w:r>
      <w:r>
        <w:rPr>
          <w:rStyle w:val="FootnoteReference"/>
        </w:rPr>
        <w:footnoteReference w:id="45"/>
      </w:r>
      <w:r w:rsidRPr="007815F3">
        <w:t xml:space="preserve"> In the </w:t>
      </w:r>
      <w:r w:rsidRPr="001A46EC">
        <w:t>digital era, however, the scarcity of frequencies is no longer a meaningful constraint. The internet and cable broadcasting have made spectrum allocation largely irrelevant. Yet the news media</w:t>
      </w:r>
      <w:r w:rsidRPr="007815F3">
        <w:t xml:space="preserve"> </w:t>
      </w:r>
      <w:r w:rsidRPr="001A46EC">
        <w:t>continue to rely on resources that are, in a broader sense, public in nature.</w:t>
      </w:r>
    </w:p>
    <w:p w14:paraId="5BBC2A44" w14:textId="77777777" w:rsidR="007827C1" w:rsidRPr="007815F3" w:rsidRDefault="007827C1" w:rsidP="007827C1">
      <w:r w:rsidRPr="001A46EC">
        <w:t xml:space="preserve">One </w:t>
      </w:r>
      <w:r w:rsidRPr="007815F3">
        <w:t xml:space="preserve">such </w:t>
      </w:r>
      <w:r w:rsidRPr="001A46EC">
        <w:t xml:space="preserve">resource </w:t>
      </w:r>
      <w:r w:rsidRPr="007815F3">
        <w:t xml:space="preserve">is the very subject </w:t>
      </w:r>
      <w:r w:rsidRPr="001A46EC">
        <w:t xml:space="preserve">matter </w:t>
      </w:r>
      <w:r w:rsidRPr="007815F3">
        <w:t xml:space="preserve">of </w:t>
      </w:r>
      <w:r w:rsidRPr="001A46EC">
        <w:t>journalism</w:t>
      </w:r>
      <w:r w:rsidRPr="007815F3">
        <w:t xml:space="preserve">: the </w:t>
      </w:r>
      <w:r w:rsidRPr="001A46EC">
        <w:t xml:space="preserve">operations of </w:t>
      </w:r>
      <w:r w:rsidRPr="007815F3">
        <w:t xml:space="preserve">government and </w:t>
      </w:r>
      <w:r w:rsidRPr="001A46EC">
        <w:t>public institutions</w:t>
      </w:r>
      <w:r w:rsidRPr="007815F3">
        <w:t xml:space="preserve">. </w:t>
      </w:r>
      <w:proofErr w:type="gramStart"/>
      <w:r w:rsidRPr="007815F3">
        <w:t>By definition, news</w:t>
      </w:r>
      <w:proofErr w:type="gramEnd"/>
      <w:r w:rsidRPr="007815F3">
        <w:t xml:space="preserve"> organizations </w:t>
      </w:r>
      <w:r w:rsidRPr="001A46EC">
        <w:t xml:space="preserve">reporting on public affairs </w:t>
      </w:r>
      <w:r w:rsidRPr="007815F3">
        <w:t xml:space="preserve">require an ongoing relationship with </w:t>
      </w:r>
      <w:r w:rsidRPr="001A46EC">
        <w:t>public</w:t>
      </w:r>
      <w:r w:rsidRPr="007815F3">
        <w:t xml:space="preserve"> authorities. They receive information from official spokespersons</w:t>
      </w:r>
      <w:r w:rsidRPr="001A46EC">
        <w:t>,</w:t>
      </w:r>
      <w:r w:rsidRPr="007815F3">
        <w:t xml:space="preserve"> seek </w:t>
      </w:r>
      <w:r w:rsidRPr="001A46EC">
        <w:t>comment from state actors,</w:t>
      </w:r>
      <w:r w:rsidRPr="007815F3">
        <w:t xml:space="preserve"> and gain </w:t>
      </w:r>
      <w:r w:rsidRPr="001A46EC">
        <w:t xml:space="preserve">physical </w:t>
      </w:r>
      <w:r w:rsidRPr="007815F3">
        <w:t xml:space="preserve">access to </w:t>
      </w:r>
      <w:r w:rsidRPr="001A46EC">
        <w:t>government spaces—press galleries</w:t>
      </w:r>
      <w:r w:rsidRPr="007815F3">
        <w:t>, press conferences, parliamentary corridors</w:t>
      </w:r>
      <w:r w:rsidRPr="001A46EC">
        <w:t>,</w:t>
      </w:r>
      <w:r w:rsidRPr="007815F3">
        <w:t xml:space="preserve"> and </w:t>
      </w:r>
      <w:r w:rsidRPr="001A46EC">
        <w:t>restricted</w:t>
      </w:r>
      <w:r w:rsidRPr="007815F3">
        <w:t xml:space="preserve"> facilities.</w:t>
      </w:r>
      <w:r>
        <w:rPr>
          <w:rStyle w:val="FootnoteReference"/>
          <w:rFonts w:asciiTheme="majorBidi" w:hAnsiTheme="majorBidi" w:cstheme="majorBidi"/>
        </w:rPr>
        <w:footnoteReference w:id="46"/>
      </w:r>
      <w:r w:rsidRPr="007815F3">
        <w:t xml:space="preserve"> </w:t>
      </w:r>
      <w:r w:rsidRPr="001A46EC">
        <w:t xml:space="preserve">In </w:t>
      </w:r>
      <w:r w:rsidRPr="007815F3">
        <w:t xml:space="preserve">democratic </w:t>
      </w:r>
      <w:r>
        <w:t>countries</w:t>
      </w:r>
      <w:r w:rsidRPr="001A46EC">
        <w:t xml:space="preserve">, </w:t>
      </w:r>
      <w:r w:rsidRPr="007815F3">
        <w:t xml:space="preserve">authorities are </w:t>
      </w:r>
      <w:r w:rsidRPr="001A46EC">
        <w:t>obliged</w:t>
      </w:r>
      <w:r w:rsidRPr="007815F3">
        <w:t xml:space="preserve"> to </w:t>
      </w:r>
      <w:r w:rsidRPr="001A46EC">
        <w:t>facilitate such</w:t>
      </w:r>
      <w:r w:rsidRPr="007815F3">
        <w:t xml:space="preserve"> access </w:t>
      </w:r>
      <w:r w:rsidRPr="001A46EC">
        <w:t xml:space="preserve">and </w:t>
      </w:r>
      <w:r w:rsidRPr="007815F3">
        <w:t xml:space="preserve">to assist journalists in </w:t>
      </w:r>
      <w:r w:rsidRPr="001A46EC">
        <w:t xml:space="preserve">gathering information. Without these privileges, modern journalism could not function. In this sense, the press uses public resources—information, access, </w:t>
      </w:r>
      <w:r w:rsidRPr="007815F3">
        <w:t xml:space="preserve">and </w:t>
      </w:r>
      <w:r w:rsidRPr="001A46EC">
        <w:t>institutional cooperation—</w:t>
      </w:r>
      <w:r w:rsidRPr="007815F3">
        <w:t xml:space="preserve">to perform its work and to generate </w:t>
      </w:r>
      <w:r w:rsidRPr="001A46EC">
        <w:t>profit</w:t>
      </w:r>
      <w:r w:rsidRPr="007815F3">
        <w:t xml:space="preserve"> for its owners.</w:t>
      </w:r>
    </w:p>
    <w:p w14:paraId="5CAE584E" w14:textId="77777777" w:rsidR="007827C1" w:rsidRPr="00AA09FD" w:rsidRDefault="007827C1" w:rsidP="007827C1">
      <w:r w:rsidRPr="007815F3">
        <w:t xml:space="preserve">Beyond access to information, the press benefits from </w:t>
      </w:r>
      <w:r w:rsidRPr="001A46EC">
        <w:t>an additional set of public resources:</w:t>
      </w:r>
      <w:r w:rsidRPr="007815F3">
        <w:t xml:space="preserve"> the </w:t>
      </w:r>
      <w:r w:rsidRPr="001A46EC">
        <w:t xml:space="preserve">legal and social privileges conferred on it </w:t>
      </w:r>
      <w:r w:rsidRPr="007815F3">
        <w:t xml:space="preserve">under the </w:t>
      </w:r>
      <w:r w:rsidRPr="001A46EC">
        <w:t>banner</w:t>
      </w:r>
      <w:r w:rsidRPr="007815F3">
        <w:t xml:space="preserve"> of freedom of the press. </w:t>
      </w:r>
      <w:r w:rsidRPr="001A46EC">
        <w:t xml:space="preserve">Examples include state </w:t>
      </w:r>
      <w:r w:rsidRPr="007815F3">
        <w:t>shield laws</w:t>
      </w:r>
      <w:r w:rsidRPr="001A46EC">
        <w:t xml:space="preserve"> protecting source confidentiality, privileged access to events and locations closed</w:t>
      </w:r>
      <w:r w:rsidRPr="007815F3">
        <w:t xml:space="preserve"> to ordinary citizens</w:t>
      </w:r>
      <w:r w:rsidRPr="001A46EC">
        <w:t>,</w:t>
      </w:r>
      <w:r w:rsidRPr="007815F3">
        <w:t xml:space="preserve"> procedural </w:t>
      </w:r>
      <w:r w:rsidRPr="001A46EC">
        <w:t>immunities</w:t>
      </w:r>
      <w:r w:rsidRPr="007815F3">
        <w:t xml:space="preserve"> from certain </w:t>
      </w:r>
      <w:r w:rsidRPr="001A46EC">
        <w:t>investigations,</w:t>
      </w:r>
      <w:r w:rsidRPr="007815F3">
        <w:t xml:space="preserve"> and </w:t>
      </w:r>
      <w:r w:rsidRPr="001A46EC">
        <w:t>special</w:t>
      </w:r>
      <w:r w:rsidRPr="007815F3">
        <w:t xml:space="preserve"> defenses in defamation </w:t>
      </w:r>
      <w:r w:rsidRPr="001A46EC">
        <w:t>law,</w:t>
      </w:r>
      <w:r w:rsidRPr="007815F3">
        <w:t xml:space="preserve"> such </w:t>
      </w:r>
      <w:r w:rsidRPr="007815F3">
        <w:lastRenderedPageBreak/>
        <w:t xml:space="preserve">as the </w:t>
      </w:r>
      <w:r w:rsidRPr="001A46EC">
        <w:t>“</w:t>
      </w:r>
      <w:r w:rsidRPr="007815F3">
        <w:t>responsible journalism</w:t>
      </w:r>
      <w:r w:rsidRPr="001A46EC">
        <w:t>”</w:t>
      </w:r>
      <w:r w:rsidRPr="007815F3">
        <w:t xml:space="preserve"> defense</w:t>
      </w:r>
      <w:r w:rsidRPr="001A46EC">
        <w:t>. These advantages are codified by statute in some jurisdictions and developed through judicial precedent or professional regulation in</w:t>
      </w:r>
      <w:r>
        <w:t xml:space="preserve"> some</w:t>
      </w:r>
      <w:r w:rsidRPr="001A46EC">
        <w:t xml:space="preserve"> others.</w:t>
      </w:r>
      <w:r w:rsidRPr="007815F3">
        <w:t xml:space="preserve"> The Canadian Association of </w:t>
      </w:r>
      <w:r w:rsidRPr="001A46EC">
        <w:t xml:space="preserve">Journalists’ </w:t>
      </w:r>
      <w:r w:rsidRPr="007815F3">
        <w:rPr>
          <w:i/>
        </w:rPr>
        <w:t>Ethical Guidelines</w:t>
      </w:r>
      <w:r w:rsidRPr="001A46EC">
        <w:t>, for instance, acknowledge</w:t>
      </w:r>
      <w:r w:rsidRPr="007815F3">
        <w:t xml:space="preserve"> that </w:t>
      </w:r>
      <w:r w:rsidRPr="001A46EC">
        <w:t>“our</w:t>
      </w:r>
      <w:r w:rsidRPr="00AA09FD">
        <w:t xml:space="preserve"> legal traditions give media privilege and protection. We must return this trust through the ethical practice of our craft</w:t>
      </w:r>
      <w:r w:rsidRPr="001A46EC">
        <w:t>.”</w:t>
      </w:r>
      <w:r>
        <w:rPr>
          <w:rStyle w:val="FootnoteReference"/>
        </w:rPr>
        <w:footnoteReference w:id="47"/>
      </w:r>
    </w:p>
    <w:p w14:paraId="277E8DDE" w14:textId="77777777" w:rsidR="007827C1" w:rsidRDefault="007827C1" w:rsidP="007827C1">
      <w:r w:rsidRPr="001A46EC">
        <w:t>Such</w:t>
      </w:r>
      <w:r w:rsidRPr="007815F3">
        <w:t xml:space="preserve"> privileges are not incidental benefits but essential </w:t>
      </w:r>
      <w:r w:rsidRPr="001A46EC">
        <w:t>conditions</w:t>
      </w:r>
      <w:r w:rsidRPr="007815F3">
        <w:t xml:space="preserve"> for journalistic operation. They </w:t>
      </w:r>
      <w:r w:rsidRPr="001A46EC">
        <w:t>impose</w:t>
      </w:r>
      <w:r w:rsidRPr="007815F3">
        <w:t xml:space="preserve"> significant social </w:t>
      </w:r>
      <w:r w:rsidRPr="001A46EC">
        <w:t>costs</w:t>
      </w:r>
      <w:r w:rsidRPr="007815F3">
        <w:t xml:space="preserve"> that democratic </w:t>
      </w:r>
      <w:r w:rsidRPr="001A46EC">
        <w:t>societies willingly bear</w:t>
      </w:r>
      <w:r w:rsidRPr="007815F3">
        <w:t xml:space="preserve"> </w:t>
      </w:r>
      <w:proofErr w:type="gramStart"/>
      <w:r w:rsidRPr="007815F3">
        <w:t>in order to</w:t>
      </w:r>
      <w:proofErr w:type="gramEnd"/>
      <w:r w:rsidRPr="007815F3">
        <w:t xml:space="preserve"> </w:t>
      </w:r>
      <w:r w:rsidRPr="001A46EC">
        <w:t xml:space="preserve">sustain a free press: </w:t>
      </w:r>
      <w:r w:rsidRPr="00AE604A">
        <w:rPr>
          <w:rFonts w:asciiTheme="majorBidi" w:eastAsia="Times New Roman" w:hAnsiTheme="majorBidi" w:cstheme="majorBidi"/>
        </w:rPr>
        <w:t xml:space="preserve">heavier burdens on legal </w:t>
      </w:r>
      <w:r w:rsidRPr="007815F3">
        <w:t xml:space="preserve">proceedings, </w:t>
      </w:r>
      <w:r w:rsidRPr="001A46EC">
        <w:t xml:space="preserve">diminished privacy </w:t>
      </w:r>
      <w:r w:rsidRPr="007815F3">
        <w:t>protection</w:t>
      </w:r>
      <w:r w:rsidRPr="001A46EC">
        <w:t>, and occasional</w:t>
      </w:r>
      <w:r w:rsidRPr="007815F3">
        <w:t xml:space="preserve"> harm to public interests </w:t>
      </w:r>
      <w:r w:rsidRPr="001A46EC">
        <w:t>such as</w:t>
      </w:r>
      <w:r w:rsidRPr="007815F3">
        <w:t xml:space="preserve"> national security when </w:t>
      </w:r>
      <w:r w:rsidRPr="001A46EC">
        <w:t>sensitive</w:t>
      </w:r>
      <w:r w:rsidRPr="007815F3">
        <w:t xml:space="preserve"> information is published.</w:t>
      </w:r>
      <w:r w:rsidRPr="001A46EC">
        <w:t xml:space="preserve"> Because these privileges depend on public trust, they entail reciprocal obligations. </w:t>
      </w:r>
      <w:r w:rsidRPr="007815F3">
        <w:t xml:space="preserve">Independence from government does not mean freedom from accountability. The press must </w:t>
      </w:r>
      <w:proofErr w:type="gramStart"/>
      <w:r w:rsidRPr="001A46EC">
        <w:t>answer</w:t>
      </w:r>
      <w:r w:rsidRPr="007815F3">
        <w:t xml:space="preserve"> to</w:t>
      </w:r>
      <w:proofErr w:type="gramEnd"/>
      <w:r w:rsidRPr="007815F3">
        <w:t xml:space="preserve"> the public </w:t>
      </w:r>
      <w:r w:rsidRPr="001A46EC">
        <w:t xml:space="preserve">whose right </w:t>
      </w:r>
      <w:r w:rsidRPr="007815F3">
        <w:t xml:space="preserve">it </w:t>
      </w:r>
      <w:r w:rsidRPr="001A46EC">
        <w:t>exercises</w:t>
      </w:r>
      <w:r w:rsidRPr="007815F3">
        <w:t xml:space="preserve">, and the state has a </w:t>
      </w:r>
      <w:r w:rsidRPr="001A46EC">
        <w:t xml:space="preserve">legitimate </w:t>
      </w:r>
      <w:r w:rsidRPr="007815F3">
        <w:t xml:space="preserve">role in ensuring that accountability through </w:t>
      </w:r>
      <w:r w:rsidRPr="001A46EC">
        <w:t>fair</w:t>
      </w:r>
      <w:r w:rsidRPr="007815F3">
        <w:t xml:space="preserve"> and </w:t>
      </w:r>
      <w:r w:rsidRPr="001A46EC">
        <w:t xml:space="preserve">transparent </w:t>
      </w:r>
      <w:r w:rsidRPr="007815F3">
        <w:t xml:space="preserve">regulatory </w:t>
      </w:r>
      <w:r w:rsidRPr="001A46EC">
        <w:t xml:space="preserve">mechanisms. The central question then becomes: </w:t>
      </w:r>
      <w:r w:rsidRPr="001A46EC">
        <w:rPr>
          <w:i/>
          <w:iCs/>
        </w:rPr>
        <w:t>what specific duties follow from the public’s</w:t>
      </w:r>
      <w:r w:rsidRPr="007815F3">
        <w:rPr>
          <w:i/>
        </w:rPr>
        <w:t xml:space="preserve"> right to freedom of the press</w:t>
      </w:r>
      <w:r w:rsidRPr="001A46EC">
        <w:rPr>
          <w:i/>
          <w:iCs/>
        </w:rPr>
        <w:t>?</w:t>
      </w:r>
    </w:p>
    <w:p w14:paraId="3D1535D8" w14:textId="77777777" w:rsidR="007827C1" w:rsidRPr="001A46EC" w:rsidRDefault="007827C1" w:rsidP="007827C1"/>
    <w:p w14:paraId="71BF8226" w14:textId="77777777" w:rsidR="007827C1" w:rsidRPr="001A46EC" w:rsidRDefault="007827C1" w:rsidP="007827C1">
      <w:pPr>
        <w:rPr>
          <w:b/>
          <w:bCs/>
        </w:rPr>
      </w:pPr>
      <w:r w:rsidRPr="001A46EC">
        <w:rPr>
          <w:b/>
          <w:bCs/>
        </w:rPr>
        <w:t>Defining the Duties of the Press</w:t>
      </w:r>
    </w:p>
    <w:p w14:paraId="5AF0CE1C" w14:textId="77777777" w:rsidR="007827C1" w:rsidRPr="001A46EC" w:rsidRDefault="007827C1" w:rsidP="007827C1">
      <w:r>
        <w:t xml:space="preserve">At the core of the duties </w:t>
      </w:r>
      <w:r w:rsidRPr="001A46EC">
        <w:t>corresponding</w:t>
      </w:r>
      <w:r>
        <w:t xml:space="preserve"> to the </w:t>
      </w:r>
      <w:r w:rsidRPr="001A46EC">
        <w:t>public’s</w:t>
      </w:r>
      <w:r>
        <w:t xml:space="preserve"> right stands </w:t>
      </w:r>
      <w:r w:rsidRPr="001A46EC">
        <w:t xml:space="preserve">the principle of </w:t>
      </w:r>
      <w:r>
        <w:t xml:space="preserve">fairness. </w:t>
      </w:r>
      <w:r w:rsidRPr="007815F3">
        <w:t xml:space="preserve">The press must act fairly toward society, toward individuals who rely on the information it provides, and toward the subjects of its coverage. </w:t>
      </w:r>
      <w:r w:rsidRPr="001A46EC">
        <w:t>“Fairness,” however,</w:t>
      </w:r>
      <w:r w:rsidRPr="007815F3">
        <w:t xml:space="preserve"> is among the most </w:t>
      </w:r>
      <w:r w:rsidRPr="001A46EC">
        <w:t>indeterminate</w:t>
      </w:r>
      <w:r w:rsidRPr="007815F3">
        <w:t xml:space="preserve"> concepts in </w:t>
      </w:r>
      <w:r w:rsidRPr="001A46EC">
        <w:t xml:space="preserve">both </w:t>
      </w:r>
      <w:r w:rsidRPr="00ED120C">
        <w:t>law and morality.</w:t>
      </w:r>
      <w:r>
        <w:rPr>
          <w:rStyle w:val="FootnoteReference"/>
          <w:rFonts w:asciiTheme="majorBidi" w:hAnsiTheme="majorBidi" w:cstheme="majorBidi"/>
        </w:rPr>
        <w:footnoteReference w:id="48"/>
      </w:r>
      <w:r w:rsidRPr="00B447F0">
        <w:rPr>
          <w:rFonts w:asciiTheme="majorBidi" w:hAnsiTheme="majorBidi" w:cstheme="majorBidi"/>
        </w:rPr>
        <w:t xml:space="preserve"> There are scarcely any legal or philosophical discussions that address the definition of </w:t>
      </w:r>
      <w:r w:rsidRPr="007815F3">
        <w:t xml:space="preserve">the general moral duty to act </w:t>
      </w:r>
      <w:proofErr w:type="gramStart"/>
      <w:r w:rsidRPr="007815F3">
        <w:t xml:space="preserve">fairly </w:t>
      </w:r>
      <w:r w:rsidRPr="001A46EC">
        <w:t>apart</w:t>
      </w:r>
      <w:proofErr w:type="gramEnd"/>
      <w:r w:rsidRPr="001A46EC">
        <w:t xml:space="preserve"> from context-specific applications. John Rawls used fairness to define justice itself, conceiving it </w:t>
      </w:r>
      <w:r w:rsidRPr="007815F3">
        <w:t xml:space="preserve">as </w:t>
      </w:r>
      <w:r w:rsidRPr="001A46EC">
        <w:t>a product of mutual agreement under conditions of equality. Fairness, in this sense, embodies reciprocity: individuals who benefit from social cooperation accept parallel obligations to others.</w:t>
      </w:r>
    </w:p>
    <w:p w14:paraId="631FEDFF" w14:textId="77777777" w:rsidR="007827C1" w:rsidRPr="00ED120C" w:rsidRDefault="007827C1" w:rsidP="007827C1">
      <w:r w:rsidRPr="001A46EC">
        <w:t>Applied to journalism,</w:t>
      </w:r>
      <w:r w:rsidRPr="007815F3">
        <w:t xml:space="preserve"> fairness </w:t>
      </w:r>
      <w:r w:rsidRPr="001A46EC">
        <w:t xml:space="preserve">means reciprocity between the press and the public. Society grants the press trust, attention, and legal protection on the expectation that it will serve the public interest. The press’s duty of </w:t>
      </w:r>
      <w:r w:rsidRPr="007815F3">
        <w:t xml:space="preserve">fairness </w:t>
      </w:r>
      <w:r w:rsidRPr="001A46EC">
        <w:t>therefore requires it to meet those expectations. This notion is widely reflected in professional ethics codes.</w:t>
      </w:r>
      <w:r>
        <w:rPr>
          <w:rStyle w:val="FootnoteReference"/>
          <w:rFonts w:asciiTheme="majorBidi" w:hAnsiTheme="majorBidi" w:cstheme="majorBidi"/>
        </w:rPr>
        <w:footnoteReference w:id="49"/>
      </w:r>
      <w:r w:rsidRPr="001A46EC">
        <w:t xml:space="preserve"> Yet </w:t>
      </w:r>
      <w:r w:rsidRPr="001A46EC">
        <w:lastRenderedPageBreak/>
        <w:t xml:space="preserve">beyond such voluntary declarations, discussion of press </w:t>
      </w:r>
      <w:proofErr w:type="gramStart"/>
      <w:r w:rsidRPr="001A46EC">
        <w:t>duties—</w:t>
      </w:r>
      <w:proofErr w:type="gramEnd"/>
      <w:r w:rsidRPr="001A46EC">
        <w:t>whether academic, judicial, or legislative—remains rare. The most substantial explorations have arisen not in statutory law but in public inquiries into press misconduct, such as the Hutchins Commission in the United States and the Leveson Inquiry in the United Kingdom.</w:t>
      </w:r>
      <w:r>
        <w:rPr>
          <w:rStyle w:val="FootnoteReference"/>
        </w:rPr>
        <w:footnoteReference w:id="50"/>
      </w:r>
    </w:p>
    <w:p w14:paraId="5AFA4A11" w14:textId="77777777" w:rsidR="007827C1" w:rsidRDefault="007827C1" w:rsidP="007827C1">
      <w:r w:rsidRPr="001A46EC">
        <w:t>I focus on three interrelated duties that follow from the public right to freedom of the press:</w:t>
      </w:r>
      <w:r w:rsidRPr="001A46EC">
        <w:br/>
      </w:r>
      <w:r>
        <w:rPr>
          <w:rFonts w:asciiTheme="majorBidi" w:hAnsiTheme="majorBidi" w:cstheme="majorBidi"/>
        </w:rPr>
        <w:t xml:space="preserve"> </w:t>
      </w:r>
      <w:r>
        <w:t xml:space="preserve">(a) </w:t>
      </w:r>
      <w:r w:rsidRPr="00E55B19">
        <w:t>the duty to report on public affairs;</w:t>
      </w:r>
      <w:r w:rsidRPr="001A46EC">
        <w:br/>
      </w:r>
      <w:r>
        <w:t xml:space="preserve">(b) </w:t>
      </w:r>
      <w:r w:rsidRPr="00E55B19">
        <w:t xml:space="preserve">the duty to report </w:t>
      </w:r>
      <w:r w:rsidRPr="001A46EC">
        <w:t>truthfully</w:t>
      </w:r>
      <w:r w:rsidRPr="00E55B19">
        <w:t xml:space="preserve"> and </w:t>
      </w:r>
      <w:r w:rsidRPr="001A46EC">
        <w:t>accurately; and</w:t>
      </w:r>
      <w:r w:rsidRPr="001A46EC">
        <w:br/>
      </w:r>
      <w:r>
        <w:t xml:space="preserve">(c) </w:t>
      </w:r>
      <w:r w:rsidRPr="00E55B19">
        <w:t>the duty to act as a public trustee.</w:t>
      </w:r>
      <w:r w:rsidRPr="001A46EC">
        <w:br/>
        <w:t>News organizations that fail to meet these obligations should not enjoy privileges beyond those of ordinary private actors, whereas those that fulfill them merit the legal and institutional support necessary to sustain their performance</w:t>
      </w:r>
      <w:r>
        <w:t>.</w:t>
      </w:r>
    </w:p>
    <w:p w14:paraId="4EF866BC" w14:textId="77777777" w:rsidR="007827C1" w:rsidRPr="00ED120C" w:rsidRDefault="007827C1" w:rsidP="007827C1">
      <w:pPr>
        <w:rPr>
          <w:b/>
        </w:rPr>
      </w:pPr>
      <w:r w:rsidRPr="007815F3">
        <w:rPr>
          <w:b/>
        </w:rPr>
        <w:t xml:space="preserve">The </w:t>
      </w:r>
      <w:r w:rsidRPr="001A46EC">
        <w:rPr>
          <w:b/>
          <w:bCs/>
        </w:rPr>
        <w:t>Duty</w:t>
      </w:r>
      <w:r w:rsidRPr="007815F3">
        <w:rPr>
          <w:b/>
        </w:rPr>
        <w:t xml:space="preserve"> to </w:t>
      </w:r>
      <w:r w:rsidRPr="001A46EC">
        <w:rPr>
          <w:b/>
          <w:bCs/>
        </w:rPr>
        <w:t>Report</w:t>
      </w:r>
      <w:r w:rsidRPr="007815F3">
        <w:rPr>
          <w:b/>
        </w:rPr>
        <w:t xml:space="preserve"> on </w:t>
      </w:r>
      <w:r w:rsidRPr="001A46EC">
        <w:rPr>
          <w:b/>
          <w:bCs/>
        </w:rPr>
        <w:t>Public Affairs</w:t>
      </w:r>
    </w:p>
    <w:p w14:paraId="2A8A1E1A" w14:textId="77777777" w:rsidR="007827C1" w:rsidRPr="001A46EC" w:rsidRDefault="007827C1" w:rsidP="007827C1">
      <w:r w:rsidRPr="001A46EC">
        <w:t>It</w:t>
      </w:r>
      <w:r>
        <w:t xml:space="preserve"> may </w:t>
      </w:r>
      <w:r w:rsidRPr="001A46EC">
        <w:t>appear self-evident</w:t>
      </w:r>
      <w:r>
        <w:t xml:space="preserve"> that the press reports on public affairs, </w:t>
      </w:r>
      <w:r w:rsidRPr="001A46EC">
        <w:t>but this assumption</w:t>
      </w:r>
      <w:r>
        <w:t xml:space="preserve"> requires </w:t>
      </w:r>
      <w:r w:rsidRPr="001A46EC">
        <w:t>clarification. “Public affairs,” for these purposes, are those matters</w:t>
      </w:r>
      <w:r>
        <w:t xml:space="preserve"> that </w:t>
      </w:r>
      <w:r w:rsidRPr="001A46EC">
        <w:t>form the basis for democratic decision-making and collective deliberation. Freedom</w:t>
      </w:r>
      <w:r>
        <w:t xml:space="preserve"> of the press </w:t>
      </w:r>
      <w:r w:rsidRPr="001A46EC">
        <w:t>rests</w:t>
      </w:r>
      <w:r>
        <w:t xml:space="preserve"> on the public’s right</w:t>
      </w:r>
      <w:r w:rsidRPr="001A46EC">
        <w:t>—</w:t>
      </w:r>
      <w:r>
        <w:t xml:space="preserve">grounded in </w:t>
      </w:r>
      <w:r w:rsidRPr="001A46EC">
        <w:t>citizens’</w:t>
      </w:r>
      <w:r>
        <w:t xml:space="preserve"> need</w:t>
      </w:r>
      <w:r w:rsidRPr="001A46EC">
        <w:t>—</w:t>
      </w:r>
      <w:r w:rsidRPr="001C6372">
        <w:t xml:space="preserve">to </w:t>
      </w:r>
      <w:r w:rsidRPr="001A46EC">
        <w:t>acquire</w:t>
      </w:r>
      <w:r w:rsidRPr="001C6372">
        <w:t xml:space="preserve"> “truth regarding public matters by furnishing the basis for an understanding of them</w:t>
      </w:r>
      <w:r w:rsidRPr="001A46EC">
        <w:t>.” A</w:t>
      </w:r>
      <w:r w:rsidRPr="001C6372">
        <w:t xml:space="preserve"> free press is </w:t>
      </w:r>
      <w:r w:rsidRPr="001A46EC">
        <w:t>therefore “</w:t>
      </w:r>
      <w:r w:rsidRPr="001C6372">
        <w:t>indispensable to the working of our democratic society.”</w:t>
      </w:r>
    </w:p>
    <w:p w14:paraId="0FB1A331" w14:textId="77777777" w:rsidR="007827C1" w:rsidRDefault="007827C1" w:rsidP="007827C1">
      <w:r w:rsidRPr="001A46EC">
        <w:t xml:space="preserve">I define “public affairs” as </w:t>
      </w:r>
      <w:r>
        <w:rPr>
          <w:rStyle w:val="FootnoteReference"/>
        </w:rPr>
        <w:footnoteReference w:id="51"/>
      </w:r>
      <w:r>
        <w:t xml:space="preserve">issues concerning the political community that </w:t>
      </w:r>
      <w:r w:rsidRPr="001A46EC">
        <w:t>demand</w:t>
      </w:r>
      <w:r>
        <w:t xml:space="preserve"> informed public discourse and </w:t>
      </w:r>
      <w:r w:rsidRPr="001A46EC">
        <w:t>relate</w:t>
      </w:r>
      <w:r>
        <w:t xml:space="preserve"> to collective decision-making</w:t>
      </w:r>
      <w:r w:rsidRPr="001A46EC">
        <w:t>.</w:t>
      </w:r>
      <w:r>
        <w:t xml:space="preserve"> When a news organization covers such </w:t>
      </w:r>
      <w:r w:rsidRPr="001A46EC">
        <w:t>issues</w:t>
      </w:r>
      <w:r>
        <w:t xml:space="preserve">, it fulfills its duty </w:t>
      </w:r>
      <w:r w:rsidRPr="001A46EC">
        <w:t>toward</w:t>
      </w:r>
      <w:r>
        <w:t xml:space="preserve"> the public. </w:t>
      </w:r>
      <w:r w:rsidRPr="001A46EC">
        <w:t>When</w:t>
      </w:r>
      <w:r>
        <w:t xml:space="preserve"> it knowingly </w:t>
      </w:r>
      <w:proofErr w:type="gramStart"/>
      <w:r>
        <w:t>withholds</w:t>
      </w:r>
      <w:proofErr w:type="gramEnd"/>
      <w:r>
        <w:t xml:space="preserve"> information of </w:t>
      </w:r>
      <w:r w:rsidRPr="001A46EC">
        <w:t>that</w:t>
      </w:r>
      <w:r>
        <w:t xml:space="preserve"> nature, it </w:t>
      </w:r>
      <w:r w:rsidRPr="001A46EC">
        <w:t>breaches that duty</w:t>
      </w:r>
      <w:r>
        <w:t>.</w:t>
      </w:r>
    </w:p>
    <w:p w14:paraId="2CCE36D0" w14:textId="77777777" w:rsidR="007827C1" w:rsidRDefault="007827C1" w:rsidP="007827C1">
      <w:r>
        <w:t xml:space="preserve">Public affairs under this definition include </w:t>
      </w:r>
      <w:r w:rsidRPr="001A46EC">
        <w:t>familiar areas</w:t>
      </w:r>
      <w:r>
        <w:t xml:space="preserve"> such as</w:t>
      </w:r>
      <w:r w:rsidRPr="001A46EC">
        <w:t xml:space="preserve"> national</w:t>
      </w:r>
      <w:r>
        <w:t xml:space="preserve"> security, foreign policy, economic governance, social welfare, education, and infrastructure—matters debated in legislatures </w:t>
      </w:r>
      <w:r w:rsidRPr="001A46EC">
        <w:t>and</w:t>
      </w:r>
      <w:r>
        <w:t xml:space="preserve"> managed by public authorities. </w:t>
      </w:r>
      <w:r w:rsidRPr="001A46EC">
        <w:t>They</w:t>
      </w:r>
      <w:r>
        <w:t xml:space="preserve"> also </w:t>
      </w:r>
      <w:r w:rsidRPr="001A46EC">
        <w:t>extend</w:t>
      </w:r>
      <w:r>
        <w:t xml:space="preserve"> to cultural and social </w:t>
      </w:r>
      <w:r w:rsidRPr="001A46EC">
        <w:t>questions that shape</w:t>
      </w:r>
      <w:r>
        <w:t xml:space="preserve"> communal norms and values, </w:t>
      </w:r>
      <w:r w:rsidRPr="001A46EC">
        <w:t>including</w:t>
      </w:r>
      <w:r>
        <w:t xml:space="preserve"> gender </w:t>
      </w:r>
      <w:r w:rsidRPr="001A46EC">
        <w:t>equality</w:t>
      </w:r>
      <w:r>
        <w:t xml:space="preserve">, public health, </w:t>
      </w:r>
      <w:r w:rsidRPr="001A46EC">
        <w:t>and</w:t>
      </w:r>
      <w:r>
        <w:t xml:space="preserve"> environmental protection. The </w:t>
      </w:r>
      <w:r w:rsidRPr="001A46EC">
        <w:t>test</w:t>
      </w:r>
      <w:r>
        <w:t xml:space="preserve"> is </w:t>
      </w:r>
      <w:r w:rsidRPr="001A46EC">
        <w:t>functional:</w:t>
      </w:r>
      <w:r>
        <w:t xml:space="preserve"> the information </w:t>
      </w:r>
      <w:r w:rsidRPr="001A46EC">
        <w:t>must contribute to</w:t>
      </w:r>
      <w:r>
        <w:t xml:space="preserve"> collective </w:t>
      </w:r>
      <w:r w:rsidRPr="001A46EC">
        <w:t>self-governance.</w:t>
      </w:r>
      <w:r w:rsidRPr="001A46EC">
        <w:br/>
        <w:t>By contrast,</w:t>
      </w:r>
      <w:r>
        <w:t xml:space="preserve"> content primarily </w:t>
      </w:r>
      <w:r w:rsidRPr="001A46EC">
        <w:t>serving</w:t>
      </w:r>
      <w:r>
        <w:t xml:space="preserve"> private interests or </w:t>
      </w:r>
      <w:proofErr w:type="gramStart"/>
      <w:r>
        <w:t>entertainment—</w:t>
      </w:r>
      <w:proofErr w:type="gramEnd"/>
      <w:r>
        <w:t xml:space="preserve">celebrity gossip, </w:t>
      </w:r>
      <w:r w:rsidRPr="001A46EC">
        <w:t xml:space="preserve">consumer advice, or </w:t>
      </w:r>
      <w:r>
        <w:t xml:space="preserve">lifestyle </w:t>
      </w:r>
      <w:r>
        <w:t xml:space="preserve">features, or commercial </w:t>
      </w:r>
      <w:proofErr w:type="gramStart"/>
      <w:r>
        <w:t>advertisements—</w:t>
      </w:r>
      <w:proofErr w:type="gramEnd"/>
      <w:r>
        <w:t>while culturally significant, does not fulfill the democratic function protected by press freedom. For example, magazines on fashion or restaurant reviews cater to individual consumer choice rather than collective decision-making and thus fall outside the core press duty to inform on communal concerns.</w:t>
      </w:r>
    </w:p>
    <w:p w14:paraId="7E19A340" w14:textId="77777777" w:rsidR="007827C1" w:rsidRDefault="007827C1" w:rsidP="007827C1">
      <w:r>
        <w:lastRenderedPageBreak/>
        <w:tab/>
        <w:t xml:space="preserve">This is not to mean that restaurant reviews are insignificant. For many (the undersigned included) they are an important part of a newspaper or news website. For some they are </w:t>
      </w:r>
      <w:proofErr w:type="gramStart"/>
      <w:r>
        <w:t>its</w:t>
      </w:r>
      <w:proofErr w:type="gramEnd"/>
      <w:r>
        <w:t xml:space="preserve"> most important. But they do not regularly serve </w:t>
      </w:r>
      <w:r>
        <w:t>the democratic function of the press</w:t>
      </w:r>
      <w:r w:rsidRPr="001A46EC">
        <w:t>. Such coverage may have cultural value, but it does not warrant the constitutional privileges associated with press freedom.</w:t>
      </w:r>
    </w:p>
    <w:p w14:paraId="3898B859" w14:textId="77777777" w:rsidR="007827C1" w:rsidRPr="001A46EC" w:rsidRDefault="007827C1" w:rsidP="007827C1">
      <w:r w:rsidRPr="001A46EC">
        <w:t>This distinction is contextual rather than categorical. A restaurant review, for example, becomes a matter of public concern if it exposes systemic health violations warranting regulatory action. A lifestyle feature discussing teenagers’ online habits may implicate educational policy and thus qualify as public affairs. The criterion is whether the reporting engages issues that call for collective or institutional response.</w:t>
      </w:r>
    </w:p>
    <w:p w14:paraId="55E50FF6" w14:textId="77777777" w:rsidR="007827C1" w:rsidRPr="001A46EC" w:rsidRDefault="007827C1" w:rsidP="007827C1">
      <w:r w:rsidRPr="001A46EC">
        <w:t xml:space="preserve">Many legal systems recognize the public character of certain reporting as a basis for special protection. Landmark defamation and privacy cases have long shielded journalists who inform the public about matters </w:t>
      </w:r>
      <w:r>
        <w:t>actions of public figures</w:t>
      </w:r>
      <w:r>
        <w:rPr>
          <w:rStyle w:val="FootnoteReference"/>
          <w:i/>
          <w:iCs/>
        </w:rPr>
        <w:footnoteReference w:id="52"/>
      </w:r>
      <w:r>
        <w:t xml:space="preserve"> or matters of public concern</w:t>
      </w:r>
      <w:r w:rsidRPr="001A46EC">
        <w:t>.</w:t>
      </w:r>
      <w:r>
        <w:rPr>
          <w:rStyle w:val="FootnoteReference"/>
        </w:rPr>
        <w:footnoteReference w:id="53"/>
      </w:r>
      <w:r>
        <w:t xml:space="preserve"> </w:t>
      </w:r>
      <w:r w:rsidRPr="001A46EC">
        <w:t xml:space="preserve"> Yet the argument here goes further. The press often proclaims a “duty to inform,” but treats its breach as ethically regrettable rather than normatively significant. I contend that failure to fulfill this duty—especially deliberate withholding of information of public importance—constitutes a violation of freedom of the press itself and should entail consequences.</w:t>
      </w:r>
    </w:p>
    <w:p w14:paraId="4FA24435" w14:textId="77777777" w:rsidR="007827C1" w:rsidRPr="001A46EC" w:rsidRDefault="007827C1" w:rsidP="007827C1">
      <w:r w:rsidRPr="001A46EC">
        <w:t xml:space="preserve">Professional codes support this view. The </w:t>
      </w:r>
      <w:r w:rsidRPr="00C81D23">
        <w:t>International Federation of Journalists</w:t>
      </w:r>
      <w:r>
        <w:t>’</w:t>
      </w:r>
      <w:r w:rsidRPr="00C81D23">
        <w:t xml:space="preserve"> </w:t>
      </w:r>
      <w:r w:rsidRPr="00ED120C">
        <w:rPr>
          <w:i/>
        </w:rPr>
        <w:t>Global Charter of Ethics</w:t>
      </w:r>
      <w:r w:rsidRPr="00C81D23">
        <w:t xml:space="preserve"> (2019)</w:t>
      </w:r>
      <w:r>
        <w:t xml:space="preserve"> </w:t>
      </w:r>
      <w:r w:rsidRPr="001A46EC">
        <w:t>defines</w:t>
      </w:r>
      <w:r>
        <w:t xml:space="preserve"> “</w:t>
      </w:r>
      <w:r w:rsidRPr="00C81D23">
        <w:t>the right of the public to truth</w:t>
      </w:r>
      <w:r>
        <w:t>” as “</w:t>
      </w:r>
      <w:r w:rsidRPr="00C81D23">
        <w:t>the first duty of the journalist</w:t>
      </w:r>
      <w:r w:rsidRPr="001A46EC">
        <w:t>.” Reporters</w:t>
      </w:r>
      <w:r>
        <w:rPr>
          <w:rStyle w:val="FootnoteReference"/>
        </w:rPr>
        <w:footnoteReference w:id="54"/>
      </w:r>
      <w:r>
        <w:t xml:space="preserve"> Without </w:t>
      </w:r>
      <w:r w:rsidRPr="001A46EC">
        <w:t xml:space="preserve">Borders’ </w:t>
      </w:r>
      <w:r w:rsidRPr="00ED120C">
        <w:rPr>
          <w:i/>
        </w:rPr>
        <w:t xml:space="preserve">Declaration of </w:t>
      </w:r>
      <w:r w:rsidRPr="001A46EC">
        <w:rPr>
          <w:i/>
          <w:iCs/>
        </w:rPr>
        <w:t>the Rights</w:t>
      </w:r>
      <w:r w:rsidRPr="00ED120C">
        <w:rPr>
          <w:i/>
        </w:rPr>
        <w:t xml:space="preserve"> and </w:t>
      </w:r>
      <w:r w:rsidRPr="001A46EC">
        <w:rPr>
          <w:i/>
          <w:iCs/>
        </w:rPr>
        <w:t>Obligations</w:t>
      </w:r>
      <w:r w:rsidRPr="00ED120C">
        <w:rPr>
          <w:i/>
        </w:rPr>
        <w:t xml:space="preserve"> of </w:t>
      </w:r>
      <w:r w:rsidRPr="001A46EC">
        <w:rPr>
          <w:i/>
          <w:iCs/>
        </w:rPr>
        <w:t>Journalists</w:t>
      </w:r>
      <w:r w:rsidRPr="001A46EC">
        <w:t xml:space="preserve"> states</w:t>
      </w:r>
      <w:r>
        <w:t xml:space="preserve"> that “</w:t>
      </w:r>
      <w:r w:rsidRPr="001A46EC">
        <w:t>all</w:t>
      </w:r>
      <w:r w:rsidRPr="00C81D23">
        <w:t xml:space="preserve"> rights and duties of a journalist originate from the right of the public to be informed</w:t>
      </w:r>
      <w:r w:rsidRPr="001A46EC">
        <w:t>.”</w:t>
      </w:r>
      <w:r>
        <w:rPr>
          <w:rStyle w:val="FootnoteReference"/>
        </w:rPr>
        <w:footnoteReference w:id="55"/>
      </w:r>
      <w:r>
        <w:t xml:space="preserve"> The South African </w:t>
      </w:r>
      <w:r w:rsidRPr="00ED120C">
        <w:rPr>
          <w:i/>
        </w:rPr>
        <w:t>Press Code</w:t>
      </w:r>
      <w:r>
        <w:t xml:space="preserve"> </w:t>
      </w:r>
      <w:r w:rsidRPr="001A46EC">
        <w:t>refers to</w:t>
      </w:r>
      <w:r>
        <w:t xml:space="preserve"> “</w:t>
      </w:r>
      <w:r w:rsidRPr="00C81D23">
        <w:t>the duty to report and comment on all matters of legitimate public interest</w:t>
      </w:r>
      <w:r w:rsidRPr="001A46EC">
        <w:t>.”</w:t>
      </w:r>
      <w:r>
        <w:rPr>
          <w:rStyle w:val="FootnoteReference"/>
        </w:rPr>
        <w:footnoteReference w:id="56"/>
      </w:r>
      <w:r>
        <w:t xml:space="preserve"> The Belgian </w:t>
      </w:r>
      <w:r w:rsidRPr="00ED120C">
        <w:rPr>
          <w:i/>
        </w:rPr>
        <w:t>Code of Journalistic Ethics</w:t>
      </w:r>
      <w:r>
        <w:t xml:space="preserve"> </w:t>
      </w:r>
      <w:r w:rsidRPr="001A46EC">
        <w:t xml:space="preserve">similarly asserts that “journalists </w:t>
      </w:r>
      <w:r w:rsidRPr="00895BBA">
        <w:t>have the right and duty to inform the public about matters of public interest</w:t>
      </w:r>
      <w:r w:rsidRPr="001A46EC">
        <w:t>.”</w:t>
      </w:r>
      <w:r>
        <w:rPr>
          <w:rStyle w:val="FootnoteReference"/>
        </w:rPr>
        <w:footnoteReference w:id="57"/>
      </w:r>
    </w:p>
    <w:p w14:paraId="1F1F780D" w14:textId="77777777" w:rsidR="007827C1" w:rsidRDefault="007827C1" w:rsidP="007827C1">
      <w:r w:rsidRPr="001A46EC">
        <w:t>Courts have occasionally acknowledged such duties.</w:t>
      </w:r>
      <w:r>
        <w:t xml:space="preserve"> </w:t>
      </w:r>
      <w:r>
        <w:t xml:space="preserve"> The Supreme Court of Canada</w:t>
      </w:r>
      <w:r w:rsidRPr="001A46EC">
        <w:t>,</w:t>
      </w:r>
      <w:r>
        <w:t xml:space="preserve"> in </w:t>
      </w:r>
      <w:r w:rsidRPr="001A46EC">
        <w:rPr>
          <w:i/>
          <w:iCs/>
        </w:rPr>
        <w:t>Grant v. Torstar</w:t>
      </w:r>
      <w:r w:rsidRPr="001A46EC">
        <w:t xml:space="preserve"> (</w:t>
      </w:r>
      <w:r>
        <w:t>2009</w:t>
      </w:r>
      <w:r w:rsidRPr="001A46EC">
        <w:t>),</w:t>
      </w:r>
      <w:r>
        <w:rPr>
          <w:rStyle w:val="FootnoteReference"/>
        </w:rPr>
        <w:footnoteReference w:id="58"/>
      </w:r>
      <w:r w:rsidRPr="001A46EC">
        <w:t xml:space="preserve"> extended </w:t>
      </w:r>
      <w:r w:rsidRPr="009B44A8">
        <w:t xml:space="preserve">defenses available to </w:t>
      </w:r>
      <w:r w:rsidRPr="001A46EC">
        <w:t>“</w:t>
      </w:r>
      <w:r w:rsidRPr="009B44A8">
        <w:t>public communicators such as the press</w:t>
      </w:r>
      <w:r w:rsidRPr="001A46EC">
        <w:t>,”</w:t>
      </w:r>
      <w:r>
        <w:t xml:space="preserve"> recognizing </w:t>
      </w:r>
      <w:r w:rsidRPr="001A46EC">
        <w:t>that journalists may have “</w:t>
      </w:r>
      <w:r w:rsidRPr="009B44A8">
        <w:t>a social or moral duty to publish</w:t>
      </w:r>
      <w:r w:rsidRPr="001A46EC">
        <w:t>.” The decision drew on the</w:t>
      </w:r>
      <w:r>
        <w:t xml:space="preserve"> House of </w:t>
      </w:r>
      <w:r w:rsidRPr="001A46EC">
        <w:t xml:space="preserve">Lords’ reasoning in </w:t>
      </w:r>
      <w:r w:rsidRPr="001A46EC">
        <w:rPr>
          <w:i/>
          <w:iCs/>
        </w:rPr>
        <w:t>Reynolds v. Times Newspapers</w:t>
      </w:r>
      <w:r w:rsidRPr="001A46EC">
        <w:t xml:space="preserve"> (1999), which, while not using the term “duty,” implied it by emphasizing the journalist’s </w:t>
      </w:r>
      <w:r w:rsidRPr="00280D61">
        <w:t xml:space="preserve">role in </w:t>
      </w:r>
      <w:r w:rsidRPr="001A46EC">
        <w:t xml:space="preserve">serving democratic deliberation. </w:t>
      </w:r>
      <w:r>
        <w:t>The UK House of Lords took a similar approach, recognizing an interest “</w:t>
      </w:r>
      <w:r w:rsidRPr="00280D61">
        <w:t>of the public in a modern democracy in free expression and, more particularly, in the promotion of a free and vigorous press</w:t>
      </w:r>
      <w:r>
        <w:t xml:space="preserve">” which corresponds </w:t>
      </w:r>
      <w:r>
        <w:lastRenderedPageBreak/>
        <w:t>with a “</w:t>
      </w:r>
      <w:r w:rsidRPr="00280D61">
        <w:t>duty on the journalist (and equally his editor) is to play his proper role in discharging that function</w:t>
      </w:r>
      <w:r>
        <w:t>”</w:t>
      </w:r>
      <w:r w:rsidRPr="00280D61">
        <w:t>.</w:t>
      </w:r>
      <w:r>
        <w:rPr>
          <w:rStyle w:val="FootnoteReference"/>
        </w:rPr>
        <w:footnoteReference w:id="59"/>
      </w:r>
      <w:r>
        <w:t xml:space="preserve"> </w:t>
      </w:r>
      <w:r w:rsidRPr="001A46EC">
        <w:t>The UK’s</w:t>
      </w:r>
      <w:r>
        <w:t xml:space="preserve"> 2013 </w:t>
      </w:r>
      <w:r w:rsidRPr="00DE489B">
        <w:rPr>
          <w:i/>
        </w:rPr>
        <w:t>Defamation Act</w:t>
      </w:r>
      <w:r>
        <w:rPr>
          <w:rStyle w:val="FootnoteReference"/>
        </w:rPr>
        <w:footnoteReference w:id="60"/>
      </w:r>
      <w:r>
        <w:t xml:space="preserve"> </w:t>
      </w:r>
      <w:r w:rsidRPr="001A46EC">
        <w:t xml:space="preserve"> replaced the </w:t>
      </w:r>
      <w:r w:rsidRPr="001A46EC">
        <w:rPr>
          <w:i/>
          <w:iCs/>
        </w:rPr>
        <w:t>Reynolds</w:t>
      </w:r>
      <w:r w:rsidRPr="001A46EC">
        <w:t xml:space="preserve"> test but preserved the principle</w:t>
      </w:r>
      <w:r>
        <w:t xml:space="preserve"> that statements on matters of public interest enjoy </w:t>
      </w:r>
      <w:r w:rsidRPr="001A46EC">
        <w:t>special protection, directing courts to consider “</w:t>
      </w:r>
      <w:r w:rsidRPr="003731CB">
        <w:t xml:space="preserve">editorial </w:t>
      </w:r>
      <w:r w:rsidRPr="001A46EC">
        <w:t>judgment.” Likewise,</w:t>
      </w:r>
      <w:r>
        <w:t xml:space="preserve"> the Supreme Court of Israel </w:t>
      </w:r>
      <w:r w:rsidRPr="001A46EC">
        <w:t>has held</w:t>
      </w:r>
      <w:r>
        <w:t xml:space="preserve"> that an investigative journalist </w:t>
      </w:r>
      <w:r w:rsidRPr="001A46EC">
        <w:t>acts under</w:t>
      </w:r>
      <w:r>
        <w:t xml:space="preserve"> a “legal, social or moral duty to publish” when </w:t>
      </w:r>
      <w:r w:rsidRPr="001A46EC">
        <w:t>responsibly reporting</w:t>
      </w:r>
      <w:r>
        <w:t xml:space="preserve"> on </w:t>
      </w:r>
      <w:r w:rsidRPr="001A46EC">
        <w:t>issues</w:t>
      </w:r>
      <w:r>
        <w:t xml:space="preserve"> of public interest.</w:t>
      </w:r>
      <w:r>
        <w:rPr>
          <w:rStyle w:val="FootnoteReference"/>
        </w:rPr>
        <w:footnoteReference w:id="61"/>
      </w:r>
      <w:r>
        <w:t xml:space="preserve"> </w:t>
      </w:r>
    </w:p>
    <w:p w14:paraId="154D598D" w14:textId="77777777" w:rsidR="007827C1" w:rsidRDefault="007827C1" w:rsidP="007827C1">
      <w:r w:rsidRPr="001A46EC">
        <w:t>The Israeli</w:t>
      </w:r>
      <w:r>
        <w:t xml:space="preserve"> Court </w:t>
      </w:r>
      <w:r w:rsidRPr="001A46EC">
        <w:t>nevertheless added</w:t>
      </w:r>
      <w:r>
        <w:t xml:space="preserve"> that “the practical meaning of a duty to publish is the availability of a defense under the </w:t>
      </w:r>
      <w:r w:rsidRPr="001A46EC">
        <w:t>Defamation Act</w:t>
      </w:r>
      <w:r>
        <w:t>… but a failure to publish does not entail negative consequences</w:t>
      </w:r>
      <w:r w:rsidRPr="001A46EC">
        <w:t>.”</w:t>
      </w:r>
      <w:r>
        <w:t xml:space="preserve"> This </w:t>
      </w:r>
      <w:r w:rsidRPr="001A46EC">
        <w:t>prompts</w:t>
      </w:r>
      <w:r>
        <w:t xml:space="preserve"> an </w:t>
      </w:r>
      <w:r w:rsidRPr="001A46EC">
        <w:t>essential</w:t>
      </w:r>
      <w:r>
        <w:t xml:space="preserve"> question</w:t>
      </w:r>
      <w:r w:rsidRPr="001A46EC">
        <w:t>: can</w:t>
      </w:r>
      <w:r>
        <w:t xml:space="preserve"> a duty exist</w:t>
      </w:r>
      <w:r w:rsidRPr="001A46EC">
        <w:t xml:space="preserve"> if</w:t>
      </w:r>
      <w:r>
        <w:t xml:space="preserve"> its </w:t>
      </w:r>
      <w:r w:rsidRPr="001A46EC">
        <w:t>breach</w:t>
      </w:r>
      <w:r>
        <w:t xml:space="preserve"> carries no </w:t>
      </w:r>
      <w:r w:rsidRPr="001A46EC">
        <w:t xml:space="preserve">sanction? As </w:t>
      </w:r>
      <w:r>
        <w:t xml:space="preserve">Jeremy Bentham </w:t>
      </w:r>
      <w:r w:rsidRPr="001A46EC">
        <w:t>observed,</w:t>
      </w:r>
      <w:r>
        <w:t xml:space="preserve"> “An obligation… is incumbent upon a man… in so far as, in the event of his failing to conduct himself in that manner, pain, or loss of pleasure, is considered as about to be experienced by him.”</w:t>
      </w:r>
      <w:r w:rsidRPr="00DE489B">
        <w:rPr>
          <w:rStyle w:val="FootnoteReference"/>
        </w:rPr>
        <w:t xml:space="preserve"> </w:t>
      </w:r>
      <w:r>
        <w:rPr>
          <w:rStyle w:val="FootnoteReference"/>
        </w:rPr>
        <w:footnoteReference w:id="62"/>
      </w:r>
      <w:r w:rsidRPr="001A46EC">
        <w:t xml:space="preserve"> Duties that can be ignored without consequence risk becoming rhetorical.</w:t>
      </w:r>
      <w:r>
        <w:t xml:space="preserve"> </w:t>
      </w:r>
    </w:p>
    <w:p w14:paraId="53712CFF" w14:textId="77777777" w:rsidR="007827C1" w:rsidRPr="001A46EC" w:rsidRDefault="007827C1" w:rsidP="007827C1">
      <w:r>
        <w:t xml:space="preserve">Consider </w:t>
      </w:r>
      <w:r w:rsidRPr="001A46EC">
        <w:t>a few</w:t>
      </w:r>
      <w:r>
        <w:t xml:space="preserve"> real-</w:t>
      </w:r>
      <w:r w:rsidRPr="001A46EC">
        <w:t>world</w:t>
      </w:r>
      <w:r>
        <w:t xml:space="preserve"> scenarios:</w:t>
      </w:r>
      <w:r w:rsidRPr="001A46EC">
        <w:br/>
      </w:r>
      <w:r>
        <w:t xml:space="preserve">(a) A journalist </w:t>
      </w:r>
      <w:r w:rsidRPr="001A46EC">
        <w:t xml:space="preserve">uncovers evidence of government misconduct </w:t>
      </w:r>
      <w:r>
        <w:t xml:space="preserve">clearly in the </w:t>
      </w:r>
      <w:r w:rsidRPr="001A46EC">
        <w:t>public</w:t>
      </w:r>
      <w:r>
        <w:t xml:space="preserve"> interest </w:t>
      </w:r>
      <w:r w:rsidRPr="001A46EC">
        <w:t xml:space="preserve">but withholds it </w:t>
      </w:r>
      <w:r>
        <w:t xml:space="preserve">to </w:t>
      </w:r>
      <w:r w:rsidRPr="001A46EC">
        <w:t>save</w:t>
      </w:r>
      <w:r>
        <w:t xml:space="preserve"> it </w:t>
      </w:r>
      <w:r w:rsidRPr="001A46EC">
        <w:t xml:space="preserve">for a future </w:t>
      </w:r>
      <w:r>
        <w:t>book</w:t>
      </w:r>
      <w:r w:rsidRPr="001A46EC">
        <w:t>.</w:t>
      </w:r>
      <w:r>
        <w:rPr>
          <w:rStyle w:val="FootnoteReference"/>
        </w:rPr>
        <w:footnoteReference w:id="63"/>
      </w:r>
      <w:r>
        <w:t xml:space="preserve"> </w:t>
      </w:r>
      <w:r>
        <w:t xml:space="preserve">(b) A </w:t>
      </w:r>
      <w:r w:rsidRPr="001A46EC">
        <w:t xml:space="preserve">reporter learns that new information disproves a </w:t>
      </w:r>
      <w:r>
        <w:t xml:space="preserve">previous </w:t>
      </w:r>
      <w:r w:rsidRPr="001A46EC">
        <w:t>story but suppresses it to avoid embarrassment.</w:t>
      </w:r>
      <w:r w:rsidRPr="001A46EC">
        <w:br/>
      </w:r>
      <w:r>
        <w:rPr>
          <w:rStyle w:val="FootnoteReference"/>
        </w:rPr>
        <w:footnoteReference w:id="64"/>
      </w:r>
      <w:r>
        <w:t xml:space="preserve"> </w:t>
      </w:r>
      <w:r>
        <w:t xml:space="preserve">(c) A </w:t>
      </w:r>
      <w:r w:rsidRPr="001A46EC">
        <w:t xml:space="preserve">broadcaster cancels an investigative </w:t>
      </w:r>
      <w:r>
        <w:t xml:space="preserve">report on </w:t>
      </w:r>
      <w:r w:rsidRPr="001A46EC">
        <w:t>labor abuses to protect advertising</w:t>
      </w:r>
      <w:r>
        <w:t xml:space="preserve"> revenue</w:t>
      </w:r>
      <w:r w:rsidRPr="001A46EC">
        <w:t>.</w:t>
      </w:r>
      <w:r w:rsidRPr="001A46EC">
        <w:br/>
      </w:r>
      <w:r>
        <w:rPr>
          <w:rStyle w:val="FootnoteReference"/>
        </w:rPr>
        <w:footnoteReference w:id="65"/>
      </w:r>
      <w:r>
        <w:t xml:space="preserve">(d) A news </w:t>
      </w:r>
      <w:r w:rsidRPr="001A46EC">
        <w:t xml:space="preserve">outlet edits a politician’s </w:t>
      </w:r>
      <w:r>
        <w:t xml:space="preserve">statement </w:t>
      </w:r>
      <w:r w:rsidRPr="001A46EC">
        <w:t>to misrepresent his position</w:t>
      </w:r>
      <w:r>
        <w:t xml:space="preserve">, resulting </w:t>
      </w:r>
      <w:r w:rsidRPr="001A46EC">
        <w:t>in reputational harm.</w:t>
      </w:r>
    </w:p>
    <w:p w14:paraId="37D80402" w14:textId="77777777" w:rsidR="007827C1" w:rsidRDefault="007827C1" w:rsidP="007827C1">
      <w:r>
        <w:rPr>
          <w:rStyle w:val="FootnoteReference"/>
        </w:rPr>
        <w:footnoteReference w:id="66"/>
      </w:r>
      <w:r>
        <w:t xml:space="preserve"> </w:t>
      </w:r>
      <w:r>
        <w:t>In all these cases</w:t>
      </w:r>
      <w:r w:rsidRPr="001A46EC">
        <w:t xml:space="preserve">, information of public importance was </w:t>
      </w:r>
      <w:r>
        <w:t xml:space="preserve">withheld </w:t>
      </w:r>
      <w:r w:rsidRPr="001A46EC">
        <w:t xml:space="preserve">or distorted. Yet </w:t>
      </w:r>
      <w:r>
        <w:t>courts</w:t>
      </w:r>
      <w:r w:rsidRPr="001A46EC">
        <w:t xml:space="preserve"> have often treated such editorial choices as protected under </w:t>
      </w:r>
      <w:r>
        <w:t>freedom of the press</w:t>
      </w:r>
      <w:r w:rsidRPr="001A46EC">
        <w:t>. If the purpose of that freedom is to ensure an informed citizenry, such reasoning subverts its very rationale. When the press’s decisions deprive the public of information necessary for self-government, they violate—not exercise—the public’s right to a free press</w:t>
      </w:r>
      <w:r>
        <w:t>.</w:t>
      </w:r>
    </w:p>
    <w:p w14:paraId="751EA49A" w14:textId="77777777" w:rsidR="007827C1" w:rsidRPr="001A46EC" w:rsidRDefault="007827C1" w:rsidP="007827C1"/>
    <w:p w14:paraId="339DAD05" w14:textId="77777777" w:rsidR="007827C1" w:rsidRPr="001A46EC" w:rsidRDefault="007827C1" w:rsidP="007827C1">
      <w:pPr>
        <w:rPr>
          <w:b/>
          <w:bCs/>
        </w:rPr>
      </w:pPr>
      <w:r w:rsidRPr="001A46EC">
        <w:rPr>
          <w:b/>
          <w:bCs/>
        </w:rPr>
        <w:t>The Duty to Report Accurately and Truthfully</w:t>
      </w:r>
    </w:p>
    <w:p w14:paraId="43036312" w14:textId="77777777" w:rsidR="007827C1" w:rsidRPr="00671D37" w:rsidRDefault="007827C1" w:rsidP="007827C1">
      <w:r>
        <w:t xml:space="preserve">Walter </w:t>
      </w:r>
      <w:r w:rsidRPr="001A46EC">
        <w:t>Lippmann</w:t>
      </w:r>
      <w:r>
        <w:t xml:space="preserve"> wrote that “</w:t>
      </w:r>
      <w:r w:rsidRPr="001A46EC">
        <w:t>there</w:t>
      </w:r>
      <w:r w:rsidRPr="00585C0C">
        <w:t xml:space="preserve"> can be no higher law in journalism than to tell the truth</w:t>
      </w:r>
      <w:r>
        <w:t xml:space="preserve"> and shame the devil.”</w:t>
      </w:r>
      <w:r>
        <w:rPr>
          <w:rStyle w:val="FootnoteReference"/>
        </w:rPr>
        <w:footnoteReference w:id="67"/>
      </w:r>
      <w:r>
        <w:t xml:space="preserve"> Journalistic organizations </w:t>
      </w:r>
      <w:r w:rsidRPr="001A46EC">
        <w:t>have long professed agreement.</w:t>
      </w:r>
      <w:r>
        <w:t xml:space="preserve"> A survey conducted for this </w:t>
      </w:r>
      <w:r w:rsidRPr="001A46EC">
        <w:t>study</w:t>
      </w:r>
      <w:r>
        <w:t xml:space="preserve"> of </w:t>
      </w:r>
      <w:r w:rsidRPr="001A46EC">
        <w:t>twenty-seven</w:t>
      </w:r>
      <w:r>
        <w:t xml:space="preserve"> press </w:t>
      </w:r>
      <w:r w:rsidRPr="001A46EC">
        <w:t>ethics</w:t>
      </w:r>
      <w:r>
        <w:t xml:space="preserve"> codes found </w:t>
      </w:r>
      <w:r w:rsidRPr="00671D37">
        <w:t xml:space="preserve">one </w:t>
      </w:r>
      <w:r w:rsidRPr="001A46EC">
        <w:t xml:space="preserve">universal </w:t>
      </w:r>
      <w:r w:rsidRPr="00671D37">
        <w:t>principle: the duty to report truthfully</w:t>
      </w:r>
      <w:r w:rsidRPr="001A46EC">
        <w:t>, often coupled with</w:t>
      </w:r>
      <w:r>
        <w:rPr>
          <w:rStyle w:val="FootnoteReference"/>
        </w:rPr>
        <w:footnoteReference w:id="68"/>
      </w:r>
      <w:r w:rsidRPr="00671D37">
        <w:t xml:space="preserve"> the duty to correct errors</w:t>
      </w:r>
      <w:r w:rsidRPr="001A46EC">
        <w:t>.</w:t>
      </w:r>
      <w:r>
        <w:rPr>
          <w:rStyle w:val="FootnoteReference"/>
        </w:rPr>
        <w:footnoteReference w:id="69"/>
      </w:r>
      <w:r w:rsidRPr="00671D37">
        <w:t xml:space="preserve"> </w:t>
      </w:r>
    </w:p>
    <w:p w14:paraId="73FC839A" w14:textId="77777777" w:rsidR="007827C1" w:rsidRPr="00671D37" w:rsidRDefault="007827C1" w:rsidP="007827C1">
      <w:r w:rsidRPr="001A46EC">
        <w:t>Truth, of course,</w:t>
      </w:r>
      <w:r w:rsidRPr="00671D37">
        <w:t xml:space="preserve"> invites philosophical debate</w:t>
      </w:r>
      <w:r w:rsidRPr="001A46EC">
        <w:t>. Here it is treated pragmatically</w:t>
      </w:r>
      <w:r w:rsidRPr="00671D37">
        <w:t xml:space="preserve">: factual truth exists, can be known, and </w:t>
      </w:r>
      <w:r w:rsidRPr="001A46EC">
        <w:t>must</w:t>
      </w:r>
      <w:r w:rsidRPr="00671D37">
        <w:t xml:space="preserve"> be reported by competent</w:t>
      </w:r>
      <w:r w:rsidRPr="001A46EC">
        <w:t xml:space="preserve"> and</w:t>
      </w:r>
      <w:r w:rsidRPr="00671D37">
        <w:t xml:space="preserve"> disinterested observers. </w:t>
      </w:r>
      <w:r w:rsidRPr="001A46EC">
        <w:t>Opinions</w:t>
      </w:r>
      <w:r w:rsidRPr="00671D37">
        <w:t xml:space="preserve"> may </w:t>
      </w:r>
      <w:r w:rsidRPr="001A46EC">
        <w:t>differ, but</w:t>
      </w:r>
      <w:r w:rsidRPr="00671D37">
        <w:t xml:space="preserve"> public discourse </w:t>
      </w:r>
      <w:r w:rsidRPr="001A46EC">
        <w:t>presupposes</w:t>
      </w:r>
      <w:r w:rsidRPr="00671D37">
        <w:t xml:space="preserve"> a shared factual foundation. As Senator Daniel Patrick Moynihan famously </w:t>
      </w:r>
      <w:r w:rsidRPr="001A46EC">
        <w:t>observed</w:t>
      </w:r>
      <w:r w:rsidRPr="00671D37">
        <w:t>, “Everyone is entitled to his own opinion, but not his own facts</w:t>
      </w:r>
      <w:r w:rsidRPr="001A46EC">
        <w:t>.”</w:t>
      </w:r>
      <w:r>
        <w:rPr>
          <w:rStyle w:val="FootnoteReference"/>
        </w:rPr>
        <w:footnoteReference w:id="70"/>
      </w:r>
    </w:p>
    <w:p w14:paraId="39519186" w14:textId="77777777" w:rsidR="007827C1" w:rsidRPr="00671D37" w:rsidRDefault="007827C1" w:rsidP="007827C1">
      <w:r w:rsidRPr="00671D37">
        <w:t xml:space="preserve">Truthful reporting is </w:t>
      </w:r>
      <w:r w:rsidRPr="001A46EC">
        <w:t xml:space="preserve">distinct from </w:t>
      </w:r>
      <w:r w:rsidRPr="00671D37">
        <w:t xml:space="preserve">neutral reporting. </w:t>
      </w:r>
      <w:r>
        <w:t>Journalists</w:t>
      </w:r>
      <w:r w:rsidRPr="001A46EC">
        <w:t>,</w:t>
      </w:r>
      <w:r>
        <w:t xml:space="preserve"> like other citizens</w:t>
      </w:r>
      <w:r w:rsidRPr="001A46EC">
        <w:t xml:space="preserve">, hold views and values, yet </w:t>
      </w:r>
      <w:r>
        <w:t xml:space="preserve">their </w:t>
      </w:r>
      <w:r w:rsidRPr="001A46EC">
        <w:t xml:space="preserve">civic </w:t>
      </w:r>
      <w:r>
        <w:t xml:space="preserve">duty is </w:t>
      </w:r>
      <w:r w:rsidRPr="00671D37">
        <w:t xml:space="preserve">to </w:t>
      </w:r>
      <w:r w:rsidRPr="001A46EC">
        <w:t>gather</w:t>
      </w:r>
      <w:r w:rsidRPr="00671D37">
        <w:t xml:space="preserve"> and present </w:t>
      </w:r>
      <w:r w:rsidRPr="001A46EC">
        <w:t xml:space="preserve">verifiable </w:t>
      </w:r>
      <w:r w:rsidRPr="00671D37">
        <w:t xml:space="preserve">facts </w:t>
      </w:r>
      <w:r w:rsidRPr="001A46EC">
        <w:t>that others</w:t>
      </w:r>
      <w:r w:rsidRPr="00671D37">
        <w:t xml:space="preserve"> cannot </w:t>
      </w:r>
      <w:r w:rsidRPr="001A46EC">
        <w:t>easily obtain.</w:t>
      </w:r>
      <w:r w:rsidRPr="00671D37">
        <w:t xml:space="preserve"> Most professional codes (</w:t>
      </w:r>
      <w:r w:rsidRPr="001A46EC">
        <w:t>nineteen</w:t>
      </w:r>
      <w:r w:rsidRPr="00671D37">
        <w:t xml:space="preserve"> of </w:t>
      </w:r>
      <w:r w:rsidRPr="001A46EC">
        <w:t>twenty-seven</w:t>
      </w:r>
      <w:r w:rsidRPr="00671D37">
        <w:t xml:space="preserve"> surveyed) instruct journalists to separate fact from opinion</w:t>
      </w:r>
      <w:r>
        <w:t xml:space="preserve">. </w:t>
      </w:r>
      <w:r w:rsidRPr="001A46EC">
        <w:t xml:space="preserve">Complete objectivity may be </w:t>
      </w:r>
      <w:r w:rsidRPr="001A46EC">
        <w:lastRenderedPageBreak/>
        <w:t>impossible, but reasonable factual accuracy is attainable.</w:t>
      </w:r>
      <w:r w:rsidRPr="00671D37">
        <w:t xml:space="preserve"> The journalist’s task is to approach facts </w:t>
      </w:r>
      <w:r w:rsidRPr="001A46EC">
        <w:t>with disciplined independence</w:t>
      </w:r>
      <w:r w:rsidRPr="00671D37">
        <w:t xml:space="preserve">, resisting ideological </w:t>
      </w:r>
      <w:r w:rsidRPr="001A46EC">
        <w:t>zeal</w:t>
      </w:r>
      <w:r w:rsidRPr="00671D37">
        <w:t xml:space="preserve"> that turns the press into another </w:t>
      </w:r>
      <w:r w:rsidRPr="001A46EC">
        <w:t>partisan</w:t>
      </w:r>
      <w:r w:rsidRPr="00671D37">
        <w:t xml:space="preserve"> actor.</w:t>
      </w:r>
      <w:r>
        <w:t xml:space="preserve"> </w:t>
      </w:r>
      <w:r w:rsidRPr="00671D37">
        <w:t xml:space="preserve">Hannah Arendt captured </w:t>
      </w:r>
      <w:r w:rsidRPr="001A46EC">
        <w:t>this essential insight</w:t>
      </w:r>
      <w:r w:rsidRPr="00671D37">
        <w:t xml:space="preserve">: “Freedom of opinion is a farce unless </w:t>
      </w:r>
      <w:proofErr w:type="gramStart"/>
      <w:r w:rsidRPr="00671D37">
        <w:t>factual information</w:t>
      </w:r>
      <w:proofErr w:type="gramEnd"/>
      <w:r w:rsidRPr="00671D37">
        <w:t xml:space="preserve"> is guaranteed and the facts themselves are not in dispute. Factual truth informs political thought</w:t>
      </w:r>
      <w:r w:rsidRPr="001A46EC">
        <w:t>.”</w:t>
      </w:r>
      <w:r>
        <w:rPr>
          <w:rStyle w:val="FootnoteReference"/>
        </w:rPr>
        <w:footnoteReference w:id="71"/>
      </w:r>
      <w:r w:rsidRPr="00671D37">
        <w:t xml:space="preserve"> </w:t>
      </w:r>
      <w:r w:rsidRPr="001A46EC">
        <w:t xml:space="preserve"> The press’s </w:t>
      </w:r>
      <w:proofErr w:type="gramStart"/>
      <w:r w:rsidRPr="001A46EC">
        <w:t>responsibility</w:t>
      </w:r>
      <w:r w:rsidRPr="00671D37">
        <w:t xml:space="preserve"> </w:t>
      </w:r>
      <w:r w:rsidRPr="00671D37">
        <w:t xml:space="preserve"> is</w:t>
      </w:r>
      <w:proofErr w:type="gramEnd"/>
      <w:r w:rsidRPr="00671D37">
        <w:t xml:space="preserve"> to </w:t>
      </w:r>
      <w:r w:rsidRPr="001A46EC">
        <w:t>preserve</w:t>
      </w:r>
      <w:r w:rsidRPr="00671D37">
        <w:t xml:space="preserve"> that factual </w:t>
      </w:r>
      <w:r w:rsidRPr="001A46EC">
        <w:t>foundation</w:t>
      </w:r>
      <w:r w:rsidRPr="00671D37">
        <w:t xml:space="preserve">; when it fails, </w:t>
      </w:r>
      <w:r w:rsidRPr="00671D37">
        <w:t>it poisons the wells of public discourse.</w:t>
      </w:r>
      <w:r>
        <w:rPr>
          <w:rStyle w:val="FootnoteReference"/>
        </w:rPr>
        <w:footnoteReference w:id="72"/>
      </w:r>
      <w:r w:rsidRPr="00671D37">
        <w:t xml:space="preserve"> </w:t>
      </w:r>
      <w:r w:rsidRPr="00671D37">
        <w:t>.</w:t>
      </w:r>
    </w:p>
    <w:p w14:paraId="09488EC9" w14:textId="77777777" w:rsidR="007827C1" w:rsidRPr="000C70F9" w:rsidRDefault="007827C1" w:rsidP="007827C1">
      <w:r>
        <w:t>O</w:t>
      </w:r>
      <w:r w:rsidRPr="00671D37">
        <w:t>ccasional errors</w:t>
      </w:r>
      <w:r w:rsidRPr="00671D37">
        <w:t xml:space="preserve"> are inevitable</w:t>
      </w:r>
      <w:r>
        <w:t xml:space="preserve"> in any profession. </w:t>
      </w:r>
      <w:proofErr w:type="gramStart"/>
      <w:r>
        <w:t>However</w:t>
      </w:r>
      <w:proofErr w:type="gramEnd"/>
      <w:r>
        <w:t xml:space="preserve"> in the traditional media</w:t>
      </w:r>
      <w:r w:rsidRPr="00671D37">
        <w:t xml:space="preserve">, </w:t>
      </w:r>
      <w:r>
        <w:t>external and internal pressures</w:t>
      </w:r>
      <w:r>
        <w:t xml:space="preserve"> of </w:t>
      </w:r>
      <w:r>
        <w:t>the early 21</w:t>
      </w:r>
      <w:r w:rsidRPr="00480FCC">
        <w:rPr>
          <w:vertAlign w:val="superscript"/>
        </w:rPr>
        <w:t>st</w:t>
      </w:r>
      <w:r>
        <w:t xml:space="preserve"> century have brought</w:t>
      </w:r>
      <w:r>
        <w:t xml:space="preserve"> a </w:t>
      </w:r>
      <w:r>
        <w:t>decline in standards of truth and accuracy.</w:t>
      </w:r>
      <w:r>
        <w:rPr>
          <w:rStyle w:val="FootnoteReference"/>
        </w:rPr>
        <w:footnoteReference w:id="73"/>
      </w:r>
      <w:r>
        <w:t xml:space="preserve"> </w:t>
      </w:r>
      <w:r w:rsidRPr="00671D37">
        <w:t xml:space="preserve">The </w:t>
      </w:r>
      <w:r w:rsidRPr="001A46EC">
        <w:t xml:space="preserve">acceleration of the </w:t>
      </w:r>
      <w:r w:rsidRPr="00671D37">
        <w:t xml:space="preserve">news </w:t>
      </w:r>
      <w:r w:rsidRPr="001A46EC">
        <w:t xml:space="preserve">cycle and </w:t>
      </w:r>
      <w:r>
        <w:t xml:space="preserve">escalating </w:t>
      </w:r>
      <w:r w:rsidRPr="001A46EC">
        <w:t>commercial</w:t>
      </w:r>
      <w:r>
        <w:t xml:space="preserve"> competition are some of the reasons</w:t>
      </w:r>
      <w:r w:rsidRPr="00671D37">
        <w:t>. Competition favors lighter, entertaining stories over complex civic matters, and even serious reporting increasingly prioritizes dramatic “color” over factual depth. Commercial consolidation and ownership by non</w:t>
      </w:r>
      <w:r>
        <w:t>-</w:t>
      </w:r>
      <w:r w:rsidRPr="00671D37">
        <w:t>journalistic interests exacerbate the problem: profit imperatives replace editorial integrity.</w:t>
      </w:r>
      <w:r>
        <w:t xml:space="preserve"> </w:t>
      </w:r>
      <w:proofErr w:type="gramStart"/>
      <w:r>
        <w:t>The fact that this</w:t>
      </w:r>
      <w:proofErr w:type="gramEnd"/>
      <w:r>
        <w:t xml:space="preserve"> competition </w:t>
      </w:r>
      <w:proofErr w:type="gramStart"/>
      <w:r w:rsidRPr="001A46EC">
        <w:t>have</w:t>
      </w:r>
      <w:proofErr w:type="gramEnd"/>
      <w:r w:rsidRPr="001A46EC">
        <w:t xml:space="preserve"> </w:t>
      </w:r>
      <w:r>
        <w:t xml:space="preserve">created incentives </w:t>
      </w:r>
      <w:r w:rsidRPr="001A46EC">
        <w:t xml:space="preserve">for </w:t>
      </w:r>
      <w:r>
        <w:t xml:space="preserve">speed </w:t>
      </w:r>
      <w:r w:rsidRPr="001A46EC">
        <w:t xml:space="preserve">and spectacle </w:t>
      </w:r>
      <w:r>
        <w:t xml:space="preserve">over accuracy. </w:t>
      </w:r>
      <w:r w:rsidRPr="001A46EC">
        <w:t>“</w:t>
      </w:r>
      <w:r w:rsidRPr="00671D37">
        <w:t>Getting it first</w:t>
      </w:r>
      <w:r w:rsidRPr="001A46EC">
        <w:t xml:space="preserve">,” as Jay Rosen observed, </w:t>
      </w:r>
      <w:r>
        <w:t xml:space="preserve">often more </w:t>
      </w:r>
      <w:r>
        <w:t xml:space="preserve">about egos </w:t>
      </w:r>
      <w:r>
        <w:t xml:space="preserve">than </w:t>
      </w:r>
      <w:r>
        <w:t>journalism</w:t>
      </w:r>
      <w:r w:rsidRPr="00671D37">
        <w:t>.</w:t>
      </w:r>
      <w:r>
        <w:rPr>
          <w:rStyle w:val="FootnoteReference"/>
        </w:rPr>
        <w:footnoteReference w:id="74"/>
      </w:r>
      <w:r w:rsidRPr="00671D37">
        <w:t xml:space="preserve"> </w:t>
      </w:r>
      <w:r>
        <w:t>Other incentive for inaccurate reporting have been growin</w:t>
      </w:r>
      <w:r w:rsidRPr="003A5896">
        <w:t xml:space="preserve">g in recent years too. In a financially strained media </w:t>
      </w:r>
      <w:proofErr w:type="gramStart"/>
      <w:r w:rsidRPr="003A5896">
        <w:t>environment</w:t>
      </w:r>
      <w:proofErr w:type="gramEnd"/>
      <w:r w:rsidRPr="003A5896">
        <w:t xml:space="preserve"> there is a growing dependence </w:t>
      </w:r>
      <w:r w:rsidRPr="003A5896">
        <w:t xml:space="preserve">on </w:t>
      </w:r>
      <w:r w:rsidRPr="001A46EC">
        <w:t>public-relations materials. A Pew</w:t>
      </w:r>
      <w:r w:rsidRPr="00671D37">
        <w:t xml:space="preserve"> study of Baltimore media found that only 14</w:t>
      </w:r>
      <w:r w:rsidRPr="001A46EC">
        <w:t xml:space="preserve"> percent</w:t>
      </w:r>
      <w:r w:rsidRPr="00671D37">
        <w:t xml:space="preserve"> of stories were initiated by journalists; 86</w:t>
      </w:r>
      <w:r w:rsidRPr="001A46EC">
        <w:t xml:space="preserve"> percent originated</w:t>
      </w:r>
      <w:r w:rsidRPr="00671D37">
        <w:t xml:space="preserve"> from institutional PR.</w:t>
      </w:r>
      <w:r w:rsidRPr="009F2383">
        <w:rPr>
          <w:rStyle w:val="FootnoteReference"/>
        </w:rPr>
        <w:t xml:space="preserve"> </w:t>
      </w:r>
      <w:r>
        <w:rPr>
          <w:rStyle w:val="FootnoteReference"/>
        </w:rPr>
        <w:footnoteReference w:id="75"/>
      </w:r>
      <w:r w:rsidRPr="00671D37">
        <w:t xml:space="preserve"> </w:t>
      </w:r>
      <w:r w:rsidRPr="001A46EC">
        <w:t xml:space="preserve"> Australian</w:t>
      </w:r>
      <w:r w:rsidRPr="00671D37">
        <w:t xml:space="preserve"> studies estimated </w:t>
      </w:r>
      <w:r w:rsidRPr="001A46EC">
        <w:t xml:space="preserve">that </w:t>
      </w:r>
      <w:r w:rsidRPr="00671D37">
        <w:t xml:space="preserve">roughly half of </w:t>
      </w:r>
      <w:r w:rsidRPr="001A46EC">
        <w:t>published</w:t>
      </w:r>
      <w:r w:rsidRPr="00671D37">
        <w:t xml:space="preserve"> stories </w:t>
      </w:r>
      <w:r w:rsidRPr="001A46EC">
        <w:t>derive</w:t>
      </w:r>
      <w:r w:rsidRPr="00671D37">
        <w:t xml:space="preserve"> from press releases.</w:t>
      </w:r>
      <w:r>
        <w:rPr>
          <w:rStyle w:val="FootnoteReference"/>
        </w:rPr>
        <w:footnoteReference w:id="76"/>
      </w:r>
      <w:r w:rsidRPr="00671D37">
        <w:t xml:space="preserve"> </w:t>
      </w:r>
      <w:r w:rsidRPr="001A46EC">
        <w:t xml:space="preserve"> Such dependence undermines independence and credibility, giving audiences the illusion of reporting while delivering marketing content.</w:t>
      </w:r>
      <w:r w:rsidRPr="00671D37">
        <w:t xml:space="preserve"> </w:t>
      </w:r>
    </w:p>
    <w:p w14:paraId="3F9A64F9" w14:textId="77777777" w:rsidR="007827C1" w:rsidRPr="00671D37" w:rsidRDefault="007827C1" w:rsidP="007827C1">
      <w:r w:rsidRPr="00671D37">
        <w:t xml:space="preserve">The duty </w:t>
      </w:r>
      <w:r w:rsidRPr="001A46EC">
        <w:t>of</w:t>
      </w:r>
      <w:r w:rsidRPr="00671D37">
        <w:t xml:space="preserve"> truth is</w:t>
      </w:r>
      <w:r w:rsidRPr="001A46EC">
        <w:t xml:space="preserve"> therefore</w:t>
      </w:r>
      <w:r w:rsidRPr="00671D37">
        <w:t xml:space="preserve"> not philosophical abstraction but civic necessity</w:t>
      </w:r>
      <w:r w:rsidRPr="001A46EC">
        <w:t>.</w:t>
      </w:r>
      <w:r w:rsidRPr="00671D37">
        <w:t xml:space="preserve"> It demands independence from economic and political pressures, professional integrity against sensationalism, and critical distance from power</w:t>
      </w:r>
      <w:r w:rsidRPr="001A46EC">
        <w:t>.</w:t>
      </w:r>
      <w:r w:rsidRPr="00671D37">
        <w:t xml:space="preserve"> When the press </w:t>
      </w:r>
      <w:r w:rsidRPr="001A46EC">
        <w:t>abandons these standards—</w:t>
      </w:r>
      <w:r w:rsidRPr="00671D37">
        <w:t xml:space="preserve">by haste, </w:t>
      </w:r>
      <w:r w:rsidRPr="001A46EC">
        <w:t>vanity</w:t>
      </w:r>
      <w:r w:rsidRPr="00671D37">
        <w:t xml:space="preserve">, or </w:t>
      </w:r>
      <w:r w:rsidRPr="001A46EC">
        <w:t>submission</w:t>
      </w:r>
      <w:r w:rsidRPr="00671D37">
        <w:t xml:space="preserve"> to propaganda—it betrays both its audience and its </w:t>
      </w:r>
      <w:r w:rsidRPr="001A46EC">
        <w:t>constitutional</w:t>
      </w:r>
      <w:r w:rsidRPr="00671D37">
        <w:t xml:space="preserve"> justification</w:t>
      </w:r>
      <w:r w:rsidRPr="001A46EC">
        <w:t xml:space="preserve">. A democracy can tolerate biased </w:t>
      </w:r>
      <w:proofErr w:type="gramStart"/>
      <w:r w:rsidRPr="001A46EC">
        <w:t>opinions, but</w:t>
      </w:r>
      <w:proofErr w:type="gramEnd"/>
      <w:r w:rsidRPr="001A46EC">
        <w:t xml:space="preserve"> not fabricated facts. The line between them defines journalism’s claim to public trust. Without factual integrity,</w:t>
      </w:r>
      <w:r w:rsidRPr="00671D37">
        <w:t xml:space="preserve"> freedom </w:t>
      </w:r>
      <w:r w:rsidRPr="001A46EC">
        <w:t>of the press degenerates into license.</w:t>
      </w:r>
    </w:p>
    <w:p w14:paraId="212087E4" w14:textId="77777777" w:rsidR="007827C1" w:rsidRPr="009F2383" w:rsidRDefault="007827C1" w:rsidP="007827C1">
      <w:pPr>
        <w:rPr>
          <w:b/>
        </w:rPr>
      </w:pPr>
      <w:r w:rsidRPr="009F2383">
        <w:rPr>
          <w:b/>
        </w:rPr>
        <w:lastRenderedPageBreak/>
        <w:t xml:space="preserve">Loyalty to </w:t>
      </w:r>
      <w:proofErr w:type="gramStart"/>
      <w:r w:rsidRPr="009F2383">
        <w:rPr>
          <w:b/>
        </w:rPr>
        <w:t>the Public</w:t>
      </w:r>
      <w:proofErr w:type="gramEnd"/>
      <w:r w:rsidRPr="009F2383">
        <w:rPr>
          <w:b/>
        </w:rPr>
        <w:t xml:space="preserve"> Interest</w:t>
      </w:r>
    </w:p>
    <w:p w14:paraId="7809EAB9" w14:textId="77777777" w:rsidR="007827C1" w:rsidRDefault="007827C1" w:rsidP="007827C1">
      <w:r>
        <w:t>“</w:t>
      </w:r>
      <w:r w:rsidRPr="00B64899">
        <w:t>The newspaper’s duty is to its readers and to the public at large, and not to the private interests of the owner.</w:t>
      </w:r>
      <w:r>
        <w:t xml:space="preserve"> </w:t>
      </w:r>
      <w:r w:rsidRPr="00B64899">
        <w:t>In the pursuit of truth, the newspaper shall be prepared to make sacrifices of its material fortunes, if such course be necessary for the public good.</w:t>
      </w:r>
      <w:r>
        <w:t>”</w:t>
      </w:r>
      <w:r>
        <w:rPr>
          <w:rStyle w:val="FootnoteReference"/>
        </w:rPr>
        <w:footnoteReference w:id="77"/>
      </w:r>
      <w:r>
        <w:t>So read</w:t>
      </w:r>
      <w:r>
        <w:t xml:space="preserve"> the </w:t>
      </w:r>
      <w:r w:rsidRPr="009F2383">
        <w:t>Washington Post</w:t>
      </w:r>
      <w:r>
        <w:t xml:space="preserve"> </w:t>
      </w:r>
      <w:r>
        <w:t>Principles phrased</w:t>
      </w:r>
      <w:r>
        <w:t xml:space="preserve"> in 1933</w:t>
      </w:r>
      <w:r>
        <w:t xml:space="preserve"> by the newspaper’s new publisher, Eugene Mayer. These principles were </w:t>
      </w:r>
      <w:r>
        <w:t xml:space="preserve">in force for </w:t>
      </w:r>
      <w:r>
        <w:t>88</w:t>
      </w:r>
      <w:r>
        <w:t xml:space="preserve"> years.</w:t>
      </w:r>
      <w:r>
        <w:t xml:space="preserve"> They no longer are.</w:t>
      </w:r>
      <w:r>
        <w:t xml:space="preserve"> In 2021</w:t>
      </w:r>
      <w:r w:rsidRPr="001A46EC">
        <w:t>,</w:t>
      </w:r>
      <w:r>
        <w:t xml:space="preserve"> they were replaced </w:t>
      </w:r>
      <w:r w:rsidRPr="001A46EC">
        <w:t xml:space="preserve">by new </w:t>
      </w:r>
      <w:r>
        <w:t>“</w:t>
      </w:r>
      <w:r w:rsidRPr="00B64899">
        <w:t>Policies and Standards</w:t>
      </w:r>
      <w:r>
        <w:t>”</w:t>
      </w:r>
      <w:r>
        <w:rPr>
          <w:rStyle w:val="FootnoteReference"/>
        </w:rPr>
        <w:footnoteReference w:id="78"/>
      </w:r>
      <w:r>
        <w:t xml:space="preserve"> </w:t>
      </w:r>
      <w:r w:rsidRPr="001A46EC">
        <w:t xml:space="preserve">that omit any reference to </w:t>
      </w:r>
      <w:r>
        <w:t>the public good</w:t>
      </w:r>
      <w:r w:rsidRPr="001A46EC">
        <w:t>—an apparently minor but telling</w:t>
      </w:r>
      <w:r>
        <w:t xml:space="preserve"> change of ethos.</w:t>
      </w:r>
    </w:p>
    <w:p w14:paraId="2F7EC48D" w14:textId="77777777" w:rsidR="007827C1" w:rsidRPr="000C70F9" w:rsidRDefault="007827C1" w:rsidP="007827C1">
      <w:pPr>
        <w:rPr>
          <w:rtl/>
        </w:rPr>
      </w:pPr>
      <w:r>
        <w:t xml:space="preserve">Scholars have long </w:t>
      </w:r>
      <w:r w:rsidRPr="001A46EC">
        <w:t>conceived of</w:t>
      </w:r>
      <w:r>
        <w:t xml:space="preserve"> the press as owing fiduciary duties to the public. </w:t>
      </w:r>
      <w:r w:rsidRPr="001A46EC">
        <w:t>Jürgen Habermas</w:t>
      </w:r>
      <w:r>
        <w:t xml:space="preserve"> wrote that </w:t>
      </w:r>
      <w:r w:rsidRPr="001A46EC">
        <w:t>“</w:t>
      </w:r>
      <w:r w:rsidRPr="000C70F9">
        <w:t>the mass media ought to understand themselves as the mandatory of an enlightened public whose willingness to learn and capacity for criticism they at once presuppose, demand, and reinforce</w:t>
      </w:r>
      <w:r w:rsidRPr="001A46EC">
        <w:t>.”</w:t>
      </w:r>
      <w:r>
        <w:rPr>
          <w:rStyle w:val="FootnoteReference"/>
          <w:rFonts w:asciiTheme="majorBidi" w:hAnsiTheme="majorBidi" w:cstheme="majorBidi"/>
        </w:rPr>
        <w:footnoteReference w:id="79"/>
      </w:r>
      <w:r w:rsidRPr="001A46EC">
        <w:t xml:space="preserve"> Many press codes </w:t>
      </w:r>
      <w:proofErr w:type="gramStart"/>
      <w:r w:rsidRPr="001A46EC">
        <w:t>echo</w:t>
      </w:r>
      <w:r>
        <w:rPr>
          <w:rFonts w:asciiTheme="majorBidi" w:hAnsiTheme="majorBidi" w:cstheme="majorBidi"/>
        </w:rPr>
        <w:t xml:space="preserve"> </w:t>
      </w:r>
      <w:r w:rsidRPr="000C70F9">
        <w:t xml:space="preserve"> this</w:t>
      </w:r>
      <w:proofErr w:type="gramEnd"/>
      <w:r w:rsidRPr="000C70F9">
        <w:t xml:space="preserve"> </w:t>
      </w:r>
      <w:r w:rsidRPr="001A46EC">
        <w:t>idea</w:t>
      </w:r>
      <w:r w:rsidRPr="000C70F9">
        <w:t xml:space="preserve">. The Canadian </w:t>
      </w:r>
      <w:r w:rsidRPr="001A46EC">
        <w:t>Newspapers</w:t>
      </w:r>
      <w:r w:rsidRPr="000C70F9">
        <w:t xml:space="preserve"> Association’s </w:t>
      </w:r>
      <w:r w:rsidRPr="000C70F9">
        <w:rPr>
          <w:i/>
        </w:rPr>
        <w:t>Statement of Principles</w:t>
      </w:r>
      <w:r w:rsidRPr="001A46EC">
        <w:t xml:space="preserve"> declares:</w:t>
      </w:r>
      <w:r w:rsidRPr="000C70F9">
        <w:rPr>
          <w:rFonts w:asciiTheme="majorBidi" w:hAnsiTheme="majorBidi" w:cstheme="majorBidi"/>
        </w:rPr>
        <w:t xml:space="preserve"> “The</w:t>
      </w:r>
      <w:r w:rsidRPr="00AC33A6">
        <w:rPr>
          <w:rFonts w:asciiTheme="majorBidi" w:hAnsiTheme="majorBidi" w:cstheme="majorBidi"/>
        </w:rPr>
        <w:t xml:space="preserve"> newspaper has responsibilities to its readers, its shareholders, its employees and its advertisers. However, the</w:t>
      </w:r>
      <w:r w:rsidRPr="000C70F9">
        <w:t xml:space="preserve"> operation of a newspaper is a public </w:t>
      </w:r>
      <w:proofErr w:type="gramStart"/>
      <w:r w:rsidRPr="000C70F9">
        <w:t>trust</w:t>
      </w:r>
      <w:proofErr w:type="gramEnd"/>
      <w:r w:rsidRPr="000C70F9">
        <w:t xml:space="preserve"> and its overriding responsibility is to the society it serves.”</w:t>
      </w:r>
      <w:r>
        <w:rPr>
          <w:rStyle w:val="FootnoteReference"/>
          <w:rFonts w:asciiTheme="majorBidi" w:hAnsiTheme="majorBidi" w:cstheme="majorBidi"/>
        </w:rPr>
        <w:footnoteReference w:id="80"/>
      </w:r>
      <w:r>
        <w:rPr>
          <w:rFonts w:asciiTheme="majorBidi" w:hAnsiTheme="majorBidi" w:cstheme="majorBidi"/>
        </w:rPr>
        <w:t xml:space="preserve"> </w:t>
      </w:r>
      <w:r w:rsidRPr="001A46EC">
        <w:t xml:space="preserve"> Similar provisions appear in most of the twenty-seven codes surveyed for this study, typically through rules against conflicts of interest, mixing advertising and editorial content, or succumbing to pressure from sources</w:t>
      </w:r>
      <w:r w:rsidRPr="000C70F9">
        <w:t>.</w:t>
      </w:r>
    </w:p>
    <w:p w14:paraId="2D472D1D" w14:textId="77777777" w:rsidR="007827C1" w:rsidRPr="001A46EC" w:rsidRDefault="007827C1" w:rsidP="007827C1">
      <w:r w:rsidRPr="001A46EC">
        <w:t>Yet what does it mean, in practice, for journalism to serve as a “public trust”? Can commercial media organizations realistically be expected to subordinate their own interests to those of the public? Corporate law instructs managers to maximize shareholder value, and media owners are no exception. But law frequently limits that duty where higher social values are at stake—labor law, environmental law, and consumer protection are familiar examples. A fiduciary duty to the public would similarly constrain corporate discretion, requiring media companies to balance shareholder interests against the public’s right to information and, when necessary, to let the latter prevail.</w:t>
      </w:r>
    </w:p>
    <w:p w14:paraId="1E9A8DD9" w14:textId="77777777" w:rsidR="007827C1" w:rsidRPr="001A46EC" w:rsidRDefault="007827C1" w:rsidP="007827C1">
      <w:r w:rsidRPr="001A46EC">
        <w:t xml:space="preserve">This is not unprecedented. Professionals such as lawyers and physicians routinely place their clients’ or patients’ interests above their own financial advantage. Journalists and editors, as stewards of the public sphere, can be expected to do likewise. The public trust doctrine for journalism would not prohibit partisan ownership or political orientation; a newspaper may still serve ideological purposes. But to qualify for the privileges associated with freedom of the press, an organization should demonstrate </w:t>
      </w:r>
      <w:r w:rsidRPr="001A46EC">
        <w:lastRenderedPageBreak/>
        <w:t>loyalty to the public interest, even when that loyalty conflicts with its owners’ material goals.</w:t>
      </w:r>
    </w:p>
    <w:p w14:paraId="2A408F48" w14:textId="77777777" w:rsidR="007827C1" w:rsidRPr="00C1195B" w:rsidRDefault="007827C1" w:rsidP="007827C1">
      <w:r w:rsidRPr="00C1195B">
        <w:t xml:space="preserve">A limited public-trust </w:t>
      </w:r>
      <w:r w:rsidRPr="001A46EC">
        <w:t xml:space="preserve">framework </w:t>
      </w:r>
      <w:r w:rsidRPr="00C1195B">
        <w:t xml:space="preserve">could translate </w:t>
      </w:r>
      <w:r w:rsidRPr="001A46EC">
        <w:t>this</w:t>
      </w:r>
      <w:r w:rsidRPr="00C1195B">
        <w:t xml:space="preserve"> ethical </w:t>
      </w:r>
      <w:r w:rsidRPr="001A46EC">
        <w:t>ideal</w:t>
      </w:r>
      <w:r w:rsidRPr="00C1195B">
        <w:t xml:space="preserve"> into enforceable </w:t>
      </w:r>
      <w:r w:rsidRPr="001A46EC">
        <w:t>norms</w:t>
      </w:r>
      <w:r w:rsidRPr="00C1195B">
        <w:t xml:space="preserve"> without </w:t>
      </w:r>
      <w:r w:rsidRPr="001A46EC">
        <w:t>threatening free</w:t>
      </w:r>
      <w:r w:rsidRPr="00C1195B">
        <w:t xml:space="preserve"> expression. The analogy to broadcast licensing </w:t>
      </w:r>
      <w:r w:rsidRPr="001A46EC">
        <w:t>offers</w:t>
      </w:r>
      <w:r w:rsidRPr="00C1195B">
        <w:t xml:space="preserve"> precedent</w:t>
      </w:r>
      <w:r w:rsidRPr="001A46EC">
        <w:t xml:space="preserve">: holders of </w:t>
      </w:r>
      <w:r w:rsidRPr="00C1195B">
        <w:t xml:space="preserve">exclusive frequencies accept statutory </w:t>
      </w:r>
      <w:r w:rsidRPr="001A46EC">
        <w:t>obligations</w:t>
      </w:r>
      <w:r w:rsidRPr="00C1195B">
        <w:t xml:space="preserve"> to serve the “public interest, convenience, and necessity.”</w:t>
      </w:r>
      <w:r>
        <w:rPr>
          <w:rStyle w:val="FootnoteReference"/>
        </w:rPr>
        <w:footnoteReference w:id="81"/>
      </w:r>
      <w:r w:rsidRPr="00C1195B">
        <w:t xml:space="preserve"> Extending a proportionate version of that rationale to major news organizations</w:t>
      </w:r>
      <w:r w:rsidRPr="001A46EC">
        <w:t>—those</w:t>
      </w:r>
      <w:r>
        <w:t xml:space="preserve"> that </w:t>
      </w:r>
      <w:r w:rsidRPr="001A46EC">
        <w:t>already</w:t>
      </w:r>
      <w:r>
        <w:t xml:space="preserve"> enjoy </w:t>
      </w:r>
      <w:r w:rsidRPr="001A46EC">
        <w:t>special protections and</w:t>
      </w:r>
      <w:r>
        <w:t xml:space="preserve"> privileges</w:t>
      </w:r>
      <w:r w:rsidRPr="001A46EC">
        <w:t>—</w:t>
      </w:r>
      <w:r w:rsidRPr="00C1195B">
        <w:t xml:space="preserve">would </w:t>
      </w:r>
      <w:r w:rsidRPr="001A46EC">
        <w:t>simply</w:t>
      </w:r>
      <w:r w:rsidRPr="00C1195B">
        <w:t xml:space="preserve"> align privilege with responsibility.</w:t>
      </w:r>
    </w:p>
    <w:p w14:paraId="09C581A5" w14:textId="77777777" w:rsidR="007827C1" w:rsidRPr="00C1195B" w:rsidRDefault="007827C1" w:rsidP="007827C1">
      <w:r w:rsidRPr="00C1195B">
        <w:t xml:space="preserve">Enforcement </w:t>
      </w:r>
      <w:r w:rsidRPr="001A46EC">
        <w:t xml:space="preserve">mechanisms </w:t>
      </w:r>
      <w:r>
        <w:t xml:space="preserve">need not </w:t>
      </w:r>
      <w:r w:rsidRPr="001A46EC">
        <w:t>be</w:t>
      </w:r>
      <w:r w:rsidRPr="00C1195B">
        <w:t xml:space="preserve"> punitive</w:t>
      </w:r>
      <w:r w:rsidRPr="001A46EC">
        <w:t xml:space="preserve">. They might include </w:t>
      </w:r>
      <w:r w:rsidRPr="00C1195B">
        <w:t xml:space="preserve">transparency </w:t>
      </w:r>
      <w:r w:rsidRPr="001A46EC">
        <w:t>requirements</w:t>
      </w:r>
      <w:r w:rsidRPr="00C1195B">
        <w:t>, disclosure of ownership and conflicts</w:t>
      </w:r>
      <w:r w:rsidRPr="001A46EC">
        <w:t xml:space="preserve"> of interest</w:t>
      </w:r>
      <w:r w:rsidRPr="00C1195B">
        <w:t>, or</w:t>
      </w:r>
      <w:r w:rsidRPr="001A46EC">
        <w:t xml:space="preserve"> the</w:t>
      </w:r>
      <w:r w:rsidRPr="00C1195B">
        <w:t xml:space="preserve"> loss of certain privileges for repeated violations of accuracy or independence standards. </w:t>
      </w:r>
      <w:r w:rsidRPr="001A46EC">
        <w:t xml:space="preserve">These tools </w:t>
      </w:r>
      <w:r w:rsidRPr="00C1195B">
        <w:t xml:space="preserve">would internalize fairness </w:t>
      </w:r>
      <w:r w:rsidRPr="001A46EC">
        <w:t xml:space="preserve">and accountability </w:t>
      </w:r>
      <w:r w:rsidRPr="00C1195B">
        <w:t xml:space="preserve">rather than impose censorship. Just as corporate fiduciaries </w:t>
      </w:r>
      <w:r w:rsidRPr="001A46EC">
        <w:t>owe</w:t>
      </w:r>
      <w:r w:rsidRPr="00C1195B">
        <w:t xml:space="preserve"> duties of care and loyalty </w:t>
      </w:r>
      <w:r w:rsidRPr="001A46EC">
        <w:t>enforced</w:t>
      </w:r>
      <w:r w:rsidRPr="00C1195B">
        <w:t xml:space="preserve"> through disclosure and </w:t>
      </w:r>
      <w:r w:rsidRPr="001A46EC">
        <w:t>oversight</w:t>
      </w:r>
      <w:r w:rsidRPr="00C1195B">
        <w:t xml:space="preserve">, journalistic fiduciaries could </w:t>
      </w:r>
      <w:r w:rsidRPr="001A46EC">
        <w:t>bear</w:t>
      </w:r>
      <w:r w:rsidRPr="00C1195B">
        <w:t xml:space="preserve"> analogous obligations tailored to </w:t>
      </w:r>
      <w:r w:rsidRPr="001A46EC">
        <w:t>their societal role: to preserve the integrity of the public’s right to freedom of the press</w:t>
      </w:r>
      <w:r w:rsidRPr="00C1195B">
        <w:t>.</w:t>
      </w:r>
    </w:p>
    <w:p w14:paraId="790B4B2A" w14:textId="77777777" w:rsidR="007827C1" w:rsidRDefault="007827C1" w:rsidP="007827C1"/>
    <w:p w14:paraId="1DEE5328" w14:textId="77777777" w:rsidR="007827C1" w:rsidRDefault="007827C1" w:rsidP="007827C1">
      <w:pPr>
        <w:pStyle w:val="Heading3"/>
        <w:numPr>
          <w:ilvl w:val="0"/>
          <w:numId w:val="1"/>
        </w:numPr>
      </w:pPr>
      <w:r>
        <w:t>Democratic Liberal Mechanisms to enforce duties of the press</w:t>
      </w:r>
    </w:p>
    <w:p w14:paraId="5AF8F52E" w14:textId="77777777" w:rsidR="007827C1" w:rsidRPr="00B52D11" w:rsidRDefault="007827C1" w:rsidP="007827C1">
      <w:r w:rsidRPr="00B52D11">
        <w:t>The opposition to legal intervention in the free operation of the press is perhaps the clearest conclusion from the traditional perception of press freedom.</w:t>
      </w:r>
      <w:r w:rsidRPr="00B52D11">
        <w:footnoteReference w:id="82"/>
      </w:r>
      <w:r w:rsidRPr="00B52D11">
        <w:t xml:space="preserve"> Courts have consistently established that they do not see themselves as qualified or skilled to intervene in journalistic decisions. Court intervention was </w:t>
      </w:r>
      <w:proofErr w:type="gramStart"/>
      <w:r w:rsidRPr="00B52D11">
        <w:t>viewed</w:t>
      </w:r>
      <w:proofErr w:type="gramEnd"/>
      <w:r w:rsidRPr="00B52D11">
        <w:t xml:space="preserve"> a danger to the freedom of the press.</w:t>
      </w:r>
    </w:p>
    <w:p w14:paraId="1BE2C2C6" w14:textId="77777777" w:rsidR="007827C1" w:rsidRPr="00B52D11" w:rsidRDefault="007827C1" w:rsidP="007827C1">
      <w:pPr>
        <w:ind w:firstLine="720"/>
      </w:pPr>
      <w:r>
        <w:t>Such o</w:t>
      </w:r>
      <w:r w:rsidRPr="00B52D11">
        <w:t xml:space="preserve">pposition is based on convincing reasoning. There is no need to explain the fear of giving power to the politicians who </w:t>
      </w:r>
      <w:proofErr w:type="gramStart"/>
      <w:r w:rsidRPr="00B52D11">
        <w:t>shape</w:t>
      </w:r>
      <w:proofErr w:type="gramEnd"/>
      <w:r w:rsidRPr="00B52D11">
        <w:t xml:space="preserve"> the law to limit the </w:t>
      </w:r>
      <w:proofErr w:type="gramStart"/>
      <w:r w:rsidRPr="00B52D11">
        <w:t>press's</w:t>
      </w:r>
      <w:proofErr w:type="gramEnd"/>
      <w:r w:rsidRPr="00B52D11">
        <w:t xml:space="preserve"> activity, one of whose central roles is to criticize them. It is important to clarify which duties it would be improper to impose on the press, even if they seem to support the duties mentioned above. For example, one should not impose a duty of balance between different positions on the pages of a newspaper or the airwaves. A newspaper and its employees are entitled to hold their own opinion, to appeal to a readership that shares those opinions, and to represent them in public discourse. It is possible to fulfill all the duties mentioned in this paper while at the same time taking an ideological line, which is expressed both in opinion articles and in commentaries. These do not contradict the </w:t>
      </w:r>
      <w:proofErr w:type="gramStart"/>
      <w:r w:rsidRPr="00B52D11">
        <w:t>aforementioned duty</w:t>
      </w:r>
      <w:proofErr w:type="gramEnd"/>
      <w:r w:rsidRPr="00B52D11">
        <w:t xml:space="preserve"> of truthful reporting. Likewise, the political regime should not be given the power to impose sanctions on newspapers, such as encumbering their ability </w:t>
      </w:r>
      <w:r w:rsidRPr="00B52D11">
        <w:lastRenderedPageBreak/>
        <w:t>to cover the government's actions, as was done this year when new demands were placed on Pentagon and White House correspondents as a condition for cooperation from the administration.</w:t>
      </w:r>
      <w:r w:rsidRPr="00B64899">
        <w:rPr>
          <w:vertAlign w:val="superscript"/>
        </w:rPr>
        <w:footnoteReference w:id="83"/>
      </w:r>
      <w:r w:rsidRPr="00B64899">
        <w:rPr>
          <w:vertAlign w:val="superscript"/>
        </w:rPr>
        <w:t xml:space="preserve"> </w:t>
      </w:r>
      <w:r w:rsidRPr="00B52D11">
        <w:t>Any media outlet that takes reasonable actions to meet its obligations to the public should enjoy the security of receiving the same treatment as any other media outlet from the government, regardless of its level of criticism.</w:t>
      </w:r>
    </w:p>
    <w:p w14:paraId="6556F055" w14:textId="77777777" w:rsidR="007827C1" w:rsidRPr="00B52D11" w:rsidRDefault="007827C1" w:rsidP="007827C1">
      <w:r w:rsidRPr="00B52D11">
        <w:t>The failure of self-regulation does not justify state regulation that could lead to improper political and governmental intervention in the press's operation. However, these are not the only two possibilities.</w:t>
      </w:r>
    </w:p>
    <w:p w14:paraId="534ED4E1" w14:textId="77777777" w:rsidR="007827C1" w:rsidRPr="00B52D11" w:rsidRDefault="007827C1" w:rsidP="007827C1">
      <w:r w:rsidRPr="00B52D11">
        <w:t>One intermediate model is the one anchored in Britain following the Leveson Inquiry, in which a voluntary body was established to which the media could subscribe. This body takes upon itself the supervision of the media's fulfillment of its duties. A decade after the establishment of IMPRESS in Britain and its competing IPSO, opinions among researchers and media professionals are divided regarding their effectiveness.</w:t>
      </w:r>
      <w:r w:rsidRPr="00B52D11">
        <w:footnoteReference w:id="84"/>
      </w:r>
      <w:r w:rsidRPr="00B52D11">
        <w:t xml:space="preserve"> A major obstacle in the scope and effectiveness of the regulator is the decision by the British government in 2018 not to afford those press organizations that join a recognized regulator the incentives suggested in the Leveson report.</w:t>
      </w:r>
      <w:r w:rsidRPr="00B52D11">
        <w:footnoteReference w:id="85"/>
      </w:r>
      <w:r w:rsidRPr="00B52D11">
        <w:t xml:space="preserve"> Another example can be brought from Denmark, where the rules of journalistic ethics were enshrined in legislation, as well as an enforcement body with statutory powers. The Danish model has enjoyed much more success than its younger brother in Britain, and although membership in the council is voluntary, the vast majority of the large media outlets have subjected themselves to it.</w:t>
      </w:r>
      <w:r w:rsidRPr="00B52D11">
        <w:footnoteReference w:id="86"/>
      </w:r>
    </w:p>
    <w:p w14:paraId="12499A13" w14:textId="77777777" w:rsidR="007827C1" w:rsidRPr="00B52D11" w:rsidRDefault="007827C1" w:rsidP="007827C1">
      <w:r w:rsidRPr="00B52D11">
        <w:t xml:space="preserve">One of the possibilities that </w:t>
      </w:r>
      <w:proofErr w:type="gramStart"/>
      <w:r w:rsidRPr="00B52D11">
        <w:t>opens up</w:t>
      </w:r>
      <w:proofErr w:type="gramEnd"/>
      <w:r w:rsidRPr="00B52D11">
        <w:t xml:space="preserve"> with the establishment of such a body is the distinction for the purpose of granting privileges to the press between those who are subject to its ethical rules and those who are not. Thus, it is possible to grant the media outlets subject to these </w:t>
      </w:r>
      <w:proofErr w:type="gramStart"/>
      <w:r w:rsidRPr="00B52D11">
        <w:t>rules</w:t>
      </w:r>
      <w:proofErr w:type="gramEnd"/>
      <w:r w:rsidRPr="00B52D11">
        <w:t xml:space="preserve"> certain immunity from legal proceedings, access to sources of information, and </w:t>
      </w:r>
      <w:proofErr w:type="gramStart"/>
      <w:r w:rsidRPr="00B52D11">
        <w:t>immunities</w:t>
      </w:r>
      <w:proofErr w:type="gramEnd"/>
      <w:r w:rsidRPr="00B52D11">
        <w:t xml:space="preserve"> for journalists who are willing to commit to operating under the supervision of such a regulatory body.</w:t>
      </w:r>
    </w:p>
    <w:p w14:paraId="2CA898AE" w14:textId="77777777" w:rsidR="007827C1" w:rsidRPr="00B52D11" w:rsidRDefault="007827C1" w:rsidP="007827C1">
      <w:r w:rsidRPr="00B52D11">
        <w:t>The assurance of these privileges, their legal anchoring, and even their expansion beyond what is customary today, for media outlets that would be subject to effective regulation, could serve as an incentive for fulfilling the duties of the press.</w:t>
      </w:r>
    </w:p>
    <w:p w14:paraId="5AF61384" w14:textId="77777777" w:rsidR="007827C1" w:rsidRPr="00B52D11" w:rsidRDefault="007827C1" w:rsidP="007827C1">
      <w:r w:rsidRPr="00B52D11">
        <w:t xml:space="preserve">It must be admitted: these solutions suffer from complex and difficult problems in themselves. However, they show that it is possible to break through the boundaries of </w:t>
      </w:r>
      <w:r w:rsidRPr="00B52D11">
        <w:lastRenderedPageBreak/>
        <w:t>the traditional discussion, which was limited to the binary choice between voluntary self-regulation of the press, which is not effective, and governmental regulation, which has many dangers at its side.</w:t>
      </w:r>
    </w:p>
    <w:p w14:paraId="2D5793A9" w14:textId="77777777" w:rsidR="007827C1" w:rsidRPr="00B52D11" w:rsidRDefault="007827C1" w:rsidP="007827C1">
      <w:r w:rsidRPr="00B52D11">
        <w:t>A different type of legal intervention that should be considered concerns protecting the structure of decision-making in the media and creating incentives that serve the fulfillment of the press's duties. Thus, limiting the ability of publishers to interfere in the work of editors and journalists may protect those who act out of a duty of loyalty to the public and not for the sake of promoting other interests. While the traditional perception of press freedom struggles between editors and journalists on the one hand, and publishers on the other.</w:t>
      </w:r>
    </w:p>
    <w:p w14:paraId="13C872AB" w14:textId="77777777" w:rsidR="007827C1" w:rsidRPr="00B52D11" w:rsidRDefault="007827C1" w:rsidP="007827C1">
      <w:r w:rsidRPr="00B52D11">
        <w:t>Indeed, when the freedom of the press is conceptualized as a right of the public, the crucial question is whose actions among the parties fulfill the public's right [9]. This stance clarifies the justification for legal intervention in favor of journalists who act out of loyalty to the public.</w:t>
      </w:r>
    </w:p>
    <w:p w14:paraId="0BE3CD69" w14:textId="77777777" w:rsidR="007827C1" w:rsidRPr="00B52D11" w:rsidRDefault="007827C1" w:rsidP="007827C1">
      <w:r w:rsidRPr="00B52D11">
        <w:t xml:space="preserve">Another possible intervention of the law that could encourage truthful reporting is the appointment of a public </w:t>
      </w:r>
      <w:proofErr w:type="gramStart"/>
      <w:r w:rsidRPr="00B52D11">
        <w:t>complaints</w:t>
      </w:r>
      <w:proofErr w:type="gramEnd"/>
      <w:r w:rsidRPr="00B52D11">
        <w:t xml:space="preserve"> commissioner in independent media bodies (a duty that would be for members of a self-regulatory body of the type described above). </w:t>
      </w:r>
      <w:proofErr w:type="gramStart"/>
      <w:r w:rsidRPr="00B52D11">
        <w:t>Similar to</w:t>
      </w:r>
      <w:proofErr w:type="gramEnd"/>
      <w:r w:rsidRPr="00B52D11">
        <w:t xml:space="preserve"> auditors, internal controllers in other bodies, and holders of other positions, these individuals could, especially if their powers and roles are defined in law, create internal professional pressure on the media to meet its obligations.</w:t>
      </w:r>
    </w:p>
    <w:p w14:paraId="26C09260" w14:textId="649F7475" w:rsidR="007827C1" w:rsidRDefault="007827C1" w:rsidP="007827C1">
      <w:r w:rsidRPr="00B52D11">
        <w:t xml:space="preserve">Of course, there will be cases in which both sides act for the good of the public out of different legitimate perceptions of </w:t>
      </w:r>
      <w:proofErr w:type="gramStart"/>
      <w:r w:rsidRPr="00B52D11">
        <w:t>its</w:t>
      </w:r>
      <w:proofErr w:type="gramEnd"/>
      <w:r w:rsidRPr="00B52D11">
        <w:t xml:space="preserve"> good. The proposed conceptual framework is mainly relevant to those cases in which it can be determined that one of the parties promotes the public interest more than the other.</w:t>
      </w:r>
      <w:r>
        <w:rPr>
          <w:rFonts w:eastAsia="Times New Roman" w:cs="Times New Roman"/>
        </w:rPr>
        <w:br/>
      </w:r>
      <w:r>
        <w:rPr>
          <w:rFonts w:eastAsia="Times New Roman" w:cs="Times New Roman"/>
        </w:rPr>
        <w:br/>
      </w:r>
    </w:p>
    <w:p w14:paraId="373E03FF" w14:textId="77777777" w:rsidR="00C649C5" w:rsidRDefault="00C649C5" w:rsidP="00565AF2">
      <w:pPr>
        <w:rPr>
          <w:rFonts w:eastAsia="Calibri"/>
        </w:rPr>
      </w:pPr>
    </w:p>
    <w:p w14:paraId="3A2DBF4A" w14:textId="77777777" w:rsidR="00565AF2" w:rsidRDefault="00565AF2" w:rsidP="00565AF2"/>
    <w:p w14:paraId="485455B2" w14:textId="77777777" w:rsidR="00565AF2" w:rsidRPr="00D4322B" w:rsidRDefault="00565AF2" w:rsidP="00D4322B"/>
    <w:p w14:paraId="6A78AED4" w14:textId="77777777" w:rsidR="00D4322B" w:rsidRDefault="00D4322B"/>
    <w:sectPr w:rsidR="00D4322B" w:rsidSect="00D4322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B6D6" w14:textId="77777777" w:rsidR="00A8579B" w:rsidRDefault="00A8579B" w:rsidP="00D4322B">
      <w:pPr>
        <w:spacing w:after="0" w:line="240" w:lineRule="auto"/>
      </w:pPr>
      <w:r>
        <w:separator/>
      </w:r>
    </w:p>
  </w:endnote>
  <w:endnote w:type="continuationSeparator" w:id="0">
    <w:p w14:paraId="7CAE3E32" w14:textId="77777777" w:rsidR="00A8579B" w:rsidRDefault="00A8579B" w:rsidP="00D4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7BBC0" w14:textId="77777777" w:rsidR="00A8579B" w:rsidRDefault="00A8579B" w:rsidP="00D4322B">
      <w:pPr>
        <w:spacing w:after="0" w:line="240" w:lineRule="auto"/>
      </w:pPr>
      <w:r>
        <w:separator/>
      </w:r>
    </w:p>
  </w:footnote>
  <w:footnote w:type="continuationSeparator" w:id="0">
    <w:p w14:paraId="63766095" w14:textId="77777777" w:rsidR="00A8579B" w:rsidRDefault="00A8579B" w:rsidP="00D4322B">
      <w:pPr>
        <w:spacing w:after="0" w:line="240" w:lineRule="auto"/>
      </w:pPr>
      <w:r>
        <w:continuationSeparator/>
      </w:r>
    </w:p>
  </w:footnote>
  <w:footnote w:id="1">
    <w:p w14:paraId="742EF407"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CBS v. Democratic National Committee, 412 U.S. 94, 125 (1973).</w:t>
      </w:r>
    </w:p>
  </w:footnote>
  <w:footnote w:id="2">
    <w:p w14:paraId="48549F5D"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Id, 121.</w:t>
      </w:r>
    </w:p>
  </w:footnote>
  <w:footnote w:id="3">
    <w:p w14:paraId="71727F22"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Miami Herald Publishing Co. v. Tornillo, 418 U.S. 241, 258 (1974)</w:t>
      </w:r>
      <w:r w:rsidRPr="000740B7">
        <w:rPr>
          <w:rFonts w:asciiTheme="majorBidi" w:hAnsiTheme="majorBidi" w:cstheme="majorBidi"/>
          <w:rtl/>
        </w:rPr>
        <w:t>.</w:t>
      </w:r>
    </w:p>
  </w:footnote>
  <w:footnote w:id="4">
    <w:p w14:paraId="50843F13" w14:textId="77777777" w:rsidR="00D4322B" w:rsidRPr="000740B7" w:rsidRDefault="00D4322B" w:rsidP="00D4322B">
      <w:pPr>
        <w:pStyle w:val="FootnoteText"/>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w:t>
      </w:r>
      <w:r w:rsidRPr="000740B7">
        <w:rPr>
          <w:rFonts w:asciiTheme="majorBidi" w:hAnsiTheme="majorBidi" w:cstheme="majorBidi"/>
          <w:color w:val="222222"/>
          <w:shd w:val="clear" w:color="auto" w:fill="FFFFFF"/>
        </w:rPr>
        <w:t>Zhang v. Baidu.com Inc., 10 F. Supp. 3d 433 (S.D.N.Y. 2014).</w:t>
      </w:r>
    </w:p>
  </w:footnote>
  <w:footnote w:id="5">
    <w:p w14:paraId="7C74A253"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See: Manhattan Community Access Corp. v. Halleck, 587 U.S. ___ (2019).</w:t>
      </w:r>
    </w:p>
  </w:footnote>
  <w:footnote w:id="6">
    <w:p w14:paraId="6B98A026"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See: Moody v. </w:t>
      </w:r>
      <w:proofErr w:type="spellStart"/>
      <w:r w:rsidRPr="000740B7">
        <w:rPr>
          <w:rFonts w:asciiTheme="majorBidi" w:hAnsiTheme="majorBidi" w:cstheme="majorBidi"/>
        </w:rPr>
        <w:t>NetChoice</w:t>
      </w:r>
      <w:proofErr w:type="spellEnd"/>
      <w:r w:rsidRPr="000740B7">
        <w:rPr>
          <w:rFonts w:asciiTheme="majorBidi" w:hAnsiTheme="majorBidi" w:cstheme="majorBidi"/>
        </w:rPr>
        <w:t>, LLC, 603 U.S. ___ (2024).</w:t>
      </w:r>
    </w:p>
  </w:footnote>
  <w:footnote w:id="7">
    <w:p w14:paraId="6CE2E2D5"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See for example: First National Bank of Boston v. Bellotti, 435 U.S. 765 (1978); Meredith Corp. v. FCC, 809 F. 2d 863 (D.C. Cir. 1987); Hustler Magazine v. Falwell, 485 U.S. 46 (1988); Citizens United v. Federal Elections Commission, 558 U.S. 310 (2010); McCutcheon v. Federal Election Commission, 572 U.S. (2014).</w:t>
      </w:r>
    </w:p>
  </w:footnote>
  <w:footnote w:id="8">
    <w:p w14:paraId="5724FA1E"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Potter Stewart, Or of the Press, 26 HASTINGS L.J. 631 (1974)</w:t>
      </w:r>
    </w:p>
  </w:footnote>
  <w:footnote w:id="9">
    <w:p w14:paraId="409C2ABD"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Id, 635.</w:t>
      </w:r>
    </w:p>
  </w:footnote>
  <w:footnote w:id="10">
    <w:p w14:paraId="42206655"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Those being Hawaii and Wyoming. See: Olivia S. Hiltbrand, </w:t>
      </w:r>
      <w:r w:rsidRPr="000740B7">
        <w:rPr>
          <w:rFonts w:asciiTheme="majorBidi" w:hAnsiTheme="majorBidi" w:cstheme="majorBidi"/>
          <w:i/>
          <w:iCs/>
        </w:rPr>
        <w:t xml:space="preserve">Protecting Promises: Shielding Journalists Against Compelled Disclosure, </w:t>
      </w:r>
      <w:r w:rsidRPr="000740B7">
        <w:rPr>
          <w:rFonts w:asciiTheme="majorBidi" w:hAnsiTheme="majorBidi" w:cstheme="majorBidi"/>
        </w:rPr>
        <w:t xml:space="preserve">First Amendment Law Review (forthcoming 2026), </w:t>
      </w:r>
    </w:p>
  </w:footnote>
  <w:footnote w:id="11">
    <w:p w14:paraId="7002A444" w14:textId="77777777" w:rsidR="00D4322B" w:rsidRDefault="00D4322B" w:rsidP="00D4322B">
      <w:pPr>
        <w:pStyle w:val="FootnoteText"/>
      </w:pPr>
      <w:r>
        <w:rPr>
          <w:rStyle w:val="FootnoteReference"/>
        </w:rPr>
        <w:footnoteRef/>
      </w:r>
      <w:r>
        <w:t xml:space="preserve"> In the words of </w:t>
      </w:r>
      <w:r w:rsidRPr="007A5246">
        <w:t>John Peters and Kenneth Cmiel</w:t>
      </w:r>
      <w:r>
        <w:t xml:space="preserve"> as cited in: </w:t>
      </w:r>
      <w:r w:rsidRPr="00B52D11">
        <w:t xml:space="preserve">Theodore L. Glasser &amp; Morgan N. Weiland, </w:t>
      </w:r>
      <w:r w:rsidRPr="00B52D11">
        <w:rPr>
          <w:i/>
          <w:iCs/>
        </w:rPr>
        <w:t>On the Unfortunate Divide Between Media Ethics and Media Law</w:t>
      </w:r>
      <w:r w:rsidRPr="00B52D11">
        <w:t>, in The Routledge Handbook of Mass Media Ethics 59, 59 (Lee Wilkins &amp; Clifford G. Christians eds., 2020)</w:t>
      </w:r>
    </w:p>
  </w:footnote>
  <w:footnote w:id="12">
    <w:p w14:paraId="3064B94B"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w:t>
      </w:r>
      <w:r w:rsidRPr="000740B7">
        <w:rPr>
          <w:rFonts w:asciiTheme="majorBidi" w:hAnsiTheme="majorBidi" w:cstheme="majorBidi"/>
          <w:smallCaps/>
        </w:rPr>
        <w:t>Joseph Raz</w:t>
      </w:r>
      <w:r w:rsidRPr="000740B7">
        <w:rPr>
          <w:rFonts w:asciiTheme="majorBidi" w:hAnsiTheme="majorBidi" w:cstheme="majorBidi"/>
        </w:rPr>
        <w:t xml:space="preserve">, </w:t>
      </w:r>
      <w:r w:rsidRPr="000740B7">
        <w:rPr>
          <w:rFonts w:asciiTheme="majorBidi" w:hAnsiTheme="majorBidi" w:cstheme="majorBidi"/>
          <w:smallCaps/>
        </w:rPr>
        <w:t>The Morality of Freedom</w:t>
      </w:r>
      <w:r w:rsidRPr="000740B7">
        <w:rPr>
          <w:rFonts w:asciiTheme="majorBidi" w:hAnsiTheme="majorBidi" w:cstheme="majorBidi"/>
        </w:rPr>
        <w:t xml:space="preserve"> 166 (1986). Needless to see this is not the only definition of rights or discussion of their nature. Other conceptions of rights make a sharper distinction between the different types of rights. For example, Wesley Newcomb </w:t>
      </w:r>
      <w:proofErr w:type="spellStart"/>
      <w:r w:rsidRPr="000740B7">
        <w:rPr>
          <w:rFonts w:asciiTheme="majorBidi" w:hAnsiTheme="majorBidi" w:cstheme="majorBidi"/>
        </w:rPr>
        <w:t>Hohfeld</w:t>
      </w:r>
      <w:proofErr w:type="spellEnd"/>
      <w:r w:rsidRPr="000740B7">
        <w:rPr>
          <w:rFonts w:asciiTheme="majorBidi" w:hAnsiTheme="majorBidi" w:cstheme="majorBidi"/>
        </w:rPr>
        <w:t xml:space="preserve"> distinguished between "freedoms" (which he called privileges) and "rights", see: Wesley Newcomb Hohfeld, </w:t>
      </w:r>
      <w:r w:rsidRPr="000740B7">
        <w:rPr>
          <w:rFonts w:asciiTheme="majorBidi" w:hAnsiTheme="majorBidi" w:cstheme="majorBidi"/>
          <w:i/>
          <w:iCs/>
        </w:rPr>
        <w:t xml:space="preserve">Fundamental Legal Concepts as Applied in Judicial </w:t>
      </w:r>
      <w:proofErr w:type="gramStart"/>
      <w:r w:rsidRPr="000740B7">
        <w:rPr>
          <w:rFonts w:asciiTheme="majorBidi" w:hAnsiTheme="majorBidi" w:cstheme="majorBidi"/>
          <w:i/>
          <w:iCs/>
        </w:rPr>
        <w:t>Reasoning</w:t>
      </w:r>
      <w:r w:rsidRPr="000740B7">
        <w:rPr>
          <w:rFonts w:asciiTheme="majorBidi" w:hAnsiTheme="majorBidi" w:cstheme="majorBidi"/>
        </w:rPr>
        <w:t>,  26</w:t>
      </w:r>
      <w:proofErr w:type="gramEnd"/>
      <w:r w:rsidRPr="000740B7">
        <w:rPr>
          <w:rFonts w:asciiTheme="majorBidi" w:hAnsiTheme="majorBidi" w:cstheme="majorBidi"/>
        </w:rPr>
        <w:t xml:space="preserve"> </w:t>
      </w:r>
      <w:r w:rsidRPr="000740B7">
        <w:rPr>
          <w:rFonts w:asciiTheme="majorBidi" w:hAnsiTheme="majorBidi" w:cstheme="majorBidi"/>
          <w:smallCaps/>
        </w:rPr>
        <w:t>Yale L.J.</w:t>
      </w:r>
      <w:r w:rsidRPr="000740B7">
        <w:rPr>
          <w:rFonts w:asciiTheme="majorBidi" w:hAnsiTheme="majorBidi" w:cstheme="majorBidi"/>
        </w:rPr>
        <w:t xml:space="preserve"> 710 (1917). For more information, see: Leif Wenar, </w:t>
      </w:r>
      <w:r w:rsidRPr="000740B7">
        <w:rPr>
          <w:rFonts w:asciiTheme="majorBidi" w:hAnsiTheme="majorBidi" w:cstheme="majorBidi"/>
          <w:i/>
          <w:iCs/>
        </w:rPr>
        <w:t>The Nature of Rights</w:t>
      </w:r>
      <w:r w:rsidRPr="000740B7">
        <w:rPr>
          <w:rFonts w:asciiTheme="majorBidi" w:hAnsiTheme="majorBidi" w:cstheme="majorBidi"/>
        </w:rPr>
        <w:t xml:space="preserve">, 33 </w:t>
      </w:r>
      <w:r w:rsidRPr="000740B7">
        <w:rPr>
          <w:rFonts w:asciiTheme="majorBidi" w:hAnsiTheme="majorBidi" w:cstheme="majorBidi"/>
          <w:smallCaps/>
        </w:rPr>
        <w:t xml:space="preserve">Phil.&amp; </w:t>
      </w:r>
      <w:proofErr w:type="spellStart"/>
      <w:r w:rsidRPr="000740B7">
        <w:rPr>
          <w:rFonts w:asciiTheme="majorBidi" w:hAnsiTheme="majorBidi" w:cstheme="majorBidi"/>
          <w:smallCaps/>
        </w:rPr>
        <w:t>Pub.Aff</w:t>
      </w:r>
      <w:proofErr w:type="spellEnd"/>
      <w:r w:rsidRPr="000740B7">
        <w:rPr>
          <w:rFonts w:asciiTheme="majorBidi" w:hAnsiTheme="majorBidi" w:cstheme="majorBidi"/>
          <w:smallCaps/>
        </w:rPr>
        <w:t>.</w:t>
      </w:r>
      <w:r w:rsidRPr="000740B7">
        <w:rPr>
          <w:rFonts w:asciiTheme="majorBidi" w:hAnsiTheme="majorBidi" w:cstheme="majorBidi"/>
        </w:rPr>
        <w:t xml:space="preserve"> 223 (2005)); </w:t>
      </w:r>
      <w:r w:rsidRPr="000740B7">
        <w:rPr>
          <w:rFonts w:asciiTheme="majorBidi" w:hAnsiTheme="majorBidi" w:cstheme="majorBidi"/>
          <w:smallCaps/>
        </w:rPr>
        <w:t>Jeremy Waldron</w:t>
      </w:r>
      <w:r w:rsidRPr="000740B7">
        <w:rPr>
          <w:rFonts w:asciiTheme="majorBidi" w:hAnsiTheme="majorBidi" w:cstheme="majorBidi"/>
        </w:rPr>
        <w:t xml:space="preserve">, </w:t>
      </w:r>
      <w:r w:rsidRPr="000740B7">
        <w:rPr>
          <w:rFonts w:asciiTheme="majorBidi" w:hAnsiTheme="majorBidi" w:cstheme="majorBidi"/>
          <w:smallCaps/>
        </w:rPr>
        <w:t>Theories of Rights</w:t>
      </w:r>
      <w:r w:rsidRPr="000740B7">
        <w:rPr>
          <w:rFonts w:asciiTheme="majorBidi" w:hAnsiTheme="majorBidi" w:cstheme="majorBidi"/>
        </w:rPr>
        <w:t xml:space="preserve"> 6–7 (1984</w:t>
      </w:r>
      <w:proofErr w:type="gramStart"/>
      <w:r w:rsidRPr="000740B7">
        <w:rPr>
          <w:rFonts w:asciiTheme="majorBidi" w:hAnsiTheme="majorBidi" w:cstheme="majorBidi"/>
        </w:rPr>
        <w:t>);Gopal</w:t>
      </w:r>
      <w:proofErr w:type="gramEnd"/>
      <w:r w:rsidRPr="000740B7">
        <w:rPr>
          <w:rFonts w:asciiTheme="majorBidi" w:hAnsiTheme="majorBidi" w:cstheme="majorBidi"/>
        </w:rPr>
        <w:t xml:space="preserve"> Sreenivasan, </w:t>
      </w:r>
      <w:r w:rsidRPr="000740B7">
        <w:rPr>
          <w:rFonts w:asciiTheme="majorBidi" w:hAnsiTheme="majorBidi" w:cstheme="majorBidi"/>
          <w:i/>
          <w:iCs/>
        </w:rPr>
        <w:t>A Hybrid Theory of Claim-Rights</w:t>
      </w:r>
      <w:r w:rsidRPr="000740B7">
        <w:rPr>
          <w:rFonts w:asciiTheme="majorBidi" w:hAnsiTheme="majorBidi" w:cstheme="majorBidi"/>
        </w:rPr>
        <w:t xml:space="preserve">, 25 </w:t>
      </w:r>
      <w:r w:rsidRPr="000740B7">
        <w:rPr>
          <w:rFonts w:asciiTheme="majorBidi" w:hAnsiTheme="majorBidi" w:cstheme="majorBidi"/>
          <w:smallCaps/>
        </w:rPr>
        <w:t>Oxford J. Legal Stud.</w:t>
      </w:r>
      <w:r w:rsidRPr="000740B7">
        <w:rPr>
          <w:rFonts w:asciiTheme="majorBidi" w:hAnsiTheme="majorBidi" w:cstheme="majorBidi"/>
        </w:rPr>
        <w:t xml:space="preserve"> 257 (2005). </w:t>
      </w:r>
    </w:p>
  </w:footnote>
  <w:footnote w:id="13">
    <w:p w14:paraId="23253E00" w14:textId="77777777" w:rsidR="00D4322B" w:rsidRPr="006C345E" w:rsidRDefault="00D4322B" w:rsidP="00D4322B">
      <w:pPr>
        <w:pStyle w:val="FootnoteText"/>
        <w:rPr>
          <w:rFonts w:asciiTheme="majorBidi" w:hAnsiTheme="majorBidi" w:cstheme="majorBidi"/>
        </w:rPr>
      </w:pPr>
      <w:r w:rsidRPr="006C345E">
        <w:rPr>
          <w:rStyle w:val="FootnoteReference"/>
          <w:rFonts w:asciiTheme="majorBidi" w:hAnsiTheme="majorBidi" w:cstheme="majorBidi"/>
        </w:rPr>
        <w:footnoteRef/>
      </w:r>
      <w:r w:rsidRPr="006C345E">
        <w:rPr>
          <w:rFonts w:asciiTheme="majorBidi" w:hAnsiTheme="majorBidi" w:cstheme="majorBidi"/>
        </w:rPr>
        <w:t xml:space="preserve"> Elizabeth Pollman, Reconceiving Corporate Personhood, 2011 UTAH L. REV. 1629, 1633-1639 (2011).</w:t>
      </w:r>
    </w:p>
  </w:footnote>
  <w:footnote w:id="14">
    <w:p w14:paraId="66C851FA"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118 U.S. 394 (1886). Note that the passage determining that corporations can have constitutional rights is not a part of the actual decision </w:t>
      </w:r>
      <w:proofErr w:type="gramStart"/>
      <w:r w:rsidRPr="000740B7">
        <w:rPr>
          <w:rFonts w:asciiTheme="majorBidi" w:hAnsiTheme="majorBidi" w:cstheme="majorBidi"/>
        </w:rPr>
        <w:t>there, but</w:t>
      </w:r>
      <w:proofErr w:type="gramEnd"/>
      <w:r w:rsidRPr="000740B7">
        <w:rPr>
          <w:rFonts w:asciiTheme="majorBidi" w:hAnsiTheme="majorBidi" w:cstheme="majorBidi"/>
        </w:rPr>
        <w:t xml:space="preserve"> rather reported based on oral exchange in the court. See: </w:t>
      </w:r>
      <w:r w:rsidRPr="000740B7">
        <w:rPr>
          <w:rFonts w:asciiTheme="majorBidi" w:hAnsiTheme="majorBidi" w:cstheme="majorBidi"/>
          <w:highlight w:val="yellow"/>
        </w:rPr>
        <w:t>XXX</w:t>
      </w:r>
    </w:p>
  </w:footnote>
  <w:footnote w:id="15">
    <w:p w14:paraId="2DFDC4B4"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For Israel, see </w:t>
      </w:r>
      <w:r w:rsidRPr="000740B7">
        <w:rPr>
          <w:rFonts w:asciiTheme="majorBidi" w:eastAsiaTheme="majorEastAsia" w:hAnsiTheme="majorBidi" w:cstheme="majorBidi"/>
          <w:lang w:val="en"/>
        </w:rPr>
        <w:t>for</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example,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CA</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105/92</w:t>
      </w:r>
      <w:r w:rsidRPr="000740B7">
        <w:rPr>
          <w:rFonts w:asciiTheme="majorBidi" w:hAnsiTheme="majorBidi" w:cstheme="majorBidi"/>
          <w:lang w:val="en"/>
        </w:rPr>
        <w:t xml:space="preserve"> </w:t>
      </w:r>
      <w:proofErr w:type="spellStart"/>
      <w:r w:rsidRPr="000740B7">
        <w:rPr>
          <w:rFonts w:asciiTheme="majorBidi" w:eastAsiaTheme="majorEastAsia" w:hAnsiTheme="majorBidi" w:cstheme="majorBidi"/>
          <w:lang w:val="en"/>
        </w:rPr>
        <w:t>Re'</w:t>
      </w:r>
      <w:r w:rsidRPr="000740B7">
        <w:rPr>
          <w:rFonts w:asciiTheme="majorBidi" w:hAnsiTheme="majorBidi" w:cstheme="majorBidi"/>
          <w:lang w:val="en"/>
        </w:rPr>
        <w:t>em</w:t>
      </w:r>
      <w:proofErr w:type="spellEnd"/>
      <w:r w:rsidRPr="000740B7">
        <w:rPr>
          <w:rFonts w:asciiTheme="majorBidi" w:hAnsiTheme="majorBidi" w:cstheme="majorBidi"/>
          <w:lang w:val="en"/>
        </w:rPr>
        <w:t xml:space="preserve"> </w:t>
      </w:r>
      <w:r w:rsidRPr="000740B7">
        <w:rPr>
          <w:rFonts w:asciiTheme="majorBidi" w:eastAsiaTheme="majorEastAsia" w:hAnsiTheme="majorBidi" w:cstheme="majorBidi"/>
          <w:lang w:val="en"/>
        </w:rPr>
        <w:t>Engineers</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Contractors</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Ltd</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v.</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Municipality</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Nazareth</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Illit,</w:t>
      </w:r>
      <w:r w:rsidRPr="000740B7">
        <w:rPr>
          <w:rFonts w:asciiTheme="majorBidi" w:hAnsiTheme="majorBidi" w:cstheme="majorBidi"/>
          <w:lang w:val="en"/>
        </w:rPr>
        <w:t xml:space="preserve"> </w:t>
      </w:r>
      <w:proofErr w:type="spellStart"/>
      <w:r w:rsidRPr="000740B7">
        <w:rPr>
          <w:rFonts w:asciiTheme="majorBidi" w:eastAsiaTheme="majorEastAsia" w:hAnsiTheme="majorBidi" w:cstheme="majorBidi"/>
          <w:lang w:val="en"/>
        </w:rPr>
        <w:t>IsrSC</w:t>
      </w:r>
      <w:proofErr w:type="spellEnd"/>
      <w:r w:rsidRPr="000740B7">
        <w:rPr>
          <w:rFonts w:asciiTheme="majorBidi" w:hAnsiTheme="majorBidi" w:cstheme="majorBidi"/>
          <w:lang w:val="en"/>
        </w:rPr>
        <w:t xml:space="preserve"> </w:t>
      </w:r>
      <w:r w:rsidRPr="000740B7">
        <w:rPr>
          <w:rFonts w:asciiTheme="majorBidi" w:eastAsiaTheme="majorEastAsia" w:hAnsiTheme="majorBidi" w:cstheme="majorBidi"/>
          <w:lang w:val="en"/>
        </w:rPr>
        <w:t>47(5)</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189,</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214</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(1993);</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HCJ</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4593/05</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Mizrahi</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Bank</w:t>
      </w:r>
      <w:r w:rsidRPr="000740B7">
        <w:rPr>
          <w:rFonts w:asciiTheme="majorBidi" w:hAnsiTheme="majorBidi" w:cstheme="majorBidi"/>
          <w:lang w:val="en"/>
        </w:rPr>
        <w:t xml:space="preserve"> Ltd. </w:t>
      </w:r>
      <w:r w:rsidRPr="000740B7">
        <w:rPr>
          <w:rFonts w:asciiTheme="majorBidi" w:eastAsiaTheme="majorEastAsia" w:hAnsiTheme="majorBidi" w:cstheme="majorBidi"/>
          <w:lang w:val="en"/>
        </w:rPr>
        <w:t>v.</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Prime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Minister</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para.</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10</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the </w:t>
      </w:r>
      <w:r w:rsidRPr="000740B7">
        <w:rPr>
          <w:rFonts w:asciiTheme="majorBidi" w:eastAsiaTheme="majorEastAsia" w:hAnsiTheme="majorBidi" w:cstheme="majorBidi"/>
          <w:lang w:val="en"/>
        </w:rPr>
        <w:t>judgment</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President</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Barak</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(published</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in</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Nevo,</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September</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20,</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2006).</w:t>
      </w:r>
    </w:p>
  </w:footnote>
  <w:footnote w:id="16">
    <w:p w14:paraId="7B7001E8"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w:t>
      </w:r>
      <w:r w:rsidRPr="000740B7">
        <w:rPr>
          <w:rFonts w:asciiTheme="majorBidi" w:eastAsiaTheme="majorEastAsia" w:hAnsiTheme="majorBidi" w:cstheme="majorBidi"/>
          <w:lang w:val="en"/>
        </w:rPr>
        <w:t>Tamara</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Piety,</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Against</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Freedom</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Commercial</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Expression,</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29</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Cardozo</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L.</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Rev.</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2853</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(2008). For</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an</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intermediate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position,</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which</w:t>
      </w:r>
      <w:r w:rsidRPr="000740B7">
        <w:rPr>
          <w:rFonts w:asciiTheme="majorBidi" w:hAnsiTheme="majorBidi" w:cstheme="majorBidi"/>
          <w:lang w:val="en"/>
        </w:rPr>
        <w:t xml:space="preserve"> holds that </w:t>
      </w:r>
      <w:r w:rsidRPr="000740B7">
        <w:rPr>
          <w:rFonts w:asciiTheme="majorBidi" w:eastAsiaTheme="majorEastAsia" w:hAnsiTheme="majorBidi" w:cstheme="majorBidi"/>
          <w:lang w:val="en"/>
        </w:rPr>
        <w:t>corporations</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have</w:t>
      </w:r>
      <w:r w:rsidRPr="000740B7">
        <w:rPr>
          <w:rFonts w:asciiTheme="majorBidi" w:hAnsiTheme="majorBidi" w:cstheme="majorBidi"/>
          <w:lang w:val="en"/>
        </w:rPr>
        <w:t xml:space="preserve"> a </w:t>
      </w:r>
      <w:r w:rsidRPr="000740B7">
        <w:rPr>
          <w:rFonts w:asciiTheme="majorBidi" w:eastAsiaTheme="majorEastAsia" w:hAnsiTheme="majorBidi" w:cstheme="majorBidi"/>
          <w:lang w:val="en"/>
        </w:rPr>
        <w:t>right</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to</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freedom</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expression,</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but</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as</w:t>
      </w:r>
      <w:r w:rsidRPr="000740B7">
        <w:rPr>
          <w:rFonts w:asciiTheme="majorBidi" w:hAnsiTheme="majorBidi" w:cstheme="majorBidi"/>
          <w:lang w:val="en"/>
        </w:rPr>
        <w:t xml:space="preserve"> a </w:t>
      </w:r>
      <w:r w:rsidRPr="000740B7">
        <w:rPr>
          <w:rFonts w:asciiTheme="majorBidi" w:eastAsiaTheme="majorEastAsia" w:hAnsiTheme="majorBidi" w:cstheme="majorBidi"/>
          <w:lang w:val="en"/>
        </w:rPr>
        <w:t>right</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derived</w:t>
      </w:r>
      <w:r w:rsidRPr="000740B7">
        <w:rPr>
          <w:rFonts w:asciiTheme="majorBidi" w:hAnsiTheme="majorBidi" w:cstheme="majorBidi"/>
          <w:lang w:val="en"/>
        </w:rPr>
        <w:t xml:space="preserve"> from </w:t>
      </w:r>
      <w:r w:rsidRPr="000740B7">
        <w:rPr>
          <w:rFonts w:asciiTheme="majorBidi" w:eastAsiaTheme="majorEastAsia" w:hAnsiTheme="majorBidi" w:cstheme="majorBidi"/>
          <w:lang w:val="en"/>
        </w:rPr>
        <w:t>that</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those</w:t>
      </w:r>
      <w:r w:rsidRPr="000740B7">
        <w:rPr>
          <w:rFonts w:asciiTheme="majorBidi" w:hAnsiTheme="majorBidi" w:cstheme="majorBidi"/>
          <w:lang w:val="en"/>
        </w:rPr>
        <w:t xml:space="preserve"> exposed </w:t>
      </w:r>
      <w:r w:rsidRPr="000740B7">
        <w:rPr>
          <w:rFonts w:asciiTheme="majorBidi" w:eastAsiaTheme="majorEastAsia" w:hAnsiTheme="majorBidi" w:cstheme="majorBidi"/>
          <w:lang w:val="en"/>
        </w:rPr>
        <w:t>to</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the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expression,</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see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Meir</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Dan-Cohen,</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Freedom</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Collective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Speech:</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A</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Theory</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of</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Protected</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Communications</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by</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Organizations,</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Communities</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and</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the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State,</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79</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Cal.</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L.</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Rev.</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1229,</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1244–48</w:t>
      </w:r>
      <w:r w:rsidRPr="000740B7">
        <w:rPr>
          <w:rFonts w:asciiTheme="majorBidi" w:hAnsiTheme="majorBidi" w:cstheme="majorBidi"/>
          <w:lang w:val="en"/>
        </w:rPr>
        <w:t xml:space="preserve"> </w:t>
      </w:r>
      <w:r w:rsidRPr="000740B7">
        <w:rPr>
          <w:rFonts w:asciiTheme="majorBidi" w:eastAsiaTheme="majorEastAsia" w:hAnsiTheme="majorBidi" w:cstheme="majorBidi"/>
          <w:lang w:val="en"/>
        </w:rPr>
        <w:t>(1991).</w:t>
      </w:r>
    </w:p>
  </w:footnote>
  <w:footnote w:id="17">
    <w:p w14:paraId="13061D4A" w14:textId="77777777" w:rsidR="00D4322B" w:rsidRPr="000740B7" w:rsidRDefault="00D4322B" w:rsidP="00D4322B">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Most recently </w:t>
      </w:r>
      <w:proofErr w:type="gramStart"/>
      <w:r w:rsidRPr="000740B7">
        <w:rPr>
          <w:rFonts w:asciiTheme="majorBidi" w:hAnsiTheme="majorBidi" w:cstheme="majorBidi"/>
        </w:rPr>
        <w:t>in:</w:t>
      </w:r>
      <w:proofErr w:type="gramEnd"/>
      <w:r w:rsidRPr="000740B7">
        <w:rPr>
          <w:rFonts w:asciiTheme="majorBidi" w:hAnsiTheme="majorBidi" w:cstheme="majorBidi"/>
        </w:rPr>
        <w:t xml:space="preserve"> 303 Creative LLC v. Elenis, 600 U.S. ___ (2023). See also: Citizens United v. FEC, 558 US 310 (2010) and Burwell v. Hobby Lobby Stores, Inc., 573 U.S. 682 (2014).</w:t>
      </w:r>
    </w:p>
  </w:footnote>
  <w:footnote w:id="18">
    <w:p w14:paraId="08103F58" w14:textId="77777777" w:rsidR="00565AF2" w:rsidRPr="000740B7" w:rsidRDefault="00565AF2" w:rsidP="00565AF2">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For other justifications see: </w:t>
      </w:r>
      <w:r w:rsidRPr="000740B7">
        <w:rPr>
          <w:rFonts w:asciiTheme="majorBidi" w:hAnsiTheme="majorBidi" w:cstheme="majorBidi"/>
          <w:smallCaps/>
        </w:rPr>
        <w:t>Lee C. Bollinger</w:t>
      </w:r>
      <w:r w:rsidRPr="000740B7">
        <w:rPr>
          <w:rFonts w:asciiTheme="majorBidi" w:hAnsiTheme="majorBidi" w:cstheme="majorBidi"/>
        </w:rPr>
        <w:t xml:space="preserve">, </w:t>
      </w:r>
      <w:r w:rsidRPr="000740B7">
        <w:rPr>
          <w:rFonts w:asciiTheme="majorBidi" w:hAnsiTheme="majorBidi" w:cstheme="majorBidi"/>
          <w:smallCaps/>
        </w:rPr>
        <w:t>The Tolerant Society: Freedom of Speech and Extremist Speech in America</w:t>
      </w:r>
      <w:r w:rsidRPr="000740B7">
        <w:rPr>
          <w:rFonts w:asciiTheme="majorBidi" w:hAnsiTheme="majorBidi" w:cstheme="majorBidi"/>
        </w:rPr>
        <w:t xml:space="preserve"> (1986) (promotion of tolerance); Vincent Blasi, </w:t>
      </w:r>
      <w:r w:rsidRPr="000740B7">
        <w:rPr>
          <w:rFonts w:asciiTheme="majorBidi" w:hAnsiTheme="majorBidi" w:cstheme="majorBidi"/>
          <w:i/>
          <w:iCs/>
        </w:rPr>
        <w:t>The Checking Value in First Amendment Theory</w:t>
      </w:r>
      <w:r w:rsidRPr="000740B7">
        <w:rPr>
          <w:rFonts w:asciiTheme="majorBidi" w:hAnsiTheme="majorBidi" w:cstheme="majorBidi"/>
        </w:rPr>
        <w:t xml:space="preserve">, 2 </w:t>
      </w:r>
      <w:r w:rsidRPr="000740B7">
        <w:rPr>
          <w:rFonts w:asciiTheme="majorBidi" w:hAnsiTheme="majorBidi" w:cstheme="majorBidi"/>
          <w:smallCaps/>
        </w:rPr>
        <w:t>Am. Bar Found. Res. J.</w:t>
      </w:r>
      <w:r w:rsidRPr="000740B7">
        <w:rPr>
          <w:rFonts w:asciiTheme="majorBidi" w:hAnsiTheme="majorBidi" w:cstheme="majorBidi"/>
        </w:rPr>
        <w:t xml:space="preserve"> 521 (1977) (deterrence from corruption); Kent Greenawalt, </w:t>
      </w:r>
      <w:r w:rsidRPr="000740B7">
        <w:rPr>
          <w:rFonts w:asciiTheme="majorBidi" w:hAnsiTheme="majorBidi" w:cstheme="majorBidi"/>
          <w:i/>
          <w:iCs/>
        </w:rPr>
        <w:t>Free Speech Justifications</w:t>
      </w:r>
      <w:r w:rsidRPr="000740B7">
        <w:rPr>
          <w:rFonts w:asciiTheme="majorBidi" w:hAnsiTheme="majorBidi" w:cstheme="majorBidi"/>
        </w:rPr>
        <w:t xml:space="preserve">, 89 </w:t>
      </w:r>
      <w:r w:rsidRPr="000740B7">
        <w:rPr>
          <w:rFonts w:asciiTheme="majorBidi" w:hAnsiTheme="majorBidi" w:cstheme="majorBidi"/>
          <w:smallCaps/>
        </w:rPr>
        <w:t>Colum. L. Rev.</w:t>
      </w:r>
      <w:r w:rsidRPr="000740B7">
        <w:rPr>
          <w:rFonts w:asciiTheme="majorBidi" w:hAnsiTheme="majorBidi" w:cstheme="majorBidi"/>
        </w:rPr>
        <w:t xml:space="preserve"> 119 (1989) (social stability and other “non utilitarian” justifications). See also:  </w:t>
      </w:r>
      <w:r w:rsidRPr="000740B7">
        <w:rPr>
          <w:rFonts w:asciiTheme="majorBidi" w:hAnsiTheme="majorBidi" w:cstheme="majorBidi"/>
          <w:smallCaps/>
        </w:rPr>
        <w:t>Thomas Irwin Emerson</w:t>
      </w:r>
      <w:r w:rsidRPr="000740B7">
        <w:rPr>
          <w:rFonts w:asciiTheme="majorBidi" w:hAnsiTheme="majorBidi" w:cstheme="majorBidi"/>
        </w:rPr>
        <w:t xml:space="preserve">, </w:t>
      </w:r>
      <w:r w:rsidRPr="000740B7">
        <w:rPr>
          <w:rFonts w:asciiTheme="majorBidi" w:hAnsiTheme="majorBidi" w:cstheme="majorBidi"/>
          <w:smallCaps/>
        </w:rPr>
        <w:t>The System of Freedom of Expression</w:t>
      </w:r>
      <w:r w:rsidRPr="000740B7">
        <w:rPr>
          <w:rFonts w:asciiTheme="majorBidi" w:hAnsiTheme="majorBidi" w:cstheme="majorBidi"/>
        </w:rPr>
        <w:t xml:space="preserve"> (1971); </w:t>
      </w:r>
      <w:r w:rsidRPr="000740B7">
        <w:rPr>
          <w:rFonts w:asciiTheme="majorBidi" w:hAnsiTheme="majorBidi" w:cstheme="majorBidi"/>
          <w:smallCaps/>
        </w:rPr>
        <w:t>Alexander Meiklejohn</w:t>
      </w:r>
      <w:r w:rsidRPr="000740B7">
        <w:rPr>
          <w:rFonts w:asciiTheme="majorBidi" w:hAnsiTheme="majorBidi" w:cstheme="majorBidi"/>
        </w:rPr>
        <w:t xml:space="preserve">, </w:t>
      </w:r>
      <w:r w:rsidRPr="000740B7">
        <w:rPr>
          <w:rFonts w:asciiTheme="majorBidi" w:hAnsiTheme="majorBidi" w:cstheme="majorBidi"/>
          <w:smallCaps/>
        </w:rPr>
        <w:t>Free Speech and Its Relation to Self-Government</w:t>
      </w:r>
      <w:r w:rsidRPr="000740B7">
        <w:rPr>
          <w:rFonts w:asciiTheme="majorBidi" w:hAnsiTheme="majorBidi" w:cstheme="majorBidi"/>
        </w:rPr>
        <w:t xml:space="preserve"> (1948); </w:t>
      </w:r>
      <w:r w:rsidRPr="000740B7">
        <w:rPr>
          <w:rFonts w:asciiTheme="majorBidi" w:hAnsiTheme="majorBidi" w:cstheme="majorBidi"/>
          <w:smallCaps/>
        </w:rPr>
        <w:t>Kevin C. O’Rourke</w:t>
      </w:r>
      <w:r w:rsidRPr="000740B7">
        <w:rPr>
          <w:rFonts w:asciiTheme="majorBidi" w:hAnsiTheme="majorBidi" w:cstheme="majorBidi"/>
        </w:rPr>
        <w:t xml:space="preserve">, </w:t>
      </w:r>
      <w:r w:rsidRPr="000740B7">
        <w:rPr>
          <w:rFonts w:asciiTheme="majorBidi" w:hAnsiTheme="majorBidi" w:cstheme="majorBidi"/>
          <w:smallCaps/>
        </w:rPr>
        <w:t xml:space="preserve">John Stuart Mill and Freedom of </w:t>
      </w:r>
      <w:proofErr w:type="gramStart"/>
      <w:r w:rsidRPr="000740B7">
        <w:rPr>
          <w:rFonts w:asciiTheme="majorBidi" w:hAnsiTheme="majorBidi" w:cstheme="majorBidi"/>
          <w:smallCaps/>
        </w:rPr>
        <w:t>Expression :</w:t>
      </w:r>
      <w:proofErr w:type="gramEnd"/>
      <w:r w:rsidRPr="000740B7">
        <w:rPr>
          <w:rFonts w:asciiTheme="majorBidi" w:hAnsiTheme="majorBidi" w:cstheme="majorBidi"/>
          <w:smallCaps/>
        </w:rPr>
        <w:t xml:space="preserve"> The Genesis of a Theory</w:t>
      </w:r>
      <w:r w:rsidRPr="000740B7">
        <w:rPr>
          <w:rFonts w:asciiTheme="majorBidi" w:hAnsiTheme="majorBidi" w:cstheme="majorBidi"/>
        </w:rPr>
        <w:t xml:space="preserve"> 75–144 (2001).</w:t>
      </w:r>
    </w:p>
  </w:footnote>
  <w:footnote w:id="19">
    <w:p w14:paraId="725AD50E" w14:textId="77777777" w:rsidR="00565AF2" w:rsidRPr="000740B7" w:rsidRDefault="00565AF2" w:rsidP="00565AF2">
      <w:pPr>
        <w:pStyle w:val="FootnoteText"/>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Laurence Tribe, American Constitutional Law 5</w:t>
      </w:r>
      <w:r w:rsidRPr="000740B7">
        <w:rPr>
          <w:rFonts w:asciiTheme="majorBidi" w:hAnsiTheme="majorBidi" w:cstheme="majorBidi"/>
          <w:rtl/>
        </w:rPr>
        <w:t>78</w:t>
      </w:r>
      <w:r w:rsidRPr="000740B7">
        <w:rPr>
          <w:rFonts w:asciiTheme="majorBidi" w:hAnsiTheme="majorBidi" w:cstheme="majorBidi"/>
        </w:rPr>
        <w:t xml:space="preserve"> (1978)</w:t>
      </w:r>
    </w:p>
  </w:footnote>
  <w:footnote w:id="20">
    <w:p w14:paraId="21AC5BDF" w14:textId="77777777" w:rsidR="00565AF2" w:rsidRPr="000740B7" w:rsidRDefault="00565AF2" w:rsidP="00565AF2">
      <w:pPr>
        <w:pStyle w:val="a"/>
        <w:jc w:val="both"/>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w:t>
      </w:r>
      <w:r w:rsidRPr="000740B7">
        <w:rPr>
          <w:rFonts w:asciiTheme="majorBidi" w:hAnsiTheme="majorBidi" w:cstheme="majorBidi"/>
          <w:smallCaps/>
        </w:rPr>
        <w:t>Schauer</w:t>
      </w:r>
      <w:r w:rsidRPr="000740B7">
        <w:rPr>
          <w:rFonts w:asciiTheme="majorBidi" w:hAnsiTheme="majorBidi" w:cstheme="majorBidi"/>
        </w:rPr>
        <w:t>, supra note 10, at pp. 55, 67.</w:t>
      </w:r>
    </w:p>
  </w:footnote>
  <w:footnote w:id="21">
    <w:p w14:paraId="6C4D2F22" w14:textId="77777777" w:rsidR="00565AF2" w:rsidRPr="000740B7" w:rsidRDefault="00565AF2" w:rsidP="00565AF2">
      <w:pPr>
        <w:pStyle w:val="FootnoteText"/>
        <w:rPr>
          <w:rFonts w:asciiTheme="majorBidi" w:hAnsiTheme="majorBidi" w:cstheme="majorBidi"/>
          <w:smallCaps/>
        </w:rPr>
      </w:pPr>
      <w:r w:rsidRPr="000740B7">
        <w:rPr>
          <w:rStyle w:val="FootnoteReference"/>
          <w:rFonts w:asciiTheme="majorBidi" w:hAnsiTheme="majorBidi" w:cstheme="majorBidi"/>
        </w:rPr>
        <w:footnoteRef/>
      </w:r>
      <w:r w:rsidRPr="000740B7">
        <w:rPr>
          <w:rFonts w:asciiTheme="majorBidi" w:hAnsiTheme="majorBidi" w:cstheme="majorBidi"/>
        </w:rPr>
        <w:t xml:space="preserve"> Jeffrey Abramson, Elizabeth Bussiere, </w:t>
      </w:r>
      <w:r w:rsidRPr="000740B7">
        <w:rPr>
          <w:rFonts w:asciiTheme="majorBidi" w:hAnsiTheme="majorBidi" w:cstheme="majorBidi"/>
          <w:i/>
          <w:iCs/>
        </w:rPr>
        <w:t xml:space="preserve">Free Speech and Free Press: A Communitarian Perspective, </w:t>
      </w:r>
      <w:r w:rsidRPr="000740B7">
        <w:rPr>
          <w:rFonts w:asciiTheme="majorBidi" w:hAnsiTheme="majorBidi" w:cstheme="majorBidi"/>
        </w:rPr>
        <w:t xml:space="preserve">in: </w:t>
      </w:r>
      <w:r w:rsidRPr="000740B7">
        <w:rPr>
          <w:rFonts w:asciiTheme="majorBidi" w:hAnsiTheme="majorBidi" w:cstheme="majorBidi"/>
          <w:smallCaps/>
        </w:rPr>
        <w:t xml:space="preserve">New </w:t>
      </w:r>
    </w:p>
    <w:p w14:paraId="6816233C" w14:textId="77777777" w:rsidR="00565AF2" w:rsidRPr="000740B7" w:rsidRDefault="00565AF2" w:rsidP="00565AF2">
      <w:pPr>
        <w:pStyle w:val="FootnoteText"/>
        <w:rPr>
          <w:rFonts w:asciiTheme="majorBidi" w:hAnsiTheme="majorBidi" w:cstheme="majorBidi"/>
        </w:rPr>
      </w:pPr>
      <w:r w:rsidRPr="000740B7">
        <w:rPr>
          <w:rFonts w:asciiTheme="majorBidi" w:hAnsiTheme="majorBidi" w:cstheme="majorBidi"/>
          <w:smallCaps/>
        </w:rPr>
        <w:t>Communitarian Thinking: Persons, Virtues, Institutions, and Communities</w:t>
      </w:r>
      <w:r w:rsidRPr="000740B7">
        <w:rPr>
          <w:rFonts w:asciiTheme="majorBidi" w:hAnsiTheme="majorBidi" w:cstheme="majorBidi"/>
        </w:rPr>
        <w:t xml:space="preserve"> 218, 219 (Amitai Etzioni, ed., 1995)</w:t>
      </w:r>
    </w:p>
  </w:footnote>
  <w:footnote w:id="22">
    <w:p w14:paraId="3452A69D" w14:textId="77777777" w:rsidR="00565AF2" w:rsidRPr="000740B7" w:rsidRDefault="00565AF2" w:rsidP="00565AF2">
      <w:pPr>
        <w:pStyle w:val="a"/>
        <w:jc w:val="both"/>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w:t>
      </w:r>
      <w:r w:rsidRPr="000740B7">
        <w:rPr>
          <w:rFonts w:asciiTheme="majorBidi" w:hAnsiTheme="majorBidi" w:cstheme="majorBidi"/>
          <w:smallCaps/>
        </w:rPr>
        <w:t>Milton</w:t>
      </w:r>
      <w:r w:rsidRPr="000740B7">
        <w:rPr>
          <w:rFonts w:asciiTheme="majorBidi" w:hAnsiTheme="majorBidi" w:cstheme="majorBidi"/>
        </w:rPr>
        <w:t xml:space="preserve"> </w:t>
      </w:r>
      <w:r w:rsidRPr="000740B7">
        <w:rPr>
          <w:rFonts w:asciiTheme="majorBidi" w:hAnsiTheme="majorBidi" w:cstheme="majorBidi"/>
          <w:highlight w:val="yellow"/>
        </w:rPr>
        <w:t>XXX</w:t>
      </w:r>
    </w:p>
  </w:footnote>
  <w:footnote w:id="23">
    <w:p w14:paraId="61CEAB80" w14:textId="77777777" w:rsidR="00565AF2" w:rsidRPr="000740B7" w:rsidRDefault="00565AF2" w:rsidP="00565AF2">
      <w:pPr>
        <w:pStyle w:val="a"/>
        <w:jc w:val="both"/>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Abrams v. United States, 250 U.S. 616, 631 (1919).</w:t>
      </w:r>
    </w:p>
  </w:footnote>
  <w:footnote w:id="24">
    <w:p w14:paraId="50963EDE" w14:textId="77777777" w:rsidR="00565AF2" w:rsidRPr="000740B7" w:rsidRDefault="00565AF2" w:rsidP="00565AF2">
      <w:pPr>
        <w:pStyle w:val="a"/>
        <w:jc w:val="both"/>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Ibid. </w:t>
      </w:r>
    </w:p>
  </w:footnote>
  <w:footnote w:id="25">
    <w:p w14:paraId="2EF69DAC" w14:textId="77777777" w:rsidR="00565AF2" w:rsidRPr="000740B7" w:rsidRDefault="00565AF2" w:rsidP="00565AF2">
      <w:pPr>
        <w:pStyle w:val="a"/>
        <w:jc w:val="both"/>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w:t>
      </w:r>
      <w:r w:rsidRPr="000740B7">
        <w:rPr>
          <w:rFonts w:asciiTheme="majorBidi" w:hAnsiTheme="majorBidi" w:cstheme="majorBidi"/>
          <w:smallCaps/>
        </w:rPr>
        <w:t>Walter Bagehot</w:t>
      </w:r>
      <w:r w:rsidRPr="000740B7">
        <w:rPr>
          <w:rFonts w:asciiTheme="majorBidi" w:hAnsiTheme="majorBidi" w:cstheme="majorBidi"/>
        </w:rPr>
        <w:t xml:space="preserve">, </w:t>
      </w:r>
      <w:r w:rsidRPr="000740B7">
        <w:rPr>
          <w:rFonts w:asciiTheme="majorBidi" w:hAnsiTheme="majorBidi" w:cstheme="majorBidi"/>
          <w:smallCaps/>
        </w:rPr>
        <w:t>The English Constitution</w:t>
      </w:r>
      <w:r w:rsidRPr="000740B7">
        <w:rPr>
          <w:rFonts w:asciiTheme="majorBidi" w:hAnsiTheme="majorBidi" w:cstheme="majorBidi"/>
        </w:rPr>
        <w:t xml:space="preserve"> 30 (</w:t>
      </w:r>
      <w:proofErr w:type="gramStart"/>
      <w:r w:rsidRPr="000740B7">
        <w:rPr>
          <w:rFonts w:asciiTheme="majorBidi" w:hAnsiTheme="majorBidi" w:cstheme="majorBidi"/>
        </w:rPr>
        <w:t>2rd</w:t>
      </w:r>
      <w:proofErr w:type="gramEnd"/>
      <w:r w:rsidRPr="000740B7">
        <w:rPr>
          <w:rFonts w:asciiTheme="majorBidi" w:hAnsiTheme="majorBidi" w:cstheme="majorBidi"/>
        </w:rPr>
        <w:t xml:space="preserve"> ed. 1873) </w:t>
      </w:r>
      <w:proofErr w:type="gramStart"/>
      <w:r w:rsidRPr="000740B7">
        <w:rPr>
          <w:rFonts w:asciiTheme="majorBidi" w:hAnsiTheme="majorBidi" w:cstheme="majorBidi"/>
        </w:rPr>
        <w:t>http://socserv2.socsci.mcmaster.ca/econ/ugcm/3ll3/bagehot/constitution.pdf .</w:t>
      </w:r>
      <w:proofErr w:type="gramEnd"/>
    </w:p>
  </w:footnote>
  <w:footnote w:id="26">
    <w:p w14:paraId="460B8CDA" w14:textId="77777777" w:rsidR="00565AF2" w:rsidRPr="000740B7" w:rsidRDefault="00565AF2" w:rsidP="00565AF2">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Eugene Volokh, </w:t>
      </w:r>
      <w:r w:rsidRPr="000740B7">
        <w:rPr>
          <w:rFonts w:asciiTheme="majorBidi" w:hAnsiTheme="majorBidi" w:cstheme="majorBidi"/>
          <w:i/>
          <w:iCs/>
        </w:rPr>
        <w:t>Freedom for the Press as an Industry, or for the Press as a Technology- From the Framing to Today</w:t>
      </w:r>
      <w:r w:rsidRPr="000740B7">
        <w:rPr>
          <w:rFonts w:asciiTheme="majorBidi" w:hAnsiTheme="majorBidi" w:cstheme="majorBidi"/>
        </w:rPr>
        <w:t xml:space="preserve">, 160 </w:t>
      </w:r>
      <w:r w:rsidRPr="000740B7">
        <w:rPr>
          <w:rFonts w:asciiTheme="majorBidi" w:hAnsiTheme="majorBidi" w:cstheme="majorBidi"/>
          <w:smallCaps/>
        </w:rPr>
        <w:t>U. Pa. L. Rev</w:t>
      </w:r>
      <w:r w:rsidRPr="000740B7">
        <w:rPr>
          <w:rFonts w:asciiTheme="majorBidi" w:hAnsiTheme="majorBidi" w:cstheme="majorBidi"/>
        </w:rPr>
        <w:t>. 459, 463 (2012)</w:t>
      </w:r>
    </w:p>
  </w:footnote>
  <w:footnote w:id="27">
    <w:p w14:paraId="442757F8" w14:textId="77777777" w:rsidR="00565AF2" w:rsidRPr="000740B7" w:rsidRDefault="00565AF2" w:rsidP="00565AF2">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Greenawalt, </w:t>
      </w:r>
      <w:proofErr w:type="gramStart"/>
      <w:r w:rsidRPr="000740B7">
        <w:rPr>
          <w:rFonts w:asciiTheme="majorBidi" w:hAnsiTheme="majorBidi" w:cstheme="majorBidi"/>
          <w:i/>
          <w:iCs/>
        </w:rPr>
        <w:t>Supra</w:t>
      </w:r>
      <w:proofErr w:type="gramEnd"/>
      <w:r w:rsidRPr="000740B7">
        <w:rPr>
          <w:rFonts w:asciiTheme="majorBidi" w:hAnsiTheme="majorBidi" w:cstheme="majorBidi"/>
        </w:rPr>
        <w:t xml:space="preserve"> </w:t>
      </w:r>
      <w:proofErr w:type="spellStart"/>
      <w:r w:rsidRPr="000740B7">
        <w:rPr>
          <w:rFonts w:asciiTheme="majorBidi" w:hAnsiTheme="majorBidi" w:cstheme="majorBidi"/>
        </w:rPr>
        <w:t>fn</w:t>
      </w:r>
      <w:proofErr w:type="spellEnd"/>
      <w:r w:rsidRPr="000740B7">
        <w:rPr>
          <w:rFonts w:asciiTheme="majorBidi" w:hAnsiTheme="majorBidi" w:cstheme="majorBidi"/>
        </w:rPr>
        <w:t xml:space="preserve"> </w:t>
      </w:r>
      <w:r w:rsidRPr="000740B7">
        <w:rPr>
          <w:rFonts w:asciiTheme="majorBidi" w:hAnsiTheme="majorBidi" w:cstheme="majorBidi"/>
        </w:rPr>
        <w:fldChar w:fldCharType="begin"/>
      </w:r>
      <w:r w:rsidRPr="000740B7">
        <w:rPr>
          <w:rFonts w:asciiTheme="majorBidi" w:hAnsiTheme="majorBidi" w:cstheme="majorBidi"/>
        </w:rPr>
        <w:instrText xml:space="preserve"> NOTEREF _Ref211164027 \h  \* MERGEFORMAT </w:instrText>
      </w:r>
      <w:r w:rsidRPr="000740B7">
        <w:rPr>
          <w:rFonts w:asciiTheme="majorBidi" w:hAnsiTheme="majorBidi" w:cstheme="majorBidi"/>
        </w:rPr>
      </w:r>
      <w:r w:rsidRPr="000740B7">
        <w:rPr>
          <w:rFonts w:asciiTheme="majorBidi" w:hAnsiTheme="majorBidi" w:cstheme="majorBidi"/>
        </w:rPr>
        <w:fldChar w:fldCharType="separate"/>
      </w:r>
      <w:r w:rsidRPr="000740B7">
        <w:rPr>
          <w:rFonts w:asciiTheme="majorBidi" w:hAnsiTheme="majorBidi" w:cstheme="majorBidi"/>
        </w:rPr>
        <w:t>17</w:t>
      </w:r>
      <w:r w:rsidRPr="000740B7">
        <w:rPr>
          <w:rFonts w:asciiTheme="majorBidi" w:hAnsiTheme="majorBidi" w:cstheme="majorBidi"/>
        </w:rPr>
        <w:fldChar w:fldCharType="end"/>
      </w:r>
      <w:r w:rsidRPr="000740B7">
        <w:rPr>
          <w:rFonts w:asciiTheme="majorBidi" w:hAnsiTheme="majorBidi" w:cstheme="majorBidi"/>
        </w:rPr>
        <w:t>.</w:t>
      </w:r>
    </w:p>
  </w:footnote>
  <w:footnote w:id="28">
    <w:p w14:paraId="34669797" w14:textId="77777777" w:rsidR="00565AF2" w:rsidRPr="000740B7" w:rsidRDefault="00565AF2" w:rsidP="00565AF2">
      <w:pPr>
        <w:pStyle w:val="a"/>
        <w:jc w:val="both"/>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Melville B. Nimmer, Introduction–Is Freedom of the Press a Redundancy: What Does it Add to Freedom of Speech, 26 </w:t>
      </w:r>
      <w:r w:rsidRPr="000740B7">
        <w:rPr>
          <w:rFonts w:asciiTheme="majorBidi" w:hAnsiTheme="majorBidi" w:cstheme="majorBidi"/>
          <w:smallCaps/>
        </w:rPr>
        <w:t>Hastings L.J.</w:t>
      </w:r>
      <w:r w:rsidRPr="000740B7">
        <w:rPr>
          <w:rFonts w:asciiTheme="majorBidi" w:hAnsiTheme="majorBidi" w:cstheme="majorBidi"/>
        </w:rPr>
        <w:t xml:space="preserve"> 639, 640 (1974).</w:t>
      </w:r>
    </w:p>
  </w:footnote>
  <w:footnote w:id="29">
    <w:p w14:paraId="5ED2552B" w14:textId="77777777" w:rsidR="00565AF2" w:rsidRPr="000740B7" w:rsidRDefault="00565AF2" w:rsidP="00565AF2">
      <w:pPr>
        <w:pStyle w:val="a"/>
        <w:jc w:val="both"/>
        <w:rPr>
          <w:rFonts w:asciiTheme="majorBidi" w:hAnsiTheme="majorBidi" w:cstheme="majorBidi"/>
          <w:rtl/>
        </w:rPr>
      </w:pPr>
      <w:r w:rsidRPr="000740B7">
        <w:rPr>
          <w:rStyle w:val="FootnoteReference"/>
          <w:rFonts w:asciiTheme="majorBidi" w:hAnsiTheme="majorBidi" w:cstheme="majorBidi"/>
        </w:rPr>
        <w:footnoteRef/>
      </w:r>
      <w:r w:rsidRPr="000740B7">
        <w:rPr>
          <w:rFonts w:asciiTheme="majorBidi" w:hAnsiTheme="majorBidi" w:cstheme="majorBidi"/>
        </w:rPr>
        <w:t xml:space="preserve"> It can be argued that society </w:t>
      </w:r>
      <w:proofErr w:type="gramStart"/>
      <w:r w:rsidRPr="000740B7">
        <w:rPr>
          <w:rFonts w:asciiTheme="majorBidi" w:hAnsiTheme="majorBidi" w:cstheme="majorBidi"/>
        </w:rPr>
        <w:t>as a whole also</w:t>
      </w:r>
      <w:proofErr w:type="gramEnd"/>
      <w:r w:rsidRPr="000740B7">
        <w:rPr>
          <w:rFonts w:asciiTheme="majorBidi" w:hAnsiTheme="majorBidi" w:cstheme="majorBidi"/>
        </w:rPr>
        <w:t xml:space="preserve"> has an interest in having autonomous individuals whose personalities are developed to their satisfaction. However, such a statement will render any distinction between an individual right and a public interest meaningless, since it is always possible to claim that a company has an interest in which the rights of the individual will be respected.</w:t>
      </w:r>
    </w:p>
  </w:footnote>
  <w:footnote w:id="30">
    <w:p w14:paraId="461A403E" w14:textId="77777777" w:rsidR="00565AF2" w:rsidRPr="000740B7" w:rsidRDefault="00565AF2" w:rsidP="00565AF2">
      <w:pPr>
        <w:pStyle w:val="FootnoteText"/>
        <w:rPr>
          <w:rFonts w:asciiTheme="majorBidi" w:hAnsiTheme="majorBidi" w:cstheme="majorBidi"/>
        </w:rPr>
      </w:pPr>
      <w:r w:rsidRPr="000740B7">
        <w:rPr>
          <w:rStyle w:val="FootnoteReference"/>
          <w:rFonts w:asciiTheme="majorBidi" w:hAnsiTheme="majorBidi" w:cstheme="majorBidi"/>
        </w:rPr>
        <w:footnoteRef/>
      </w:r>
      <w:r w:rsidRPr="000740B7">
        <w:rPr>
          <w:rFonts w:asciiTheme="majorBidi" w:hAnsiTheme="majorBidi" w:cstheme="majorBidi"/>
        </w:rPr>
        <w:t xml:space="preserve"> Supra, </w:t>
      </w:r>
      <w:proofErr w:type="spellStart"/>
      <w:r w:rsidRPr="000740B7">
        <w:rPr>
          <w:rFonts w:asciiTheme="majorBidi" w:hAnsiTheme="majorBidi" w:cstheme="majorBidi"/>
        </w:rPr>
        <w:t>fn</w:t>
      </w:r>
      <w:proofErr w:type="spellEnd"/>
      <w:r w:rsidRPr="000740B7">
        <w:rPr>
          <w:rFonts w:asciiTheme="majorBidi" w:hAnsiTheme="majorBidi" w:cstheme="majorBidi"/>
        </w:rPr>
        <w:t xml:space="preserve"> </w:t>
      </w:r>
      <w:r w:rsidRPr="000740B7">
        <w:rPr>
          <w:rFonts w:asciiTheme="majorBidi" w:hAnsiTheme="majorBidi" w:cstheme="majorBidi"/>
        </w:rPr>
        <w:fldChar w:fldCharType="begin"/>
      </w:r>
      <w:r w:rsidRPr="000740B7">
        <w:rPr>
          <w:rFonts w:asciiTheme="majorBidi" w:hAnsiTheme="majorBidi" w:cstheme="majorBidi"/>
        </w:rPr>
        <w:instrText xml:space="preserve"> NOTEREF _Ref212036513 \h  \* MERGEFORMAT </w:instrText>
      </w:r>
      <w:r w:rsidRPr="000740B7">
        <w:rPr>
          <w:rFonts w:asciiTheme="majorBidi" w:hAnsiTheme="majorBidi" w:cstheme="majorBidi"/>
        </w:rPr>
      </w:r>
      <w:r w:rsidRPr="000740B7">
        <w:rPr>
          <w:rFonts w:asciiTheme="majorBidi" w:hAnsiTheme="majorBidi" w:cstheme="majorBidi"/>
        </w:rPr>
        <w:fldChar w:fldCharType="separate"/>
      </w:r>
      <w:r w:rsidRPr="000740B7">
        <w:rPr>
          <w:rFonts w:asciiTheme="majorBidi" w:hAnsiTheme="majorBidi" w:cstheme="majorBidi"/>
        </w:rPr>
        <w:t>3</w:t>
      </w:r>
      <w:r w:rsidRPr="000740B7">
        <w:rPr>
          <w:rFonts w:asciiTheme="majorBidi" w:hAnsiTheme="majorBidi" w:cstheme="majorBidi"/>
        </w:rPr>
        <w:fldChar w:fldCharType="end"/>
      </w:r>
      <w:r w:rsidRPr="000740B7">
        <w:rPr>
          <w:rFonts w:asciiTheme="majorBidi" w:hAnsiTheme="majorBidi" w:cstheme="majorBidi"/>
        </w:rPr>
        <w:t>.</w:t>
      </w:r>
    </w:p>
  </w:footnote>
  <w:footnote w:id="31">
    <w:p w14:paraId="28D40147" w14:textId="77777777" w:rsidR="00C649C5" w:rsidRDefault="00C649C5" w:rsidP="00C649C5">
      <w:pPr>
        <w:pStyle w:val="FootnoteText"/>
      </w:pPr>
      <w:r>
        <w:rPr>
          <w:rStyle w:val="FootnoteReference"/>
        </w:rPr>
        <w:footnoteRef/>
      </w:r>
      <w:r>
        <w:t xml:space="preserve"> </w:t>
      </w:r>
      <w:r w:rsidRPr="006F2A56">
        <w:rPr>
          <w:highlight w:val="yellow"/>
        </w:rPr>
        <w:t>Some words on the commission</w:t>
      </w:r>
      <w:r>
        <w:t xml:space="preserve"> and on the Leveson report.</w:t>
      </w:r>
    </w:p>
  </w:footnote>
  <w:footnote w:id="32">
    <w:p w14:paraId="6841C14E" w14:textId="77777777" w:rsidR="00C649C5" w:rsidRPr="00585C0C" w:rsidRDefault="00C649C5" w:rsidP="00C649C5">
      <w:pPr>
        <w:pStyle w:val="FootnoteText"/>
        <w:spacing w:before="120" w:after="120"/>
        <w:jc w:val="both"/>
        <w:rPr>
          <w:rFonts w:ascii="Times New Roman" w:hAnsi="Times New Roman"/>
          <w:rtl/>
        </w:rPr>
      </w:pPr>
      <w:r w:rsidRPr="00585C0C">
        <w:rPr>
          <w:rStyle w:val="FootnoteReference"/>
          <w:rFonts w:ascii="Times New Roman" w:hAnsi="Times New Roman"/>
        </w:rPr>
        <w:footnoteRef/>
      </w:r>
      <w:r w:rsidRPr="00585C0C">
        <w:rPr>
          <w:rFonts w:ascii="Times New Roman" w:hAnsi="Times New Roman"/>
          <w:rtl/>
        </w:rPr>
        <w:t xml:space="preserve"> </w:t>
      </w:r>
      <w:r w:rsidRPr="00585C0C">
        <w:rPr>
          <w:rFonts w:ascii="Times New Roman" w:hAnsi="Times New Roman"/>
          <w:smallCaps/>
        </w:rPr>
        <w:t>Robert Hutchins, A Free and Responsible Press</w:t>
      </w:r>
      <w:r w:rsidRPr="00585C0C">
        <w:rPr>
          <w:rFonts w:ascii="Times New Roman" w:hAnsi="Times New Roman"/>
        </w:rPr>
        <w:t xml:space="preserve"> 125 (1947)</w:t>
      </w:r>
      <w:r w:rsidRPr="00585C0C">
        <w:rPr>
          <w:rFonts w:ascii="Times New Roman" w:hAnsi="Times New Roman"/>
          <w:rtl/>
        </w:rPr>
        <w:t>.</w:t>
      </w:r>
    </w:p>
  </w:footnote>
  <w:footnote w:id="33">
    <w:p w14:paraId="3DA1B63C" w14:textId="77777777" w:rsidR="00C649C5" w:rsidRDefault="00C649C5" w:rsidP="00C649C5">
      <w:pPr>
        <w:pStyle w:val="FootnoteText"/>
      </w:pPr>
      <w:r>
        <w:rPr>
          <w:rStyle w:val="FootnoteReference"/>
        </w:rPr>
        <w:footnoteRef/>
      </w:r>
      <w:r>
        <w:rPr>
          <w:rtl/>
        </w:rPr>
        <w:t xml:space="preserve"> </w:t>
      </w:r>
      <w:r>
        <w:t xml:space="preserve">For the foundations of this concept see: </w:t>
      </w:r>
      <w:r w:rsidRPr="00585C0C">
        <w:t xml:space="preserve">Avishai Margalit &amp; Moshe </w:t>
      </w:r>
      <w:proofErr w:type="spellStart"/>
      <w:r w:rsidRPr="00585C0C">
        <w:t>Halbertal</w:t>
      </w:r>
      <w:proofErr w:type="spellEnd"/>
      <w:r w:rsidRPr="00585C0C">
        <w:t xml:space="preserve">, </w:t>
      </w:r>
      <w:r w:rsidRPr="00585C0C">
        <w:rPr>
          <w:i/>
          <w:iCs/>
        </w:rPr>
        <w:t>Liberalism and the Right to Culture</w:t>
      </w:r>
      <w:r w:rsidRPr="00585C0C">
        <w:t xml:space="preserve">, 61(3) </w:t>
      </w:r>
      <w:r w:rsidRPr="00585C0C">
        <w:rPr>
          <w:smallCaps/>
        </w:rPr>
        <w:t>Soc. Res.</w:t>
      </w:r>
      <w:r w:rsidRPr="00585C0C">
        <w:t xml:space="preserve"> 491 (1994)</w:t>
      </w:r>
      <w:r w:rsidRPr="00585C0C">
        <w:rPr>
          <w:rFonts w:hint="cs"/>
          <w:rtl/>
        </w:rPr>
        <w:t>.</w:t>
      </w:r>
    </w:p>
  </w:footnote>
  <w:footnote w:id="34">
    <w:p w14:paraId="7FD90105" w14:textId="77777777" w:rsidR="00C649C5" w:rsidRDefault="00C649C5" w:rsidP="00C649C5">
      <w:pPr>
        <w:pStyle w:val="FootnoteText"/>
      </w:pPr>
      <w:r>
        <w:rPr>
          <w:rStyle w:val="FootnoteReference"/>
        </w:rPr>
        <w:footnoteRef/>
      </w:r>
      <w:r>
        <w:rPr>
          <w:rtl/>
        </w:rPr>
        <w:t xml:space="preserve"> </w:t>
      </w:r>
      <w:r>
        <w:t>Raz, Morality of Freedom, p.208.</w:t>
      </w:r>
    </w:p>
  </w:footnote>
  <w:footnote w:id="35">
    <w:p w14:paraId="43092C3B" w14:textId="77777777" w:rsidR="00C649C5" w:rsidRPr="001425F6" w:rsidRDefault="00C649C5" w:rsidP="00C649C5">
      <w:pPr>
        <w:pStyle w:val="FootnoteText"/>
        <w:rPr>
          <w:smallCaps/>
        </w:rPr>
      </w:pPr>
      <w:r>
        <w:rPr>
          <w:rStyle w:val="FootnoteReference"/>
        </w:rPr>
        <w:footnoteRef/>
      </w:r>
      <w:r>
        <w:rPr>
          <w:rtl/>
        </w:rPr>
        <w:t xml:space="preserve"> </w:t>
      </w:r>
      <w:r w:rsidRPr="001425F6">
        <w:rPr>
          <w:smallCaps/>
        </w:rPr>
        <w:t>Jeremy Bentham, First Principles Preparatory to Constitutional Code 133 (Philip Schofield ed., 1989)</w:t>
      </w:r>
    </w:p>
  </w:footnote>
  <w:footnote w:id="36">
    <w:p w14:paraId="51F2A062" w14:textId="77777777" w:rsidR="00C649C5" w:rsidRDefault="00C649C5" w:rsidP="00C649C5">
      <w:pPr>
        <w:pStyle w:val="FootnoteText"/>
      </w:pPr>
      <w:r>
        <w:rPr>
          <w:rStyle w:val="FootnoteReference"/>
        </w:rPr>
        <w:footnoteRef/>
      </w:r>
      <w:r>
        <w:rPr>
          <w:rtl/>
        </w:rPr>
        <w:t xml:space="preserve"> </w:t>
      </w:r>
      <w:r>
        <w:t>Raz, morality of freedom, 207.</w:t>
      </w:r>
    </w:p>
  </w:footnote>
  <w:footnote w:id="37">
    <w:p w14:paraId="63FFBE58" w14:textId="77777777" w:rsidR="00C649C5" w:rsidRDefault="00C649C5" w:rsidP="00C649C5">
      <w:pPr>
        <w:pStyle w:val="FootnoteText"/>
      </w:pPr>
      <w:r>
        <w:rPr>
          <w:rStyle w:val="FootnoteReference"/>
        </w:rPr>
        <w:footnoteRef/>
      </w:r>
      <w:r>
        <w:rPr>
          <w:rtl/>
        </w:rPr>
        <w:t xml:space="preserve"> </w:t>
      </w:r>
      <w:r>
        <w:t xml:space="preserve">The press, usually a subordinate one, </w:t>
      </w:r>
      <w:r w:rsidRPr="00A84B2D">
        <w:t>fulfills a vital role in dictatorial communities</w:t>
      </w:r>
      <w:r>
        <w:t xml:space="preserve"> as well. Those </w:t>
      </w:r>
      <w:r w:rsidRPr="00A84B2D">
        <w:t>do not contribute to the quality of life of the individuals within them</w:t>
      </w:r>
      <w:r>
        <w:t xml:space="preserve">. They may serve interests of the </w:t>
      </w:r>
      <w:proofErr w:type="gramStart"/>
      <w:r>
        <w:t>regime, but</w:t>
      </w:r>
      <w:proofErr w:type="gramEnd"/>
      <w:r>
        <w:t xml:space="preserve"> are not based on a right</w:t>
      </w:r>
      <w:r w:rsidRPr="00A84B2D">
        <w:t>.</w:t>
      </w:r>
    </w:p>
  </w:footnote>
  <w:footnote w:id="38">
    <w:p w14:paraId="653621A4" w14:textId="77777777" w:rsidR="00C649C5" w:rsidRPr="00891C19" w:rsidRDefault="00C649C5" w:rsidP="00C649C5">
      <w:pPr>
        <w:pStyle w:val="FootnoteText"/>
        <w:rPr>
          <w:rFonts w:asciiTheme="majorBidi" w:hAnsiTheme="majorBidi" w:cstheme="majorBidi"/>
        </w:rPr>
      </w:pPr>
      <w:r w:rsidRPr="00891C19">
        <w:rPr>
          <w:rStyle w:val="FootnoteReference"/>
          <w:rFonts w:asciiTheme="majorBidi" w:hAnsiTheme="majorBidi" w:cstheme="majorBidi"/>
        </w:rPr>
        <w:footnoteRef/>
      </w:r>
      <w:r w:rsidRPr="00891C19">
        <w:rPr>
          <w:rFonts w:asciiTheme="majorBidi" w:hAnsiTheme="majorBidi" w:cstheme="majorBidi"/>
        </w:rPr>
        <w:t xml:space="preserve"> See: Aharon Barak, Constitutional Human Rights and Private Law, 3 REV. CONST. STUD. 218 (1996). </w:t>
      </w:r>
    </w:p>
  </w:footnote>
  <w:footnote w:id="39">
    <w:p w14:paraId="68B56B17" w14:textId="77777777" w:rsidR="00C649C5" w:rsidRPr="00891C19" w:rsidRDefault="00C649C5" w:rsidP="00C649C5">
      <w:pPr>
        <w:pStyle w:val="FootnoteText"/>
        <w:rPr>
          <w:rFonts w:asciiTheme="majorBidi" w:hAnsiTheme="majorBidi" w:cstheme="majorBidi"/>
        </w:rPr>
      </w:pPr>
      <w:r w:rsidRPr="00891C19">
        <w:rPr>
          <w:rStyle w:val="FootnoteReference"/>
          <w:rFonts w:asciiTheme="majorBidi" w:hAnsiTheme="majorBidi" w:cstheme="majorBidi"/>
        </w:rPr>
        <w:footnoteRef/>
      </w:r>
      <w:r w:rsidRPr="00891C19">
        <w:rPr>
          <w:rFonts w:asciiTheme="majorBidi" w:hAnsiTheme="majorBidi" w:cstheme="majorBidi"/>
        </w:rPr>
        <w:t xml:space="preserve"> </w:t>
      </w:r>
      <w:r w:rsidRPr="00891C19">
        <w:rPr>
          <w:rFonts w:asciiTheme="majorBidi" w:hAnsiTheme="majorBidi" w:cstheme="majorBidi"/>
          <w:color w:val="222222"/>
          <w:shd w:val="clear" w:color="auto" w:fill="FFFFFF"/>
        </w:rPr>
        <w:t>Zhang v. Baidu.com Inc., 10 F. Supp. 3d 433 (S.D.N.Y. 2014)</w:t>
      </w:r>
    </w:p>
  </w:footnote>
  <w:footnote w:id="40">
    <w:p w14:paraId="12DA3B62" w14:textId="77777777" w:rsidR="00C649C5" w:rsidRPr="00891C19" w:rsidRDefault="00C649C5" w:rsidP="00C649C5">
      <w:pPr>
        <w:pStyle w:val="FootnoteText"/>
        <w:rPr>
          <w:rFonts w:asciiTheme="majorBidi" w:hAnsiTheme="majorBidi" w:cstheme="majorBidi"/>
          <w:rtl/>
        </w:rPr>
      </w:pPr>
      <w:r w:rsidRPr="00891C19">
        <w:rPr>
          <w:rStyle w:val="FootnoteReference"/>
          <w:rFonts w:asciiTheme="majorBidi" w:hAnsiTheme="majorBidi" w:cstheme="majorBidi"/>
        </w:rPr>
        <w:footnoteRef/>
      </w:r>
      <w:r w:rsidRPr="00891C19">
        <w:rPr>
          <w:rFonts w:asciiTheme="majorBidi" w:hAnsiTheme="majorBidi" w:cstheme="majorBidi"/>
        </w:rPr>
        <w:t xml:space="preserve"> Id, at 9.</w:t>
      </w:r>
    </w:p>
  </w:footnote>
  <w:footnote w:id="41">
    <w:p w14:paraId="5924D2E6" w14:textId="77777777" w:rsidR="00C649C5" w:rsidRPr="00891C19" w:rsidRDefault="00C649C5" w:rsidP="00C649C5">
      <w:pPr>
        <w:pStyle w:val="FootnoteText"/>
        <w:rPr>
          <w:rFonts w:asciiTheme="majorBidi" w:hAnsiTheme="majorBidi" w:cstheme="majorBidi"/>
        </w:rPr>
      </w:pPr>
      <w:r w:rsidRPr="00891C19">
        <w:rPr>
          <w:rStyle w:val="FootnoteReference"/>
          <w:rFonts w:asciiTheme="majorBidi" w:hAnsiTheme="majorBidi" w:cstheme="majorBidi"/>
        </w:rPr>
        <w:footnoteRef/>
      </w:r>
      <w:r w:rsidRPr="00891C19">
        <w:rPr>
          <w:rFonts w:asciiTheme="majorBidi" w:hAnsiTheme="majorBidi" w:cstheme="majorBidi"/>
        </w:rPr>
        <w:t xml:space="preserve"> See </w:t>
      </w:r>
      <w:bookmarkStart w:id="6" w:name="_Hlk210991273"/>
      <w:r w:rsidRPr="00891C19">
        <w:rPr>
          <w:rFonts w:asciiTheme="majorBidi" w:hAnsiTheme="majorBidi" w:cstheme="majorBidi"/>
        </w:rPr>
        <w:t>Miami Herald Publishing Co. v. Tornillo, 418 U.S. 241 (1974)</w:t>
      </w:r>
      <w:r w:rsidRPr="00891C19">
        <w:rPr>
          <w:rFonts w:asciiTheme="majorBidi" w:hAnsiTheme="majorBidi" w:cstheme="majorBidi"/>
          <w:rtl/>
        </w:rPr>
        <w:t>.</w:t>
      </w:r>
      <w:bookmarkEnd w:id="6"/>
    </w:p>
  </w:footnote>
  <w:footnote w:id="42">
    <w:p w14:paraId="74BBB983" w14:textId="77777777" w:rsidR="00C649C5" w:rsidRPr="00891C19" w:rsidRDefault="00C649C5" w:rsidP="00C649C5">
      <w:pPr>
        <w:pStyle w:val="FootnoteText"/>
        <w:rPr>
          <w:rFonts w:asciiTheme="majorBidi" w:hAnsiTheme="majorBidi" w:cstheme="majorBidi"/>
        </w:rPr>
      </w:pPr>
      <w:r w:rsidRPr="00891C19">
        <w:rPr>
          <w:rStyle w:val="FootnoteReference"/>
          <w:rFonts w:asciiTheme="majorBidi" w:hAnsiTheme="majorBidi" w:cstheme="majorBidi"/>
        </w:rPr>
        <w:footnoteRef/>
      </w:r>
      <w:r w:rsidRPr="00891C19">
        <w:rPr>
          <w:rFonts w:asciiTheme="majorBidi" w:hAnsiTheme="majorBidi" w:cstheme="majorBidi"/>
        </w:rPr>
        <w:t xml:space="preserve"> Ronald H. Coase, The Federal Communications Commission, 2 J.L. &amp; ECON. 1, 25-35 (1959)</w:t>
      </w:r>
    </w:p>
  </w:footnote>
  <w:footnote w:id="43">
    <w:p w14:paraId="60C8CF5F" w14:textId="77777777" w:rsidR="00C649C5" w:rsidRPr="00891C19" w:rsidRDefault="00C649C5" w:rsidP="00C649C5">
      <w:pPr>
        <w:pStyle w:val="FootnoteText"/>
        <w:rPr>
          <w:rFonts w:asciiTheme="majorBidi" w:hAnsiTheme="majorBidi" w:cstheme="majorBidi"/>
        </w:rPr>
      </w:pPr>
      <w:r w:rsidRPr="00891C19">
        <w:rPr>
          <w:rStyle w:val="FootnoteReference"/>
          <w:rFonts w:asciiTheme="majorBidi" w:hAnsiTheme="majorBidi" w:cstheme="majorBidi"/>
        </w:rPr>
        <w:footnoteRef/>
      </w:r>
      <w:r w:rsidRPr="00891C19">
        <w:rPr>
          <w:rFonts w:asciiTheme="majorBidi" w:hAnsiTheme="majorBidi" w:cstheme="majorBidi"/>
        </w:rPr>
        <w:t xml:space="preserve"> See: Roscoe L. Barrow, The Fairness Doctrine: A Double Standard for Electronic and Print Media, 26 HASTINGS L.J. 659, 701–702 (1974)</w:t>
      </w:r>
    </w:p>
  </w:footnote>
  <w:footnote w:id="44">
    <w:p w14:paraId="12C86839" w14:textId="77777777" w:rsidR="00C649C5" w:rsidRDefault="00C649C5" w:rsidP="00C649C5">
      <w:pPr>
        <w:pStyle w:val="FootnoteText"/>
      </w:pPr>
      <w:r w:rsidRPr="004501C4">
        <w:rPr>
          <w:rStyle w:val="FootnoteReference"/>
        </w:rPr>
        <w:footnoteRef/>
      </w:r>
      <w:r w:rsidRPr="004501C4">
        <w:t xml:space="preserve"> Richard A. Musgrave, </w:t>
      </w:r>
      <w:r w:rsidRPr="004501C4">
        <w:rPr>
          <w:rFonts w:eastAsiaTheme="majorEastAsia"/>
        </w:rPr>
        <w:t>The Theory of Public Finance</w:t>
      </w:r>
      <w:r w:rsidRPr="004501C4">
        <w:t>, 1959, pp. 13-15.</w:t>
      </w:r>
    </w:p>
  </w:footnote>
  <w:footnote w:id="45">
    <w:p w14:paraId="414F7B40" w14:textId="77777777" w:rsidR="007827C1" w:rsidRDefault="007827C1" w:rsidP="007827C1">
      <w:pPr>
        <w:pStyle w:val="FootnoteText"/>
      </w:pPr>
      <w:r>
        <w:rPr>
          <w:rStyle w:val="FootnoteReference"/>
        </w:rPr>
        <w:footnoteRef/>
      </w:r>
      <w:r>
        <w:rPr>
          <w:rtl/>
        </w:rPr>
        <w:t xml:space="preserve"> </w:t>
      </w:r>
      <w:r w:rsidRPr="00C1195B">
        <w:t>Communications Act of 1934 § 307(a), 47 U.S.C. § 307(a)</w:t>
      </w:r>
    </w:p>
  </w:footnote>
  <w:footnote w:id="46">
    <w:p w14:paraId="21381CCB" w14:textId="77777777" w:rsidR="007827C1" w:rsidRDefault="007827C1" w:rsidP="007827C1">
      <w:pPr>
        <w:pStyle w:val="FootnoteText"/>
      </w:pPr>
      <w:r>
        <w:rPr>
          <w:rStyle w:val="FootnoteReference"/>
        </w:rPr>
        <w:footnoteRef/>
      </w:r>
      <w:r>
        <w:t xml:space="preserve"> </w:t>
      </w:r>
      <w:r w:rsidRPr="001753C9">
        <w:rPr>
          <w:highlight w:val="yellow"/>
        </w:rPr>
        <w:t>Reference to WH and Pentagon press corps</w:t>
      </w:r>
    </w:p>
  </w:footnote>
  <w:footnote w:id="47">
    <w:p w14:paraId="00B569B9" w14:textId="77777777" w:rsidR="007827C1" w:rsidRDefault="007827C1" w:rsidP="007827C1">
      <w:pPr>
        <w:pStyle w:val="FootnoteText"/>
      </w:pPr>
      <w:r>
        <w:rPr>
          <w:rStyle w:val="FootnoteReference"/>
        </w:rPr>
        <w:footnoteRef/>
      </w:r>
      <w:r>
        <w:t xml:space="preserve"> </w:t>
      </w:r>
      <w:r w:rsidRPr="00AA09FD">
        <w:rPr>
          <w:highlight w:val="yellow"/>
        </w:rPr>
        <w:t xml:space="preserve"> </w:t>
      </w:r>
      <w:hyperlink r:id="rId1" w:tgtFrame="_blank" w:history="1">
        <w:proofErr w:type="spellStart"/>
        <w:r w:rsidRPr="00AA09FD">
          <w:rPr>
            <w:rStyle w:val="Hyperlink"/>
            <w:rFonts w:eastAsiaTheme="majorEastAsia"/>
            <w:highlight w:val="yellow"/>
          </w:rPr>
          <w:t>Accountablejournalism</w:t>
        </w:r>
        <w:proofErr w:type="spellEnd"/>
      </w:hyperlink>
    </w:p>
  </w:footnote>
  <w:footnote w:id="48">
    <w:p w14:paraId="4AA586BE" w14:textId="77777777" w:rsidR="007827C1" w:rsidRPr="00170F42" w:rsidRDefault="007827C1" w:rsidP="007827C1">
      <w:pPr>
        <w:pStyle w:val="FootnoteText"/>
      </w:pPr>
      <w:r>
        <w:rPr>
          <w:rStyle w:val="FootnoteReference"/>
        </w:rPr>
        <w:footnoteRef/>
      </w:r>
      <w:r>
        <w:t xml:space="preserve"> </w:t>
      </w:r>
      <w:r w:rsidRPr="00170F42">
        <w:t>Dictionary definitions of fairness in leading dictionaries also fail to clarify the concept. Some components – logic, justice, and equality – are common to the largest number of such definitions. See examples below in the Oxford Dictionary: Honesty, impartiality, equitableness, justness; fair dealing. Fairness, (Oxford English Dictionary (2015)); “Marked by impartiality and honesty: free from self-interest, prejudice, or favoritism. Fairness” (Merrian-Webster Dictionary (2015))</w:t>
      </w:r>
      <w:proofErr w:type="gramStart"/>
      <w:r w:rsidRPr="00170F42">
        <w:t>; ”The</w:t>
      </w:r>
      <w:proofErr w:type="gramEnd"/>
      <w:r w:rsidRPr="00170F42">
        <w:t xml:space="preserve"> quality of treating people equally or in a way that is right or reasonable) (Cambridge Online Dictionaries (2015)); “1. Reasonable and Acceptable [. . .] 2. Treating everyone equally [. . .], Fair” (Longman Dictionary of Contemporary English).</w:t>
      </w:r>
    </w:p>
  </w:footnote>
  <w:footnote w:id="49">
    <w:p w14:paraId="4B2F0B21" w14:textId="77777777" w:rsidR="007827C1" w:rsidRDefault="007827C1" w:rsidP="007827C1">
      <w:pPr>
        <w:pStyle w:val="FootnoteText"/>
      </w:pPr>
      <w:r>
        <w:rPr>
          <w:rStyle w:val="FootnoteReference"/>
        </w:rPr>
        <w:footnoteRef/>
      </w:r>
      <w:r>
        <w:t xml:space="preserve"> Such codes are normally created by news organizations, journalists’ unions, independent press councils and international professions organizations. For a comparative review of such codes see: </w:t>
      </w:r>
      <w:r w:rsidRPr="00585C0C">
        <w:rPr>
          <w:rFonts w:ascii="Times New Roman" w:hAnsi="Times New Roman"/>
        </w:rPr>
        <w:t xml:space="preserve">Itai </w:t>
      </w:r>
      <w:proofErr w:type="spellStart"/>
      <w:r w:rsidRPr="00585C0C">
        <w:rPr>
          <w:rFonts w:ascii="Times New Roman" w:hAnsi="Times New Roman"/>
        </w:rPr>
        <w:t>Himelboim</w:t>
      </w:r>
      <w:proofErr w:type="spellEnd"/>
      <w:r w:rsidRPr="00585C0C">
        <w:rPr>
          <w:rFonts w:ascii="Times New Roman" w:hAnsi="Times New Roman"/>
        </w:rPr>
        <w:t xml:space="preserve"> &amp; Yehiel Limor, </w:t>
      </w:r>
      <w:r w:rsidRPr="00585C0C">
        <w:rPr>
          <w:rFonts w:ascii="Times New Roman" w:hAnsi="Times New Roman"/>
          <w:i/>
          <w:iCs/>
        </w:rPr>
        <w:t xml:space="preserve">Media Perception of Freedom of the Press </w:t>
      </w:r>
      <w:proofErr w:type="gramStart"/>
      <w:r w:rsidRPr="00585C0C">
        <w:rPr>
          <w:rFonts w:ascii="Times New Roman" w:hAnsi="Times New Roman"/>
          <w:i/>
          <w:iCs/>
        </w:rPr>
        <w:t>A</w:t>
      </w:r>
      <w:proofErr w:type="gramEnd"/>
      <w:r w:rsidRPr="00585C0C">
        <w:rPr>
          <w:rFonts w:ascii="Times New Roman" w:hAnsi="Times New Roman"/>
          <w:i/>
          <w:iCs/>
        </w:rPr>
        <w:t xml:space="preserve"> Comparative International Analysis of 242 Codes of Ethics</w:t>
      </w:r>
      <w:r w:rsidRPr="00585C0C">
        <w:rPr>
          <w:rFonts w:ascii="Times New Roman" w:hAnsi="Times New Roman"/>
        </w:rPr>
        <w:t xml:space="preserve">, 9 </w:t>
      </w:r>
      <w:r w:rsidRPr="00585C0C">
        <w:rPr>
          <w:rFonts w:ascii="Times New Roman" w:hAnsi="Times New Roman"/>
          <w:smallCaps/>
        </w:rPr>
        <w:t>Journalism</w:t>
      </w:r>
      <w:r w:rsidRPr="00585C0C">
        <w:rPr>
          <w:rFonts w:ascii="Times New Roman" w:hAnsi="Times New Roman"/>
        </w:rPr>
        <w:t xml:space="preserve"> 235, 236 (2008)</w:t>
      </w:r>
      <w:r w:rsidRPr="00585C0C">
        <w:rPr>
          <w:rFonts w:ascii="Times New Roman" w:hAnsi="Times New Roman" w:hint="cs"/>
          <w:rtl/>
        </w:rPr>
        <w:t>.</w:t>
      </w:r>
    </w:p>
  </w:footnote>
  <w:footnote w:id="50">
    <w:p w14:paraId="66CAC9B4" w14:textId="77777777" w:rsidR="007827C1" w:rsidRDefault="007827C1" w:rsidP="007827C1">
      <w:pPr>
        <w:pStyle w:val="FootnoteText"/>
      </w:pPr>
      <w:r>
        <w:rPr>
          <w:rStyle w:val="FootnoteReference"/>
        </w:rPr>
        <w:footnoteRef/>
      </w:r>
      <w:r>
        <w:t xml:space="preserve"> </w:t>
      </w:r>
      <w:r w:rsidRPr="007815F3">
        <w:rPr>
          <w:highlight w:val="yellow"/>
        </w:rPr>
        <w:t>TBA</w:t>
      </w:r>
    </w:p>
  </w:footnote>
  <w:footnote w:id="51">
    <w:p w14:paraId="0CA8DAA1" w14:textId="77777777" w:rsidR="007827C1" w:rsidRPr="001C6372" w:rsidRDefault="007827C1" w:rsidP="007827C1">
      <w:pPr>
        <w:pStyle w:val="FootnoteText"/>
        <w:rPr>
          <w:rFonts w:asciiTheme="majorBidi" w:hAnsiTheme="majorBidi" w:cstheme="majorBidi"/>
        </w:rPr>
      </w:pPr>
      <w:r w:rsidRPr="001C6372">
        <w:rPr>
          <w:rStyle w:val="FootnoteReference"/>
          <w:rFonts w:asciiTheme="majorBidi" w:hAnsiTheme="majorBidi" w:cstheme="majorBidi"/>
        </w:rPr>
        <w:footnoteRef/>
      </w:r>
      <w:r w:rsidRPr="001C6372">
        <w:rPr>
          <w:rFonts w:asciiTheme="majorBidi" w:hAnsiTheme="majorBidi" w:cstheme="majorBidi"/>
        </w:rPr>
        <w:t xml:space="preserve"> Association Press v. United Stat</w:t>
      </w:r>
      <w:r>
        <w:rPr>
          <w:rFonts w:asciiTheme="majorBidi" w:hAnsiTheme="majorBidi" w:cstheme="majorBidi"/>
        </w:rPr>
        <w:t>e</w:t>
      </w:r>
      <w:r w:rsidRPr="001C6372">
        <w:rPr>
          <w:rFonts w:asciiTheme="majorBidi" w:hAnsiTheme="majorBidi" w:cstheme="majorBidi"/>
        </w:rPr>
        <w:t>s, 326 U.S. 1, 28 (1945)</w:t>
      </w:r>
    </w:p>
  </w:footnote>
  <w:footnote w:id="52">
    <w:p w14:paraId="44D81CF8" w14:textId="77777777" w:rsidR="007827C1" w:rsidRDefault="007827C1" w:rsidP="007827C1">
      <w:pPr>
        <w:pStyle w:val="FootnoteText"/>
      </w:pPr>
      <w:r>
        <w:rPr>
          <w:rStyle w:val="FootnoteReference"/>
        </w:rPr>
        <w:footnoteRef/>
      </w:r>
      <w:r>
        <w:t xml:space="preserve"> </w:t>
      </w:r>
      <w:r w:rsidRPr="00A0553B">
        <w:t>New York Times Co. v. Sullivan is 376 U.S. 254 (1964)</w:t>
      </w:r>
    </w:p>
  </w:footnote>
  <w:footnote w:id="53">
    <w:p w14:paraId="31DC1EB3" w14:textId="77777777" w:rsidR="007827C1" w:rsidRDefault="007827C1" w:rsidP="007827C1">
      <w:pPr>
        <w:pStyle w:val="FootnoteText"/>
        <w:rPr>
          <w:rtl/>
        </w:rPr>
      </w:pPr>
      <w:r>
        <w:rPr>
          <w:rStyle w:val="FootnoteReference"/>
        </w:rPr>
        <w:footnoteRef/>
      </w:r>
      <w:r>
        <w:t xml:space="preserve"> </w:t>
      </w:r>
      <w:r w:rsidRPr="00A4130C">
        <w:t>Gertz v. Robert Welch, Inc., 418 US 323 (1974)</w:t>
      </w:r>
    </w:p>
  </w:footnote>
  <w:footnote w:id="54">
    <w:p w14:paraId="6492933D" w14:textId="77777777" w:rsidR="007827C1" w:rsidRDefault="007827C1" w:rsidP="007827C1">
      <w:pPr>
        <w:pStyle w:val="FootnoteText"/>
      </w:pPr>
      <w:r>
        <w:rPr>
          <w:rStyle w:val="FootnoteReference"/>
        </w:rPr>
        <w:footnoteRef/>
      </w:r>
      <w:r>
        <w:t xml:space="preserve"> </w:t>
      </w:r>
      <w:hyperlink r:id="rId2" w:history="1">
        <w:r w:rsidRPr="00C81D23">
          <w:rPr>
            <w:rStyle w:val="Hyperlink"/>
          </w:rPr>
          <w:t>Global Charter of Ethics for Journalists - IFJ</w:t>
        </w:r>
      </w:hyperlink>
    </w:p>
  </w:footnote>
  <w:footnote w:id="55">
    <w:p w14:paraId="66277FAC" w14:textId="77777777" w:rsidR="007827C1" w:rsidRDefault="007827C1" w:rsidP="007827C1">
      <w:pPr>
        <w:pStyle w:val="FootnoteText"/>
      </w:pPr>
      <w:r>
        <w:rPr>
          <w:rStyle w:val="FootnoteReference"/>
        </w:rPr>
        <w:footnoteRef/>
      </w:r>
      <w:r>
        <w:t xml:space="preserve"> </w:t>
      </w:r>
      <w:hyperlink r:id="rId3" w:history="1">
        <w:r w:rsidRPr="00C81D23">
          <w:rPr>
            <w:rStyle w:val="Hyperlink"/>
          </w:rPr>
          <w:t>Declaration of rights and obligations of journalists | RSF Resources for Journalists</w:t>
        </w:r>
      </w:hyperlink>
    </w:p>
  </w:footnote>
  <w:footnote w:id="56">
    <w:p w14:paraId="1459D4A3" w14:textId="77777777" w:rsidR="007827C1" w:rsidRDefault="007827C1" w:rsidP="007827C1">
      <w:pPr>
        <w:pStyle w:val="FootnoteText"/>
      </w:pPr>
      <w:r>
        <w:rPr>
          <w:rStyle w:val="FootnoteReference"/>
        </w:rPr>
        <w:footnoteRef/>
      </w:r>
      <w:r>
        <w:t xml:space="preserve"> </w:t>
      </w:r>
      <w:hyperlink r:id="rId4" w:history="1">
        <w:r w:rsidRPr="00C81D23">
          <w:rPr>
            <w:rStyle w:val="Hyperlink"/>
          </w:rPr>
          <w:t>The South African Press Code | Journalism.co.za</w:t>
        </w:r>
      </w:hyperlink>
    </w:p>
  </w:footnote>
  <w:footnote w:id="57">
    <w:p w14:paraId="553F1AF3" w14:textId="77777777" w:rsidR="007827C1" w:rsidRDefault="007827C1" w:rsidP="007827C1">
      <w:pPr>
        <w:pStyle w:val="FootnoteText"/>
      </w:pPr>
      <w:r>
        <w:rPr>
          <w:rStyle w:val="FootnoteReference"/>
        </w:rPr>
        <w:footnoteRef/>
      </w:r>
      <w:r>
        <w:t xml:space="preserve"> </w:t>
      </w:r>
      <w:r w:rsidRPr="00895BBA">
        <w:t>https://www.presscouncils.eu/codes/08_be/</w:t>
      </w:r>
    </w:p>
  </w:footnote>
  <w:footnote w:id="58">
    <w:p w14:paraId="70F9BCC8" w14:textId="77777777" w:rsidR="007827C1" w:rsidRDefault="007827C1" w:rsidP="007827C1">
      <w:pPr>
        <w:pStyle w:val="FootnoteText"/>
      </w:pPr>
      <w:r>
        <w:rPr>
          <w:rStyle w:val="FootnoteReference"/>
        </w:rPr>
        <w:footnoteRef/>
      </w:r>
      <w:r>
        <w:t xml:space="preserve"> </w:t>
      </w:r>
      <w:r w:rsidRPr="009B44A8">
        <w:t>Grant v. Torstar Corp., 2009 SCC 61, [2009] 3 S.C.R. 640</w:t>
      </w:r>
    </w:p>
  </w:footnote>
  <w:footnote w:id="59">
    <w:p w14:paraId="37CC4310" w14:textId="77777777" w:rsidR="007827C1" w:rsidRDefault="007827C1" w:rsidP="007827C1">
      <w:pPr>
        <w:pStyle w:val="FootnoteText"/>
      </w:pPr>
      <w:r>
        <w:rPr>
          <w:rStyle w:val="FootnoteReference"/>
        </w:rPr>
        <w:footnoteRef/>
      </w:r>
      <w:r>
        <w:t xml:space="preserve"> Jameel v. Wall Street Journal [2006] UKHL 44 at para. 134, citing </w:t>
      </w:r>
      <w:proofErr w:type="spellStart"/>
      <w:r w:rsidRPr="003731CB">
        <w:t>Loutchansky</w:t>
      </w:r>
      <w:proofErr w:type="spellEnd"/>
      <w:r w:rsidRPr="003731CB">
        <w:t xml:space="preserve"> v Times Newspapers Ltd (Nos 2-5) [2002] QB 783</w:t>
      </w:r>
      <w:r>
        <w:t>.</w:t>
      </w:r>
    </w:p>
  </w:footnote>
  <w:footnote w:id="60">
    <w:p w14:paraId="323580C6" w14:textId="77777777" w:rsidR="007827C1" w:rsidRDefault="007827C1" w:rsidP="007827C1">
      <w:pPr>
        <w:pStyle w:val="FootnoteText"/>
      </w:pPr>
      <w:r>
        <w:rPr>
          <w:rStyle w:val="FootnoteReference"/>
        </w:rPr>
        <w:footnoteRef/>
      </w:r>
      <w:r>
        <w:t xml:space="preserve"> </w:t>
      </w:r>
      <w:r w:rsidRPr="00585C0C">
        <w:t>www.legislation.gov.uk/ukpga/2013/26/pdfs/ukpga_20130026_en.pdf</w:t>
      </w:r>
    </w:p>
  </w:footnote>
  <w:footnote w:id="61">
    <w:p w14:paraId="4999FC1A" w14:textId="77777777" w:rsidR="007827C1" w:rsidRPr="009F35CF" w:rsidRDefault="007827C1" w:rsidP="007827C1">
      <w:pPr>
        <w:pStyle w:val="FootnoteText"/>
      </w:pPr>
      <w:r>
        <w:rPr>
          <w:rStyle w:val="FootnoteReference"/>
        </w:rPr>
        <w:footnoteRef/>
      </w:r>
      <w:r>
        <w:t xml:space="preserve"> ACA 2121/12 </w:t>
      </w:r>
      <w:r>
        <w:rPr>
          <w:i/>
          <w:iCs/>
        </w:rPr>
        <w:t xml:space="preserve">Doe v. Dayan-Orbach </w:t>
      </w:r>
      <w:r>
        <w:t>(2014) at para. 48.</w:t>
      </w:r>
    </w:p>
  </w:footnote>
  <w:footnote w:id="62">
    <w:p w14:paraId="336958EC" w14:textId="77777777" w:rsidR="007827C1" w:rsidRDefault="007827C1" w:rsidP="007827C1">
      <w:pPr>
        <w:pStyle w:val="FootnoteText"/>
      </w:pPr>
      <w:r>
        <w:rPr>
          <w:rStyle w:val="FootnoteReference"/>
        </w:rPr>
        <w:footnoteRef/>
      </w:r>
      <w:r>
        <w:t xml:space="preserve"> Quoted in:</w:t>
      </w:r>
      <w:r w:rsidRPr="0072226D">
        <w:t xml:space="preserve"> Peter Hacker, Sanction theories of duty, OXFORD ESSAYS IN JURISPRUDENCE 134, 136 (</w:t>
      </w:r>
      <w:proofErr w:type="spellStart"/>
      <w:r w:rsidRPr="0072226D">
        <w:t>A.</w:t>
      </w:r>
      <w:proofErr w:type="gramStart"/>
      <w:r w:rsidRPr="0072226D">
        <w:t>W.Brian</w:t>
      </w:r>
      <w:proofErr w:type="spellEnd"/>
      <w:proofErr w:type="gramEnd"/>
      <w:r w:rsidRPr="0072226D">
        <w:t xml:space="preserve"> Simpson ed. 1973).</w:t>
      </w:r>
    </w:p>
  </w:footnote>
  <w:footnote w:id="63">
    <w:p w14:paraId="6B8529A7" w14:textId="77777777" w:rsidR="007827C1" w:rsidRDefault="007827C1" w:rsidP="007827C1">
      <w:pPr>
        <w:pStyle w:val="FootnoteText"/>
      </w:pPr>
      <w:r>
        <w:rPr>
          <w:rStyle w:val="FootnoteReference"/>
        </w:rPr>
        <w:footnoteRef/>
      </w:r>
      <w:r>
        <w:t xml:space="preserve"> These allegations were made against Australian journalists </w:t>
      </w:r>
      <w:r w:rsidRPr="00741006">
        <w:t>Simon Benson</w:t>
      </w:r>
      <w:r>
        <w:t xml:space="preserve"> and </w:t>
      </w:r>
      <w:r w:rsidRPr="00741006">
        <w:t>Geoff Chambers</w:t>
      </w:r>
      <w:r>
        <w:t xml:space="preserve"> for withholding information regarding wrongdoing in the government during the Covid pandemic. See;: </w:t>
      </w:r>
      <w:r w:rsidRPr="00741006">
        <w:t>Crystal Andrews</w:t>
      </w:r>
      <w:r>
        <w:t>, “</w:t>
      </w:r>
      <w:r w:rsidRPr="00741006">
        <w:t>On Scott Morrison’s Ministry of the Self: He Wasn’t The Only Guy Betraying Our Trust</w:t>
      </w:r>
      <w:r>
        <w:t xml:space="preserve">”, August 18, 2022, Zfeed.com, available at: </w:t>
      </w:r>
      <w:hyperlink r:id="rId5" w:history="1">
        <w:r w:rsidRPr="00C83778">
          <w:rPr>
            <w:rStyle w:val="Hyperlink"/>
          </w:rPr>
          <w:t>https://zeefeed.com.au/scott-morrison-secret-ministry-scandal-origin/</w:t>
        </w:r>
      </w:hyperlink>
      <w:r>
        <w:t xml:space="preserve">; </w:t>
      </w:r>
      <w:r w:rsidRPr="00741006">
        <w:t>Michael Davis</w:t>
      </w:r>
      <w:r>
        <w:t xml:space="preserve">, </w:t>
      </w:r>
      <w:r w:rsidRPr="00741006">
        <w:t>The journalist's duty to inform</w:t>
      </w:r>
      <w:r>
        <w:t xml:space="preserve">, Center for Media Transition, September 2, 2022, available at: </w:t>
      </w:r>
      <w:hyperlink r:id="rId6" w:history="1">
        <w:r w:rsidRPr="00297A1B">
          <w:rPr>
            <w:rStyle w:val="Hyperlink"/>
          </w:rPr>
          <w:t>cmt-newsletter-of-2-september-2022.pdf</w:t>
        </w:r>
      </w:hyperlink>
      <w:r>
        <w:t>.</w:t>
      </w:r>
    </w:p>
  </w:footnote>
  <w:footnote w:id="64">
    <w:p w14:paraId="6E9BD64A" w14:textId="77777777" w:rsidR="007827C1" w:rsidRPr="00297A1B" w:rsidRDefault="007827C1" w:rsidP="007827C1">
      <w:pPr>
        <w:pStyle w:val="FootnoteText"/>
      </w:pPr>
      <w:r>
        <w:rPr>
          <w:rStyle w:val="FootnoteReference"/>
        </w:rPr>
        <w:footnoteRef/>
      </w:r>
      <w:r>
        <w:t xml:space="preserve"> ACA 7325/95 </w:t>
      </w:r>
      <w:r>
        <w:rPr>
          <w:i/>
          <w:iCs/>
        </w:rPr>
        <w:t>Yediot Aharonot v. Kraus</w:t>
      </w:r>
      <w:r>
        <w:t xml:space="preserve"> (1998).</w:t>
      </w:r>
    </w:p>
  </w:footnote>
  <w:footnote w:id="65">
    <w:p w14:paraId="6B78C101" w14:textId="77777777" w:rsidR="007827C1" w:rsidRDefault="007827C1" w:rsidP="007827C1">
      <w:pPr>
        <w:pStyle w:val="FootnoteText"/>
      </w:pPr>
      <w:r>
        <w:rPr>
          <w:rStyle w:val="FootnoteReference"/>
        </w:rPr>
        <w:footnoteRef/>
      </w:r>
      <w:r>
        <w:t xml:space="preserve"> This scenario is based on the story of reporter Roberta Baskin whose coverage of abuse in f</w:t>
      </w:r>
      <w:r w:rsidRPr="00297A1B">
        <w:t>actories producing Nike shoes in Vietnam</w:t>
      </w:r>
      <w:r>
        <w:t xml:space="preserve"> was censured by CBS following a commercial transaction with Nike, as described in the documentary</w:t>
      </w:r>
    </w:p>
    <w:p w14:paraId="12912167" w14:textId="77777777" w:rsidR="007827C1" w:rsidRDefault="007827C1" w:rsidP="007827C1">
      <w:pPr>
        <w:pStyle w:val="FootnoteText"/>
      </w:pPr>
      <w:r>
        <w:t>movie Shadows of Liberty (</w:t>
      </w:r>
      <w:proofErr w:type="spellStart"/>
      <w:r>
        <w:t>Docfactory</w:t>
      </w:r>
      <w:proofErr w:type="spellEnd"/>
      <w:r>
        <w:t xml:space="preserve"> 2012). The film in full length is available for online viewing</w:t>
      </w:r>
    </w:p>
    <w:p w14:paraId="64BB1E65" w14:textId="77777777" w:rsidR="007827C1" w:rsidRDefault="007827C1" w:rsidP="007827C1">
      <w:pPr>
        <w:pStyle w:val="FootnoteText"/>
      </w:pPr>
      <w:r>
        <w:t>at http://shadows.kcetlink.org.</w:t>
      </w:r>
    </w:p>
  </w:footnote>
  <w:footnote w:id="66">
    <w:p w14:paraId="7989E872" w14:textId="77777777" w:rsidR="007827C1" w:rsidRDefault="007827C1" w:rsidP="007827C1">
      <w:pPr>
        <w:pStyle w:val="FootnoteText"/>
      </w:pPr>
      <w:r>
        <w:rPr>
          <w:rStyle w:val="FootnoteReference"/>
        </w:rPr>
        <w:footnoteRef/>
      </w:r>
      <w:r>
        <w:t xml:space="preserve"> </w:t>
      </w:r>
      <w:r w:rsidRPr="00297A1B">
        <w:t>Dershowitz v. Cable News Network, Inc., No. 23-11270 (11th Cir. 2025)</w:t>
      </w:r>
    </w:p>
  </w:footnote>
  <w:footnote w:id="67">
    <w:p w14:paraId="3AA762DD" w14:textId="77777777" w:rsidR="007827C1" w:rsidRDefault="007827C1" w:rsidP="007827C1">
      <w:pPr>
        <w:pStyle w:val="FootnoteText"/>
      </w:pPr>
      <w:r>
        <w:rPr>
          <w:rStyle w:val="FootnoteReference"/>
        </w:rPr>
        <w:footnoteRef/>
      </w:r>
      <w:r>
        <w:t xml:space="preserve"> </w:t>
      </w:r>
      <w:r w:rsidRPr="00585C0C">
        <w:rPr>
          <w:smallCaps/>
        </w:rPr>
        <w:t>Walter Lippmann</w:t>
      </w:r>
      <w:r w:rsidRPr="00585C0C">
        <w:t xml:space="preserve">, </w:t>
      </w:r>
      <w:r w:rsidRPr="00585C0C">
        <w:rPr>
          <w:smallCaps/>
        </w:rPr>
        <w:t>Liberty and the News</w:t>
      </w:r>
      <w:r w:rsidRPr="00585C0C">
        <w:t xml:space="preserve"> 13 (1920)</w:t>
      </w:r>
    </w:p>
  </w:footnote>
  <w:footnote w:id="68">
    <w:p w14:paraId="42887F18" w14:textId="77777777" w:rsidR="007827C1" w:rsidRDefault="007827C1" w:rsidP="007827C1">
      <w:pPr>
        <w:pStyle w:val="FootnoteText"/>
      </w:pPr>
      <w:r>
        <w:rPr>
          <w:rStyle w:val="FootnoteReference"/>
        </w:rPr>
        <w:footnoteRef/>
      </w:r>
      <w:r>
        <w:t xml:space="preserve"> </w:t>
      </w:r>
      <w:r w:rsidRPr="009F70A5">
        <w:rPr>
          <w:rFonts w:ascii="Times New Roman" w:hAnsi="Times New Roman"/>
        </w:rPr>
        <w:t xml:space="preserve">Israel Press Council Code: http://www.moaza.co.il/BRPortal/br/P102.jsp?arc=26627; Austrian Press Council, Code of Ethics for the Austrian Press; Australian Press Council, General Statement of Principles, http://www.presscouncil.org.au/general-principles/; Italy: Union of Journalists, Charter of Duties of Journalists; Ireland: National Union of Journalists, Code of Conduct; The Washington Post, Standards &amp; Ethics, http://asne.org/content.asp?pl=236&amp;sl=19&amp;contentid=335; New York Times, Guidelines on Our Integrity, http://asne.org/content.asp?pl=236&amp;sl=19&amp;contentid=317; Associated Press Media Editors, Statement of Ethical Principles, http://www.apme.com/?page=EthicsStatement; Belgian Association of Newspaper Publishers, the General Association *of Professional Journalists of Belgium and the National Federation of the Information Newsletters, Code of Journalistic Principles; UK: Complaints Commission, Editors Code of Practice (abolished); National Union of Journalists, Code of Conduct; German Press </w:t>
      </w:r>
      <w:proofErr w:type="spellStart"/>
      <w:r w:rsidRPr="009F70A5">
        <w:rPr>
          <w:rFonts w:ascii="Times New Roman" w:hAnsi="Times New Roman"/>
        </w:rPr>
        <w:t>Coucil</w:t>
      </w:r>
      <w:proofErr w:type="spellEnd"/>
      <w:r w:rsidRPr="009F70A5">
        <w:rPr>
          <w:rFonts w:ascii="Times New Roman" w:hAnsi="Times New Roman"/>
        </w:rPr>
        <w:t xml:space="preserve">, German Press Code; Danish Press Council, The National Code of Conduct; Netherlands Press Council, Guidelines; Greece:  Panhellenic Federation of Journalists' Union, Code of Ethics for Professional Journalists; Code of Ethics of the Norwegian Press; New </w:t>
      </w:r>
      <w:proofErr w:type="spellStart"/>
      <w:r w:rsidRPr="009F70A5">
        <w:rPr>
          <w:rFonts w:ascii="Times New Roman" w:hAnsi="Times New Roman"/>
        </w:rPr>
        <w:t>Zaeland</w:t>
      </w:r>
      <w:proofErr w:type="spellEnd"/>
      <w:r w:rsidRPr="009F70A5">
        <w:rPr>
          <w:rFonts w:ascii="Times New Roman" w:hAnsi="Times New Roman"/>
        </w:rPr>
        <w:t xml:space="preserve">: Press Council Principles, http://www.presscouncil.org.nz/principles.php; Federation of the Press Association of Spain, Deontological Code for *the Journalistic Profession; Journalists Union, Journalists' Code of Ethics; Finnish Journalists' Union, Guidelines for Journalists; Charter of Professional Duties of French Journalists; Radio &amp; Television News Directors of Canada, Code of Ethics, www.mediawise.org.uk/canada/; Canadian Daily Newspapers Association, Statement of Principles, http://www.mediawise.org.uk/canada-2/; Swedish Journalists' </w:t>
      </w:r>
      <w:proofErr w:type="spellStart"/>
      <w:r w:rsidRPr="009F70A5">
        <w:rPr>
          <w:rFonts w:ascii="Times New Roman" w:hAnsi="Times New Roman"/>
        </w:rPr>
        <w:t>Union,Code</w:t>
      </w:r>
      <w:proofErr w:type="spellEnd"/>
      <w:r w:rsidRPr="009F70A5">
        <w:rPr>
          <w:rFonts w:ascii="Times New Roman" w:hAnsi="Times New Roman"/>
        </w:rPr>
        <w:t xml:space="preserve"> of Ethics for Press, Radio &amp; *Television; Swiss Press Council, </w:t>
      </w:r>
      <w:proofErr w:type="spellStart"/>
      <w:r w:rsidRPr="009F70A5">
        <w:rPr>
          <w:rFonts w:ascii="Times New Roman" w:hAnsi="Times New Roman"/>
        </w:rPr>
        <w:t>Decleration</w:t>
      </w:r>
      <w:proofErr w:type="spellEnd"/>
      <w:r w:rsidRPr="009F70A5">
        <w:rPr>
          <w:rFonts w:ascii="Times New Roman" w:hAnsi="Times New Roman"/>
        </w:rPr>
        <w:t xml:space="preserve"> of the Duties and Rights of a Journalist; Society of Professional Journalists, Code of Ethics, http://www.apme.com/?page=EthicsStatement; International Federation of Journalists, </w:t>
      </w:r>
      <w:proofErr w:type="spellStart"/>
      <w:r w:rsidRPr="009F70A5">
        <w:rPr>
          <w:rFonts w:ascii="Times New Roman" w:hAnsi="Times New Roman"/>
        </w:rPr>
        <w:t>Decleration</w:t>
      </w:r>
      <w:proofErr w:type="spellEnd"/>
      <w:r w:rsidRPr="009F70A5">
        <w:rPr>
          <w:rFonts w:ascii="Times New Roman" w:hAnsi="Times New Roman"/>
        </w:rPr>
        <w:t xml:space="preserve"> of Principles on the Conduct of Journalists, </w:t>
      </w:r>
      <w:hyperlink r:id="rId7" w:history="1">
        <w:r w:rsidRPr="00C83778">
          <w:rPr>
            <w:rStyle w:val="Hyperlink"/>
            <w:rFonts w:ascii="Times New Roman" w:hAnsi="Times New Roman"/>
          </w:rPr>
          <w:t>http://www.ifj.org/en/articles/ifj-declaration-of-principles-on-the-conduct-of-journalists</w:t>
        </w:r>
      </w:hyperlink>
      <w:r>
        <w:rPr>
          <w:rFonts w:ascii="Times New Roman" w:hAnsi="Times New Roman"/>
        </w:rPr>
        <w:t xml:space="preserve">. </w:t>
      </w:r>
      <w:r w:rsidRPr="009F70A5">
        <w:rPr>
          <w:rFonts w:ascii="Times New Roman" w:hAnsi="Times New Roman"/>
        </w:rPr>
        <w:t xml:space="preserve">A 2002 study compared ethical codes in Europe and the Middle East </w:t>
      </w:r>
      <w:proofErr w:type="gramStart"/>
      <w:r w:rsidRPr="009F70A5">
        <w:rPr>
          <w:rFonts w:ascii="Times New Roman" w:hAnsi="Times New Roman"/>
        </w:rPr>
        <w:t>and also</w:t>
      </w:r>
      <w:proofErr w:type="gramEnd"/>
      <w:r w:rsidRPr="009F70A5">
        <w:rPr>
          <w:rFonts w:ascii="Times New Roman" w:hAnsi="Times New Roman"/>
        </w:rPr>
        <w:t xml:space="preserve"> found that their shared value is "truth," alongside "accuracy" and "objectivity." See: Kai Hafez, Journalism Ethics Revisited: A Comparison of Ethics Codes in Europe, North Africa, the Middle East, and Muslim Asia, 19 Pol. Comm. 225 (2002). For additional studies that found truth-telling as a shared value among journalists in different regions of the world, see: Shakuntala Rao &amp; Seow Ting Lee, Globalizing Media Ethics? An Assessment of Universal Ethics Among International Political Journalists, 20 J. Mass Media Ethics 99 (2005); Michael Perkins, International Law and the Search for Universal Principles in Journalism Ethics, 17 J. Mass Media Ethics 193 (2002).</w:t>
      </w:r>
    </w:p>
  </w:footnote>
  <w:footnote w:id="69">
    <w:p w14:paraId="09808826" w14:textId="77777777" w:rsidR="007827C1" w:rsidRDefault="007827C1" w:rsidP="007827C1">
      <w:pPr>
        <w:pStyle w:val="FootnoteText"/>
      </w:pPr>
      <w:r>
        <w:rPr>
          <w:rStyle w:val="FootnoteReference"/>
        </w:rPr>
        <w:footnoteRef/>
      </w:r>
      <w:r>
        <w:t xml:space="preserve"> The one being the oldest of these codes, the </w:t>
      </w:r>
      <w:r w:rsidRPr="00764E52">
        <w:t>Charter of Professional Duties of French Journalists</w:t>
      </w:r>
      <w:r>
        <w:t>.</w:t>
      </w:r>
    </w:p>
  </w:footnote>
  <w:footnote w:id="70">
    <w:p w14:paraId="22F3D7C6" w14:textId="77777777" w:rsidR="007827C1" w:rsidRDefault="007827C1" w:rsidP="007827C1">
      <w:pPr>
        <w:pStyle w:val="FootnoteText"/>
      </w:pPr>
      <w:r>
        <w:rPr>
          <w:rStyle w:val="FootnoteReference"/>
        </w:rPr>
        <w:footnoteRef/>
      </w:r>
      <w:r>
        <w:t xml:space="preserve"> </w:t>
      </w:r>
      <w:r w:rsidRPr="00585C0C">
        <w:rPr>
          <w:rFonts w:ascii="Times New Roman" w:hAnsi="Times New Roman"/>
          <w:smallCaps/>
        </w:rPr>
        <w:t xml:space="preserve">Daniel Okrent, Public Editor #1: The Collected Columns (With Reflections, Reconsiderations, and Even a Few Retractions) of the First Ombudsman of the New York Times </w:t>
      </w:r>
      <w:r w:rsidRPr="00585C0C">
        <w:rPr>
          <w:rFonts w:ascii="Times New Roman" w:hAnsi="Times New Roman"/>
        </w:rPr>
        <w:t>85 (2006)</w:t>
      </w:r>
    </w:p>
  </w:footnote>
  <w:footnote w:id="71">
    <w:p w14:paraId="7FA982B8" w14:textId="77777777" w:rsidR="007827C1" w:rsidRDefault="007827C1" w:rsidP="007827C1">
      <w:pPr>
        <w:pStyle w:val="FootnoteText"/>
      </w:pPr>
      <w:r>
        <w:rPr>
          <w:rStyle w:val="FootnoteReference"/>
        </w:rPr>
        <w:footnoteRef/>
      </w:r>
      <w:r>
        <w:t xml:space="preserve"> </w:t>
      </w:r>
      <w:r w:rsidRPr="00585C0C">
        <w:rPr>
          <w:rFonts w:ascii="Times New Roman" w:hAnsi="Times New Roman" w:hint="cs"/>
        </w:rPr>
        <w:t>H</w:t>
      </w:r>
      <w:r w:rsidRPr="00585C0C">
        <w:rPr>
          <w:rFonts w:ascii="Times New Roman" w:hAnsi="Times New Roman"/>
        </w:rPr>
        <w:t xml:space="preserve">annah Arendt, </w:t>
      </w:r>
      <w:r w:rsidRPr="00585C0C">
        <w:rPr>
          <w:rFonts w:ascii="Times New Roman" w:hAnsi="Times New Roman"/>
          <w:i/>
          <w:iCs/>
        </w:rPr>
        <w:t>Truth and Politics</w:t>
      </w:r>
      <w:r w:rsidRPr="00585C0C">
        <w:rPr>
          <w:rFonts w:ascii="Times New Roman" w:hAnsi="Times New Roman"/>
          <w:smallCaps/>
        </w:rPr>
        <w:t>, The Portable Hannah Arendt</w:t>
      </w:r>
      <w:r w:rsidRPr="00585C0C">
        <w:rPr>
          <w:rFonts w:ascii="Times New Roman" w:hAnsi="Times New Roman"/>
        </w:rPr>
        <w:t xml:space="preserve"> 545, 554 (2000)</w:t>
      </w:r>
    </w:p>
  </w:footnote>
  <w:footnote w:id="72">
    <w:p w14:paraId="2508CB1A" w14:textId="77777777" w:rsidR="007827C1" w:rsidRDefault="007827C1" w:rsidP="007827C1">
      <w:pPr>
        <w:pStyle w:val="FootnoteText"/>
      </w:pPr>
      <w:r>
        <w:rPr>
          <w:rStyle w:val="FootnoteReference"/>
        </w:rPr>
        <w:footnoteRef/>
      </w:r>
      <w:r>
        <w:t xml:space="preserve"> </w:t>
      </w:r>
      <w:r w:rsidRPr="00585C0C">
        <w:rPr>
          <w:rFonts w:ascii="Times New Roman" w:hAnsi="Times New Roman"/>
        </w:rPr>
        <w:t xml:space="preserve">Onora </w:t>
      </w:r>
      <w:proofErr w:type="spellStart"/>
      <w:r w:rsidRPr="00585C0C">
        <w:rPr>
          <w:rFonts w:ascii="Times New Roman" w:hAnsi="Times New Roman"/>
        </w:rPr>
        <w:t>O'neill</w:t>
      </w:r>
      <w:proofErr w:type="spellEnd"/>
      <w:r w:rsidRPr="00585C0C">
        <w:rPr>
          <w:rFonts w:ascii="Times New Roman" w:hAnsi="Times New Roman"/>
        </w:rPr>
        <w:t xml:space="preserve">, </w:t>
      </w:r>
      <w:r w:rsidRPr="00585C0C">
        <w:rPr>
          <w:rFonts w:ascii="Times New Roman" w:hAnsi="Times New Roman"/>
          <w:i/>
          <w:iCs/>
        </w:rPr>
        <w:t>A Question of Trust – Lecture 5: A License to Deceive</w:t>
      </w:r>
      <w:r w:rsidRPr="00585C0C">
        <w:rPr>
          <w:rFonts w:ascii="Times New Roman" w:hAnsi="Times New Roman"/>
        </w:rPr>
        <w:t>, BBC4 Radio http://www.bbc.co.uk/radio4/reith2002/lecture5.shtml</w:t>
      </w:r>
    </w:p>
  </w:footnote>
  <w:footnote w:id="73">
    <w:p w14:paraId="5D645A78" w14:textId="77777777" w:rsidR="007827C1" w:rsidRDefault="007827C1" w:rsidP="007827C1">
      <w:pPr>
        <w:pStyle w:val="FootnoteText"/>
      </w:pPr>
      <w:r>
        <w:rPr>
          <w:rStyle w:val="FootnoteReference"/>
        </w:rPr>
        <w:footnoteRef/>
      </w:r>
      <w:r>
        <w:t xml:space="preserve"> </w:t>
      </w:r>
      <w:r w:rsidRPr="00480FCC">
        <w:t xml:space="preserve">A quarter of century ago, Rodney Smolla saw the increasing competitive pressures in the media as the primary factor leading "serious" media outlets to adopt the codes of conduct of tabloids, Rodney A. </w:t>
      </w:r>
      <w:proofErr w:type="spellStart"/>
      <w:r w:rsidRPr="00480FCC">
        <w:t>Smolla</w:t>
      </w:r>
      <w:proofErr w:type="spellEnd"/>
      <w:r w:rsidRPr="00480FCC">
        <w:t>, Will Tabloid Journalism Ruin the First Amendment for the Rest of Us? 9 DePaul J. of Art &amp; Ent. L. 1, 7 (1999).</w:t>
      </w:r>
    </w:p>
  </w:footnote>
  <w:footnote w:id="74">
    <w:p w14:paraId="6DEF8602" w14:textId="77777777" w:rsidR="007827C1" w:rsidRDefault="007827C1" w:rsidP="007827C1">
      <w:pPr>
        <w:pStyle w:val="FootnoteText"/>
      </w:pPr>
      <w:r>
        <w:rPr>
          <w:rStyle w:val="FootnoteReference"/>
        </w:rPr>
        <w:footnoteRef/>
      </w:r>
      <w:r>
        <w:t xml:space="preserve"> </w:t>
      </w:r>
      <w:r w:rsidRPr="00D71446">
        <w:t>LISTEN: Some (accurate) quotes about media mistakes</w:t>
      </w:r>
      <w:r>
        <w:t xml:space="preserve">, </w:t>
      </w:r>
      <w:hyperlink r:id="rId8" w:history="1">
        <w:r w:rsidRPr="00D71446">
          <w:rPr>
            <w:rStyle w:val="Hyperlink"/>
          </w:rPr>
          <w:t>LISTEN: Some (accurate) quotes about media mistakes – USC Center on Communication Leadership and Policy</w:t>
        </w:r>
      </w:hyperlink>
    </w:p>
  </w:footnote>
  <w:footnote w:id="75">
    <w:p w14:paraId="18F4E175" w14:textId="77777777" w:rsidR="007827C1" w:rsidRDefault="007827C1" w:rsidP="007827C1">
      <w:pPr>
        <w:pStyle w:val="FootnoteText"/>
      </w:pPr>
      <w:r>
        <w:rPr>
          <w:rStyle w:val="FootnoteReference"/>
        </w:rPr>
        <w:footnoteRef/>
      </w:r>
      <w:r>
        <w:t xml:space="preserve"> </w:t>
      </w:r>
      <w:r w:rsidRPr="00585C0C">
        <w:rPr>
          <w:smallCaps/>
        </w:rPr>
        <w:t xml:space="preserve">Robert Waterman McChesney &amp; John Nichols, The Death and Life of American Journalism: The Media Revolution that Will Begin the World Again </w:t>
      </w:r>
      <w:r w:rsidRPr="003A5896">
        <w:t>xii</w:t>
      </w:r>
      <w:r w:rsidRPr="00585C0C">
        <w:rPr>
          <w:smallCaps/>
        </w:rPr>
        <w:t xml:space="preserve"> (2010)</w:t>
      </w:r>
      <w:r>
        <w:rPr>
          <w:smallCaps/>
        </w:rPr>
        <w:t>.</w:t>
      </w:r>
    </w:p>
  </w:footnote>
  <w:footnote w:id="76">
    <w:p w14:paraId="0579FA2F" w14:textId="77777777" w:rsidR="007827C1" w:rsidRDefault="007827C1" w:rsidP="007827C1">
      <w:pPr>
        <w:pStyle w:val="FootnoteText"/>
      </w:pPr>
      <w:r>
        <w:rPr>
          <w:rStyle w:val="FootnoteReference"/>
        </w:rPr>
        <w:footnoteRef/>
      </w:r>
      <w:r>
        <w:t xml:space="preserve"> </w:t>
      </w:r>
      <w:r w:rsidRPr="00585C0C">
        <w:rPr>
          <w:smallCaps/>
        </w:rPr>
        <w:t xml:space="preserve">Julianne Schultz, Reviving the Fourth Estate: Democracy, Accountability and the Media, </w:t>
      </w:r>
      <w:r>
        <w:rPr>
          <w:smallCaps/>
        </w:rPr>
        <w:t>56</w:t>
      </w:r>
      <w:r w:rsidRPr="00585C0C">
        <w:t xml:space="preserve"> (1999)</w:t>
      </w:r>
      <w:r w:rsidRPr="00585C0C">
        <w:rPr>
          <w:rtl/>
        </w:rPr>
        <w:t>.</w:t>
      </w:r>
    </w:p>
  </w:footnote>
  <w:footnote w:id="77">
    <w:p w14:paraId="337F84CA" w14:textId="77777777" w:rsidR="007827C1" w:rsidRDefault="007827C1" w:rsidP="007827C1">
      <w:pPr>
        <w:pStyle w:val="FootnoteText"/>
      </w:pPr>
      <w:r>
        <w:rPr>
          <w:rStyle w:val="FootnoteReference"/>
        </w:rPr>
        <w:footnoteRef/>
      </w:r>
      <w:r>
        <w:t xml:space="preserve"> </w:t>
      </w:r>
      <w:hyperlink r:id="rId9" w:history="1">
        <w:r w:rsidRPr="00B64899">
          <w:rPr>
            <w:rStyle w:val="Hyperlink"/>
          </w:rPr>
          <w:t>NLA</w:t>
        </w:r>
      </w:hyperlink>
      <w:r>
        <w:t xml:space="preserve"> - </w:t>
      </w:r>
      <w:r w:rsidRPr="00B64899">
        <w:t>The Washington Post Standards and Ethics</w:t>
      </w:r>
      <w:r>
        <w:t xml:space="preserve">. In 2013 Billionaire Jeff Bezos had purchased the paper, reportedly for $250 million: </w:t>
      </w:r>
      <w:hyperlink r:id="rId10" w:history="1">
        <w:r w:rsidRPr="008F22F4">
          <w:rPr>
            <w:rStyle w:val="Hyperlink"/>
          </w:rPr>
          <w:t>Washington Post closes sale to Amazon founder Jeff Bezos - The Washington Post</w:t>
        </w:r>
      </w:hyperlink>
    </w:p>
  </w:footnote>
  <w:footnote w:id="78">
    <w:p w14:paraId="3E15F733" w14:textId="77777777" w:rsidR="007827C1" w:rsidRDefault="007827C1" w:rsidP="007827C1">
      <w:pPr>
        <w:pStyle w:val="FootnoteText"/>
      </w:pPr>
      <w:r>
        <w:rPr>
          <w:rStyle w:val="FootnoteReference"/>
        </w:rPr>
        <w:footnoteRef/>
      </w:r>
      <w:r>
        <w:t xml:space="preserve"> </w:t>
      </w:r>
      <w:hyperlink r:id="rId11" w:anchor="ethics" w:history="1">
        <w:r w:rsidRPr="008F22F4">
          <w:rPr>
            <w:rStyle w:val="Hyperlink"/>
          </w:rPr>
          <w:t>Policies and Standards - The Washington Post</w:t>
        </w:r>
      </w:hyperlink>
    </w:p>
  </w:footnote>
  <w:footnote w:id="79">
    <w:p w14:paraId="6BB933BF" w14:textId="77777777" w:rsidR="007827C1" w:rsidRPr="00C9164C" w:rsidRDefault="007827C1" w:rsidP="007827C1">
      <w:pPr>
        <w:pStyle w:val="FootnoteText"/>
        <w:jc w:val="both"/>
        <w:rPr>
          <w:rFonts w:ascii="Times New Roman" w:hAnsi="Times New Roman"/>
        </w:rPr>
      </w:pPr>
      <w:r>
        <w:rPr>
          <w:rStyle w:val="FootnoteReference"/>
        </w:rPr>
        <w:footnoteRef/>
      </w:r>
      <w:r>
        <w:t xml:space="preserve"> </w:t>
      </w:r>
      <w:r w:rsidRPr="00585C0C">
        <w:rPr>
          <w:smallCaps/>
        </w:rPr>
        <w:t>Jürgen Habermas</w:t>
      </w:r>
      <w:r w:rsidRPr="00585C0C">
        <w:t xml:space="preserve">, </w:t>
      </w:r>
      <w:r w:rsidRPr="00585C0C">
        <w:rPr>
          <w:smallCaps/>
        </w:rPr>
        <w:t>Between Facts and Norms: Contributions to a Discourse Theory of Law and Democracy</w:t>
      </w:r>
      <w:r w:rsidRPr="00585C0C">
        <w:t xml:space="preserve"> 378 (1996)</w:t>
      </w:r>
      <w:r w:rsidRPr="00585C0C">
        <w:rPr>
          <w:rFonts w:ascii="Times New Roman" w:hAnsi="Times New Roman" w:hint="cs"/>
          <w:rtl/>
        </w:rPr>
        <w:t>.</w:t>
      </w:r>
    </w:p>
  </w:footnote>
  <w:footnote w:id="80">
    <w:p w14:paraId="3B030685" w14:textId="77777777" w:rsidR="007827C1" w:rsidRDefault="007827C1" w:rsidP="007827C1">
      <w:pPr>
        <w:pStyle w:val="FootnoteText"/>
      </w:pPr>
      <w:r>
        <w:rPr>
          <w:rStyle w:val="FootnoteReference"/>
        </w:rPr>
        <w:footnoteRef/>
      </w:r>
      <w:r>
        <w:t xml:space="preserve"> </w:t>
      </w:r>
      <w:hyperlink r:id="rId12" w:history="1">
        <w:r w:rsidRPr="00AC33A6">
          <w:rPr>
            <w:rStyle w:val="Hyperlink"/>
          </w:rPr>
          <w:t>Statement of Principles - News Media Canada</w:t>
        </w:r>
      </w:hyperlink>
    </w:p>
  </w:footnote>
  <w:footnote w:id="81">
    <w:p w14:paraId="7E1DF7F3" w14:textId="77777777" w:rsidR="007827C1" w:rsidRDefault="007827C1" w:rsidP="007827C1">
      <w:pPr>
        <w:pStyle w:val="FootnoteText"/>
      </w:pPr>
      <w:r>
        <w:rPr>
          <w:rStyle w:val="FootnoteReference"/>
        </w:rPr>
        <w:footnoteRef/>
      </w:r>
      <w:r>
        <w:rPr>
          <w:rtl/>
        </w:rPr>
        <w:t xml:space="preserve"> </w:t>
      </w:r>
      <w:r w:rsidRPr="00C1195B">
        <w:t>Communications Act of 1934 § 307(a), 47 U.S.C. § 307(a)</w:t>
      </w:r>
    </w:p>
  </w:footnote>
  <w:footnote w:id="82">
    <w:p w14:paraId="44BC2A77" w14:textId="77777777" w:rsidR="007827C1" w:rsidRDefault="007827C1" w:rsidP="007827C1">
      <w:pPr>
        <w:pStyle w:val="FootnoteText"/>
      </w:pPr>
      <w:r>
        <w:rPr>
          <w:rStyle w:val="FootnoteReference"/>
        </w:rPr>
        <w:footnoteRef/>
      </w:r>
      <w:r>
        <w:t xml:space="preserve"> Although it should be noted that such regulation was not totally a foreign concept to US law in the 19</w:t>
      </w:r>
      <w:r w:rsidRPr="000C347E">
        <w:rPr>
          <w:vertAlign w:val="superscript"/>
        </w:rPr>
        <w:t>th</w:t>
      </w:r>
      <w:r>
        <w:t xml:space="preserve"> and early 20</w:t>
      </w:r>
      <w:r w:rsidRPr="000C347E">
        <w:rPr>
          <w:vertAlign w:val="superscript"/>
        </w:rPr>
        <w:t>th</w:t>
      </w:r>
      <w:r>
        <w:t xml:space="preserve"> century. Subsidies were given to the press in the form of reduced mailing fees, and then became contingent on certain requirements, such as clearly marking paid-for content as advertising. See: </w:t>
      </w:r>
      <w:r w:rsidRPr="000C347E">
        <w:t>Lewis Publishing Co. v. Morgan, 229 U.S. 288 (1913)</w:t>
      </w:r>
      <w:r>
        <w:t xml:space="preserve">. Also see a discussion on the duty to publish corrections in the </w:t>
      </w:r>
      <w:proofErr w:type="spellStart"/>
      <w:r>
        <w:t>Hutschins</w:t>
      </w:r>
      <w:proofErr w:type="spellEnd"/>
      <w:r>
        <w:t xml:space="preserve"> Commission report, </w:t>
      </w:r>
      <w:proofErr w:type="gramStart"/>
      <w:r>
        <w:t>page  86</w:t>
      </w:r>
      <w:proofErr w:type="gramEnd"/>
      <w:r>
        <w:t>.</w:t>
      </w:r>
    </w:p>
  </w:footnote>
  <w:footnote w:id="83">
    <w:p w14:paraId="01B5FCEA" w14:textId="77777777" w:rsidR="007827C1" w:rsidRDefault="007827C1" w:rsidP="007827C1">
      <w:pPr>
        <w:pStyle w:val="FootnoteText"/>
      </w:pPr>
      <w:r>
        <w:rPr>
          <w:rStyle w:val="FootnoteReference"/>
        </w:rPr>
        <w:footnoteRef/>
      </w:r>
      <w:r>
        <w:t xml:space="preserve"> </w:t>
      </w:r>
      <w:hyperlink r:id="rId13" w:history="1">
        <w:r w:rsidRPr="00BA3D5F">
          <w:rPr>
            <w:rStyle w:val="Hyperlink"/>
          </w:rPr>
          <w:t>White House Ends a Regular Reporting Slot for Independent Newswires - The New York Times</w:t>
        </w:r>
      </w:hyperlink>
      <w:r>
        <w:t xml:space="preserve">; </w:t>
      </w:r>
      <w:hyperlink r:id="rId14" w:history="1">
        <w:r w:rsidRPr="00BA3D5F">
          <w:rPr>
            <w:rStyle w:val="Hyperlink"/>
          </w:rPr>
          <w:t>Journalists exit Pentagon rather than agree to new reporting rules | AP News</w:t>
        </w:r>
      </w:hyperlink>
    </w:p>
  </w:footnote>
  <w:footnote w:id="84">
    <w:p w14:paraId="3DB43CC7" w14:textId="77777777" w:rsidR="007827C1" w:rsidRDefault="007827C1" w:rsidP="007827C1">
      <w:pPr>
        <w:pStyle w:val="FootnoteText"/>
      </w:pPr>
      <w:r>
        <w:rPr>
          <w:rStyle w:val="FootnoteReference"/>
        </w:rPr>
        <w:footnoteRef/>
      </w:r>
      <w:r>
        <w:t xml:space="preserve"> For a review of a positive yet limited effect of IPSO on major newspapers, see: </w:t>
      </w:r>
      <w:proofErr w:type="spellStart"/>
      <w:r w:rsidRPr="0094446B">
        <w:t>Chrysi</w:t>
      </w:r>
      <w:proofErr w:type="spellEnd"/>
      <w:r w:rsidRPr="0094446B">
        <w:t xml:space="preserve"> Dagoula, Irini Katsirea &amp; Jackie Harrison, </w:t>
      </w:r>
      <w:r w:rsidRPr="0094446B">
        <w:rPr>
          <w:i/>
          <w:iCs/>
        </w:rPr>
        <w:t>The Independent Press Standards Organisation and Accuracy: A Comparative Study of Complaints-Handling Procedures in Four UK Newspapers</w:t>
      </w:r>
      <w:r w:rsidRPr="0094446B">
        <w:t>, J. Applied Journalism &amp; Media Stud. (2023)</w:t>
      </w:r>
      <w:r>
        <w:t xml:space="preserve">. </w:t>
      </w:r>
    </w:p>
  </w:footnote>
  <w:footnote w:id="85">
    <w:p w14:paraId="468C78BC" w14:textId="77777777" w:rsidR="007827C1" w:rsidRDefault="007827C1" w:rsidP="007827C1">
      <w:pPr>
        <w:pStyle w:val="FootnoteText"/>
      </w:pPr>
      <w:r>
        <w:rPr>
          <w:rStyle w:val="FootnoteReference"/>
        </w:rPr>
        <w:footnoteRef/>
      </w:r>
      <w:r>
        <w:t xml:space="preserve"> </w:t>
      </w:r>
      <w:r w:rsidRPr="00C77ECD">
        <w:t xml:space="preserve">Gordon Ramsay, </w:t>
      </w:r>
      <w:r w:rsidRPr="00C77ECD">
        <w:rPr>
          <w:i/>
          <w:iCs/>
        </w:rPr>
        <w:t>United Kingdom: Consolidation and Fragmentation</w:t>
      </w:r>
      <w:r w:rsidRPr="00C77ECD">
        <w:t>, in The Global Handbook of Media Accountability 63</w:t>
      </w:r>
      <w:r>
        <w:t>, 68-69</w:t>
      </w:r>
      <w:r w:rsidRPr="00C77ECD">
        <w:t xml:space="preserve"> (Susanne Fengler, Tobias Eberwein &amp; Matthias Karmasin eds., 1st ed. 2021)</w:t>
      </w:r>
    </w:p>
  </w:footnote>
  <w:footnote w:id="86">
    <w:p w14:paraId="160097FF" w14:textId="77777777" w:rsidR="007827C1" w:rsidRDefault="007827C1" w:rsidP="007827C1">
      <w:pPr>
        <w:pStyle w:val="FootnoteText"/>
      </w:pPr>
      <w:r>
        <w:rPr>
          <w:rStyle w:val="FootnoteReference"/>
        </w:rPr>
        <w:footnoteRef/>
      </w:r>
      <w:r>
        <w:t xml:space="preserve"> Mark Blach-Ørsten, Rasmus </w:t>
      </w:r>
      <w:proofErr w:type="gramStart"/>
      <w:r>
        <w:t>Burkal,  Eva</w:t>
      </w:r>
      <w:proofErr w:type="gramEnd"/>
      <w:r>
        <w:t xml:space="preserve"> Mayerhöffer, &amp; Ida Willig, </w:t>
      </w:r>
      <w:proofErr w:type="gramStart"/>
      <w:r>
        <w:t>Denmark  High</w:t>
      </w:r>
      <w:proofErr w:type="gramEnd"/>
      <w:r>
        <w:t xml:space="preserve"> media independence and informal democratic traditions in the newsroom, in: The Media for Democracy Monitor 2021</w:t>
      </w:r>
    </w:p>
    <w:p w14:paraId="2FD3C0FE" w14:textId="77777777" w:rsidR="007827C1" w:rsidRDefault="007827C1" w:rsidP="007827C1">
      <w:pPr>
        <w:pStyle w:val="FootnoteText"/>
      </w:pPr>
      <w:r>
        <w:t xml:space="preserve">  </w:t>
      </w:r>
      <w:proofErr w:type="gramStart"/>
      <w:r>
        <w:t>147  Josef</w:t>
      </w:r>
      <w:proofErr w:type="gramEnd"/>
      <w:r>
        <w:t xml:space="preserve"> Trappel &amp; Tales Tomaz (Eds.)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73B7"/>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0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2B"/>
    <w:rsid w:val="003412E9"/>
    <w:rsid w:val="00565AF2"/>
    <w:rsid w:val="00643D46"/>
    <w:rsid w:val="007827C1"/>
    <w:rsid w:val="00A8579B"/>
    <w:rsid w:val="00C649C5"/>
    <w:rsid w:val="00D432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9D26"/>
  <w15:chartTrackingRefBased/>
  <w15:docId w15:val="{FEDDA8C0-8B1E-4981-935E-4E5341B3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2B"/>
  </w:style>
  <w:style w:type="paragraph" w:styleId="Heading1">
    <w:name w:val="heading 1"/>
    <w:basedOn w:val="Normal"/>
    <w:next w:val="Normal"/>
    <w:link w:val="Heading1Char"/>
    <w:uiPriority w:val="9"/>
    <w:qFormat/>
    <w:rsid w:val="00D43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3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2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2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2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2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2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2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22B"/>
    <w:rPr>
      <w:rFonts w:eastAsiaTheme="majorEastAsia" w:cstheme="majorBidi"/>
      <w:color w:val="272727" w:themeColor="text1" w:themeTint="D8"/>
    </w:rPr>
  </w:style>
  <w:style w:type="paragraph" w:styleId="Title">
    <w:name w:val="Title"/>
    <w:basedOn w:val="Normal"/>
    <w:next w:val="Normal"/>
    <w:link w:val="TitleChar"/>
    <w:uiPriority w:val="10"/>
    <w:qFormat/>
    <w:rsid w:val="00D43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2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22B"/>
    <w:pPr>
      <w:spacing w:before="160"/>
      <w:jc w:val="center"/>
    </w:pPr>
    <w:rPr>
      <w:i/>
      <w:iCs/>
      <w:color w:val="404040" w:themeColor="text1" w:themeTint="BF"/>
    </w:rPr>
  </w:style>
  <w:style w:type="character" w:customStyle="1" w:styleId="QuoteChar">
    <w:name w:val="Quote Char"/>
    <w:basedOn w:val="DefaultParagraphFont"/>
    <w:link w:val="Quote"/>
    <w:uiPriority w:val="29"/>
    <w:rsid w:val="00D4322B"/>
    <w:rPr>
      <w:i/>
      <w:iCs/>
      <w:color w:val="404040" w:themeColor="text1" w:themeTint="BF"/>
    </w:rPr>
  </w:style>
  <w:style w:type="paragraph" w:styleId="ListParagraph">
    <w:name w:val="List Paragraph"/>
    <w:basedOn w:val="Normal"/>
    <w:uiPriority w:val="34"/>
    <w:qFormat/>
    <w:rsid w:val="00D4322B"/>
    <w:pPr>
      <w:ind w:left="720"/>
      <w:contextualSpacing/>
    </w:pPr>
  </w:style>
  <w:style w:type="character" w:styleId="IntenseEmphasis">
    <w:name w:val="Intense Emphasis"/>
    <w:basedOn w:val="DefaultParagraphFont"/>
    <w:uiPriority w:val="21"/>
    <w:qFormat/>
    <w:rsid w:val="00D4322B"/>
    <w:rPr>
      <w:i/>
      <w:iCs/>
      <w:color w:val="0F4761" w:themeColor="accent1" w:themeShade="BF"/>
    </w:rPr>
  </w:style>
  <w:style w:type="paragraph" w:styleId="IntenseQuote">
    <w:name w:val="Intense Quote"/>
    <w:basedOn w:val="Normal"/>
    <w:next w:val="Normal"/>
    <w:link w:val="IntenseQuoteChar"/>
    <w:uiPriority w:val="30"/>
    <w:qFormat/>
    <w:rsid w:val="00D43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22B"/>
    <w:rPr>
      <w:i/>
      <w:iCs/>
      <w:color w:val="0F4761" w:themeColor="accent1" w:themeShade="BF"/>
    </w:rPr>
  </w:style>
  <w:style w:type="character" w:styleId="IntenseReference">
    <w:name w:val="Intense Reference"/>
    <w:basedOn w:val="DefaultParagraphFont"/>
    <w:uiPriority w:val="32"/>
    <w:qFormat/>
    <w:rsid w:val="00D4322B"/>
    <w:rPr>
      <w:b/>
      <w:bCs/>
      <w:smallCaps/>
      <w:color w:val="0F4761" w:themeColor="accent1" w:themeShade="BF"/>
      <w:spacing w:val="5"/>
    </w:rPr>
  </w:style>
  <w:style w:type="character" w:styleId="FootnoteReference">
    <w:name w:val="footnote reference"/>
    <w:basedOn w:val="DefaultParagraphFont"/>
    <w:uiPriority w:val="99"/>
    <w:unhideWhenUsed/>
    <w:rsid w:val="00D4322B"/>
    <w:rPr>
      <w:vertAlign w:val="superscript"/>
    </w:rPr>
  </w:style>
  <w:style w:type="paragraph" w:styleId="FootnoteText">
    <w:name w:val="footnote text"/>
    <w:aliases w:val=" Char Char Char, Char Char Char C"/>
    <w:basedOn w:val="Normal"/>
    <w:link w:val="FootnoteTextChar"/>
    <w:uiPriority w:val="99"/>
    <w:qFormat/>
    <w:rsid w:val="00D4322B"/>
    <w:pPr>
      <w:overflowPunct w:val="0"/>
      <w:autoSpaceDE w:val="0"/>
      <w:autoSpaceDN w:val="0"/>
      <w:adjustRightInd w:val="0"/>
      <w:spacing w:after="0" w:line="240" w:lineRule="auto"/>
    </w:pPr>
    <w:rPr>
      <w:rFonts w:ascii="David" w:eastAsia="Times New Roman" w:hAnsi="David"/>
      <w:sz w:val="20"/>
      <w:szCs w:val="20"/>
      <w:lang w:eastAsia="he-IL"/>
    </w:rPr>
  </w:style>
  <w:style w:type="character" w:customStyle="1" w:styleId="FootnoteTextChar">
    <w:name w:val="Footnote Text Char"/>
    <w:aliases w:val=" Char Char Char Char, Char Char Char C Char"/>
    <w:basedOn w:val="DefaultParagraphFont"/>
    <w:link w:val="FootnoteText"/>
    <w:uiPriority w:val="99"/>
    <w:rsid w:val="00D4322B"/>
    <w:rPr>
      <w:rFonts w:ascii="David" w:eastAsia="Times New Roman" w:hAnsi="David"/>
      <w:sz w:val="20"/>
      <w:szCs w:val="20"/>
      <w:lang w:eastAsia="he-IL"/>
    </w:rPr>
  </w:style>
  <w:style w:type="paragraph" w:customStyle="1" w:styleId="a">
    <w:name w:val="הש"/>
    <w:basedOn w:val="Normal"/>
    <w:link w:val="Char"/>
    <w:qFormat/>
    <w:rsid w:val="00565AF2"/>
    <w:pPr>
      <w:spacing w:line="240" w:lineRule="auto"/>
    </w:pPr>
    <w:rPr>
      <w:rFonts w:eastAsiaTheme="minorEastAsia"/>
      <w:sz w:val="20"/>
      <w:szCs w:val="20"/>
      <w:lang w:eastAsia="he-IL"/>
    </w:rPr>
  </w:style>
  <w:style w:type="character" w:customStyle="1" w:styleId="Char">
    <w:name w:val="הש Char"/>
    <w:basedOn w:val="DefaultParagraphFont"/>
    <w:link w:val="a"/>
    <w:rsid w:val="00565AF2"/>
    <w:rPr>
      <w:rFonts w:eastAsiaTheme="minorEastAsia"/>
      <w:sz w:val="20"/>
      <w:szCs w:val="20"/>
      <w:lang w:eastAsia="he-IL"/>
    </w:rPr>
  </w:style>
  <w:style w:type="character" w:styleId="Hyperlink">
    <w:name w:val="Hyperlink"/>
    <w:basedOn w:val="DefaultParagraphFont"/>
    <w:uiPriority w:val="99"/>
    <w:unhideWhenUsed/>
    <w:rsid w:val="007827C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cationleadership.usc.edu/2013/05/22/listen-some-accurate-quotes-about-media-mistakes-featuring/" TargetMode="External"/><Relationship Id="rId13" Type="http://schemas.openxmlformats.org/officeDocument/2006/relationships/hyperlink" Target="https://www.nytimes.com/2025/04/15/business/media/trump-white-house-newswire-press.html" TargetMode="External"/><Relationship Id="rId3" Type="http://schemas.openxmlformats.org/officeDocument/2006/relationships/hyperlink" Target="https://resources.rsf.org/appendix-iii-declaration-of-rights-and-obligations-of-journalists/?utm_source=chatgpt.com" TargetMode="External"/><Relationship Id="rId7" Type="http://schemas.openxmlformats.org/officeDocument/2006/relationships/hyperlink" Target="http://www.ifj.org/en/articles/ifj-declaration-of-principles-on-the-conduct-of-journalists" TargetMode="External"/><Relationship Id="rId12" Type="http://schemas.openxmlformats.org/officeDocument/2006/relationships/hyperlink" Target="https://nmc-mic.ca/about-newspapers/statement-of-principles/" TargetMode="External"/><Relationship Id="rId2" Type="http://schemas.openxmlformats.org/officeDocument/2006/relationships/hyperlink" Target="https://www.ifj.org/who/rules-and-policy/global-charter-of-ethics-for-journalists" TargetMode="External"/><Relationship Id="rId1" Type="http://schemas.openxmlformats.org/officeDocument/2006/relationships/hyperlink" Target="https://accountablejournalism.org/ethics-codes/Canada-CAJ-Principles" TargetMode="External"/><Relationship Id="rId6" Type="http://schemas.openxmlformats.org/officeDocument/2006/relationships/hyperlink" Target="https://www.uts.edu.au/globalassets/sites/default/files/2023-01/cmt-newsletter-of-2-september-2022.pdf" TargetMode="External"/><Relationship Id="rId11" Type="http://schemas.openxmlformats.org/officeDocument/2006/relationships/hyperlink" Target="https://www.washingtonpost.com/policies-and-standards/" TargetMode="External"/><Relationship Id="rId5" Type="http://schemas.openxmlformats.org/officeDocument/2006/relationships/hyperlink" Target="https://zeefeed.com.au/scott-morrison-secret-ministry-scandal-origin/" TargetMode="External"/><Relationship Id="rId10" Type="http://schemas.openxmlformats.org/officeDocument/2006/relationships/hyperlink" Target="https://www.washingtonpost.com/business/economy/washington-post-closes-sale-to-amazon-founder-jeff-bezos/2013/10/01/fca3b16a-2acf-11e3-97a3-ff2758228523_story.html" TargetMode="External"/><Relationship Id="rId4" Type="http://schemas.openxmlformats.org/officeDocument/2006/relationships/hyperlink" Target="https://journalism.co.za/press-code-of-professional-practice-sa/" TargetMode="External"/><Relationship Id="rId9" Type="http://schemas.openxmlformats.org/officeDocument/2006/relationships/hyperlink" Target="https://members.newsleaders.org/resources-ethics-wapo?utm_source=chatgpt.com" TargetMode="External"/><Relationship Id="rId14" Type="http://schemas.openxmlformats.org/officeDocument/2006/relationships/hyperlink" Target="https://apnews.com/article/pentagon-press-access-hegseth-trump-restrictions-5d9c2a63e4e03b91fc1546bb09ffbf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7563</Words>
  <Characters>43112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Peled</dc:creator>
  <cp:keywords/>
  <dc:description/>
  <cp:lastModifiedBy>Roy Peled</cp:lastModifiedBy>
  <cp:revision>2</cp:revision>
  <dcterms:created xsi:type="dcterms:W3CDTF">2025-11-03T00:01:00Z</dcterms:created>
  <dcterms:modified xsi:type="dcterms:W3CDTF">2025-11-03T00:01:00Z</dcterms:modified>
</cp:coreProperties>
</file>