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F5C19E0" w:rsidR="00FA51FB" w:rsidRDefault="1086E90A" w:rsidP="01688F07">
      <w:pPr>
        <w:jc w:val="center"/>
        <w:rPr>
          <w:b/>
          <w:bCs/>
        </w:rPr>
      </w:pPr>
      <w:r w:rsidRPr="01688F07">
        <w:rPr>
          <w:b/>
          <w:bCs/>
        </w:rPr>
        <w:t>WHY THE PRESS CLAUSE?</w:t>
      </w:r>
    </w:p>
    <w:p w14:paraId="7149A364" w14:textId="472BDED6" w:rsidR="01688F07" w:rsidRDefault="44F36EB9" w:rsidP="26888584">
      <w:pPr>
        <w:jc w:val="center"/>
        <w:rPr>
          <w:rStyle w:val="EndnoteReference"/>
          <w:b/>
          <w:bCs/>
        </w:rPr>
      </w:pPr>
      <w:r w:rsidRPr="26888584">
        <w:rPr>
          <w:b/>
          <w:bCs/>
        </w:rPr>
        <w:t>By Lee Levin</w:t>
      </w:r>
      <w:r w:rsidR="6551B68F" w:rsidRPr="26888584">
        <w:rPr>
          <w:b/>
          <w:bCs/>
        </w:rPr>
        <w:t>e</w:t>
      </w:r>
      <w:r w:rsidR="01688F07" w:rsidRPr="26888584">
        <w:rPr>
          <w:rStyle w:val="FootnoteReference"/>
          <w:b/>
          <w:bCs/>
        </w:rPr>
        <w:footnoteReference w:id="1"/>
      </w:r>
    </w:p>
    <w:p w14:paraId="1484BE09" w14:textId="4794AA67" w:rsidR="6E25C35A" w:rsidRDefault="251997E4" w:rsidP="73F15B91">
      <w:pPr>
        <w:ind w:firstLine="720"/>
      </w:pPr>
      <w:r>
        <w:t xml:space="preserve">In recent years, much ink has been spilled in </w:t>
      </w:r>
      <w:r w:rsidR="4424FEF6">
        <w:t>an</w:t>
      </w:r>
      <w:r>
        <w:t xml:space="preserve"> ongoing debate over </w:t>
      </w:r>
      <w:r w:rsidR="79AE8267" w:rsidRPr="06A62122">
        <w:rPr>
          <w:i/>
          <w:iCs/>
        </w:rPr>
        <w:t xml:space="preserve">whether </w:t>
      </w:r>
      <w:r w:rsidR="79AE8267" w:rsidRPr="73F15B91">
        <w:t>the First Amendment’s Press Clause ought to provide additional or different rights than those afforded by the Speech Clause that immediately precedes it</w:t>
      </w:r>
      <w:r w:rsidR="42FE37F9" w:rsidRPr="73F15B91">
        <w:t xml:space="preserve"> in the constitutional text</w:t>
      </w:r>
      <w:r w:rsidR="79AE8267" w:rsidRPr="73F15B91">
        <w:t xml:space="preserve">. </w:t>
      </w:r>
      <w:r w:rsidR="32B2CD25" w:rsidRPr="73F15B91">
        <w:t xml:space="preserve">In my view, the last </w:t>
      </w:r>
      <w:r w:rsidR="754D4260" w:rsidRPr="73F15B91">
        <w:t xml:space="preserve">word </w:t>
      </w:r>
      <w:r w:rsidR="551DBA22" w:rsidRPr="73F15B91">
        <w:t>on the subject</w:t>
      </w:r>
      <w:r w:rsidR="754D4260" w:rsidRPr="73F15B91">
        <w:t xml:space="preserve"> is </w:t>
      </w:r>
      <w:r w:rsidR="754D4260" w:rsidRPr="06A62122">
        <w:rPr>
          <w:i/>
          <w:iCs/>
        </w:rPr>
        <w:t xml:space="preserve">The Press Clause: The Forgotten </w:t>
      </w:r>
      <w:r w:rsidR="0F050015" w:rsidRPr="06A62122">
        <w:rPr>
          <w:i/>
          <w:iCs/>
        </w:rPr>
        <w:t>First Amendment</w:t>
      </w:r>
      <w:r w:rsidR="0F050015" w:rsidRPr="73F15B91">
        <w:t xml:space="preserve"> </w:t>
      </w:r>
      <w:r w:rsidR="7B14338F" w:rsidRPr="73F15B91">
        <w:t xml:space="preserve">published earlier this year </w:t>
      </w:r>
      <w:r w:rsidR="0F050015" w:rsidRPr="73F15B91">
        <w:t xml:space="preserve">by </w:t>
      </w:r>
      <w:r w:rsidR="336A65E9" w:rsidRPr="73F15B91">
        <w:t xml:space="preserve">The </w:t>
      </w:r>
      <w:r w:rsidR="0F050015" w:rsidRPr="73F15B91">
        <w:t>Yale Law School’s Floyd Abrams Institute for Freedom of Expression.</w:t>
      </w:r>
      <w:r w:rsidR="6E25C35A" w:rsidRPr="73F15B91">
        <w:rPr>
          <w:rStyle w:val="FootnoteReference"/>
        </w:rPr>
        <w:footnoteReference w:id="2"/>
      </w:r>
    </w:p>
    <w:p w14:paraId="246445F8" w14:textId="5257832A" w:rsidR="74044E16" w:rsidRDefault="0F050015" w:rsidP="4D7F4BE1">
      <w:pPr>
        <w:ind w:firstLine="720"/>
      </w:pPr>
      <w:r w:rsidRPr="4D7F4BE1">
        <w:t xml:space="preserve">My purpose in this essay is not to </w:t>
      </w:r>
      <w:r w:rsidR="79B35E66" w:rsidRPr="4D7F4BE1">
        <w:t>revisit</w:t>
      </w:r>
      <w:r w:rsidRPr="4D7F4BE1">
        <w:t xml:space="preserve"> that </w:t>
      </w:r>
      <w:r w:rsidR="05A453CC" w:rsidRPr="4D7F4BE1">
        <w:t>debate but rather to address a related question—</w:t>
      </w:r>
      <w:r w:rsidR="05A453CC" w:rsidRPr="06A62122">
        <w:rPr>
          <w:i/>
          <w:iCs/>
        </w:rPr>
        <w:t xml:space="preserve">why </w:t>
      </w:r>
      <w:r w:rsidR="74CE3C84" w:rsidRPr="4D7F4BE1">
        <w:t xml:space="preserve">should </w:t>
      </w:r>
      <w:r w:rsidR="05A453CC" w:rsidRPr="4D7F4BE1">
        <w:t>the Press Clause be so construed</w:t>
      </w:r>
      <w:r w:rsidR="4CD93CBF" w:rsidRPr="4D7F4BE1">
        <w:t>?</w:t>
      </w:r>
      <w:r w:rsidR="05A453CC" w:rsidRPr="4D7F4BE1">
        <w:t xml:space="preserve"> </w:t>
      </w:r>
      <w:r w:rsidR="04FDB39B" w:rsidRPr="4D7F4BE1">
        <w:t>There are several possible responses,</w:t>
      </w:r>
      <w:r w:rsidR="23167B45" w:rsidRPr="4D7F4BE1">
        <w:t xml:space="preserve"> from </w:t>
      </w:r>
      <w:r w:rsidR="75FF7854" w:rsidRPr="4D7F4BE1">
        <w:t xml:space="preserve">the failure of </w:t>
      </w:r>
      <w:r w:rsidR="23167B45" w:rsidRPr="4D7F4BE1">
        <w:t xml:space="preserve">current Speech Clause-based </w:t>
      </w:r>
      <w:r w:rsidR="0D6F6C06" w:rsidRPr="4D7F4BE1">
        <w:t>jurisprudence to</w:t>
      </w:r>
      <w:r w:rsidR="0506D56A" w:rsidRPr="4D7F4BE1">
        <w:t xml:space="preserve"> recognize a “neutral reportage” privilege abrogating the common law </w:t>
      </w:r>
      <w:r w:rsidR="6E741588" w:rsidRPr="4D7F4BE1">
        <w:t xml:space="preserve">republication </w:t>
      </w:r>
      <w:r w:rsidR="0506D56A" w:rsidRPr="4D7F4BE1">
        <w:t xml:space="preserve">rule </w:t>
      </w:r>
      <w:r w:rsidR="0ED799FB" w:rsidRPr="4D7F4BE1">
        <w:t xml:space="preserve">when a </w:t>
      </w:r>
      <w:r w:rsidR="165CB7CA" w:rsidRPr="4D7F4BE1">
        <w:t>journalist</w:t>
      </w:r>
      <w:r w:rsidR="4C15B566" w:rsidRPr="4D7F4BE1">
        <w:t xml:space="preserve"> reports newsworthy</w:t>
      </w:r>
      <w:r w:rsidR="576351E8" w:rsidRPr="4D7F4BE1">
        <w:t xml:space="preserve"> but false</w:t>
      </w:r>
      <w:r w:rsidR="18299EFE" w:rsidRPr="4D7F4BE1">
        <w:t xml:space="preserve"> statements made by </w:t>
      </w:r>
      <w:r w:rsidR="01860AA0" w:rsidRPr="4D7F4BE1">
        <w:t xml:space="preserve">third parties </w:t>
      </w:r>
      <w:r w:rsidR="006208A1">
        <w:t>(</w:t>
      </w:r>
      <w:r w:rsidR="01860AA0" w:rsidRPr="4D7F4BE1">
        <w:t xml:space="preserve">including </w:t>
      </w:r>
      <w:r w:rsidR="1267B832" w:rsidRPr="4D7F4BE1">
        <w:t>public official</w:t>
      </w:r>
      <w:r w:rsidR="5DBF3D94" w:rsidRPr="4D7F4BE1">
        <w:t>s</w:t>
      </w:r>
      <w:r w:rsidR="006208A1">
        <w:t>}</w:t>
      </w:r>
      <w:r w:rsidR="524DDFF4" w:rsidRPr="4D7F4BE1">
        <w:t>,</w:t>
      </w:r>
      <w:r w:rsidR="74044E16" w:rsidRPr="4D7F4BE1">
        <w:rPr>
          <w:rStyle w:val="FootnoteReference"/>
        </w:rPr>
        <w:footnoteReference w:id="3"/>
      </w:r>
      <w:r w:rsidR="165CB7CA" w:rsidRPr="4D7F4BE1">
        <w:t xml:space="preserve"> </w:t>
      </w:r>
      <w:r w:rsidR="767BD183" w:rsidRPr="4D7F4BE1">
        <w:t>to its failure to ensure press access to governmental and other public proceedings</w:t>
      </w:r>
      <w:r w:rsidR="7CFE35A5" w:rsidRPr="4D7F4BE1">
        <w:t xml:space="preserve"> and records</w:t>
      </w:r>
      <w:r w:rsidR="767BD183" w:rsidRPr="4D7F4BE1">
        <w:t xml:space="preserve"> outside the judicial branch.</w:t>
      </w:r>
      <w:r w:rsidR="74044E16" w:rsidRPr="4D7F4BE1">
        <w:rPr>
          <w:rStyle w:val="FootnoteReference"/>
        </w:rPr>
        <w:footnoteReference w:id="4"/>
      </w:r>
      <w:r w:rsidR="767BD183" w:rsidRPr="4D7F4BE1">
        <w:t xml:space="preserve"> </w:t>
      </w:r>
    </w:p>
    <w:p w14:paraId="4EAB187C" w14:textId="743D3BEF" w:rsidR="045E7634" w:rsidRDefault="045E7634" w:rsidP="4D7F4BE1">
      <w:pPr>
        <w:ind w:firstLine="720"/>
      </w:pPr>
      <w:r w:rsidRPr="4D7F4BE1">
        <w:t>With apologies to those worthy causes, the primary reas</w:t>
      </w:r>
      <w:r w:rsidR="4FA6F870" w:rsidRPr="4D7F4BE1">
        <w:t xml:space="preserve">on the Press Clause </w:t>
      </w:r>
      <w:r w:rsidR="4FA6F870" w:rsidRPr="06A62122">
        <w:rPr>
          <w:i/>
          <w:iCs/>
        </w:rPr>
        <w:t xml:space="preserve">must </w:t>
      </w:r>
      <w:r w:rsidR="0EB8D16E" w:rsidRPr="06A62122">
        <w:t>have independent force</w:t>
      </w:r>
      <w:r w:rsidR="4FA6F870" w:rsidRPr="4D7F4BE1">
        <w:t xml:space="preserve"> is the Supreme Court’s insistence that the Speech Clause does not protect</w:t>
      </w:r>
      <w:r w:rsidR="1E59EA42" w:rsidRPr="4D7F4BE1">
        <w:t xml:space="preserve"> the press </w:t>
      </w:r>
      <w:r w:rsidR="29AED1C7" w:rsidRPr="4D7F4BE1">
        <w:t xml:space="preserve">from liability (criminal or civil) for violating </w:t>
      </w:r>
      <w:r w:rsidR="1E59EA42" w:rsidRPr="4D7F4BE1">
        <w:t xml:space="preserve">“laws of general applicability” when those laws are invoked to </w:t>
      </w:r>
      <w:r w:rsidR="47B2773D" w:rsidRPr="4D7F4BE1">
        <w:t>punish gathering</w:t>
      </w:r>
      <w:r w:rsidR="7E63F537" w:rsidRPr="4D7F4BE1">
        <w:t xml:space="preserve"> the news</w:t>
      </w:r>
      <w:r w:rsidR="47B2773D" w:rsidRPr="4D7F4BE1">
        <w:t>.</w:t>
      </w:r>
      <w:r w:rsidRPr="4D7F4BE1">
        <w:rPr>
          <w:rStyle w:val="FootnoteReference"/>
        </w:rPr>
        <w:footnoteReference w:id="5"/>
      </w:r>
      <w:r w:rsidR="4B0843E8" w:rsidRPr="4D7F4BE1">
        <w:t xml:space="preserve"> As a result, the </w:t>
      </w:r>
      <w:r w:rsidR="4B0843E8" w:rsidRPr="4D7F4BE1">
        <w:lastRenderedPageBreak/>
        <w:t>Court has declared that jour</w:t>
      </w:r>
      <w:r w:rsidR="7864FC0A" w:rsidRPr="4D7F4BE1">
        <w:t xml:space="preserve">nalists typically cannot find shelter under the First Amendment when, </w:t>
      </w:r>
      <w:r w:rsidR="2510D3E6" w:rsidRPr="4D7F4BE1">
        <w:t>for example</w:t>
      </w:r>
      <w:r w:rsidR="7864FC0A" w:rsidRPr="4D7F4BE1">
        <w:t xml:space="preserve">, they attempt </w:t>
      </w:r>
      <w:r w:rsidR="4AC843AC" w:rsidRPr="4D7F4BE1">
        <w:t>to protect their confidential sources from governmentally compelled disclosure</w:t>
      </w:r>
      <w:r w:rsidR="3AD682D9" w:rsidRPr="4D7F4BE1">
        <w:t>,</w:t>
      </w:r>
      <w:r w:rsidRPr="4D7F4BE1">
        <w:rPr>
          <w:rStyle w:val="FootnoteReference"/>
        </w:rPr>
        <w:footnoteReference w:id="6"/>
      </w:r>
      <w:r w:rsidR="3AD682D9" w:rsidRPr="4D7F4BE1">
        <w:t xml:space="preserve"> </w:t>
      </w:r>
      <w:r w:rsidR="0047B795" w:rsidRPr="4D7F4BE1">
        <w:t>determine to reveal their identities when they a</w:t>
      </w:r>
      <w:r w:rsidR="47BBC9DC" w:rsidRPr="4D7F4BE1">
        <w:t>re newsworthy</w:t>
      </w:r>
      <w:r w:rsidR="4AC843AC" w:rsidRPr="4D7F4BE1">
        <w:t>,</w:t>
      </w:r>
      <w:r w:rsidRPr="4D7F4BE1">
        <w:rPr>
          <w:rStyle w:val="FootnoteReference"/>
        </w:rPr>
        <w:footnoteReference w:id="7"/>
      </w:r>
      <w:r w:rsidR="4AC843AC" w:rsidRPr="4D7F4BE1">
        <w:t xml:space="preserve"> </w:t>
      </w:r>
      <w:r w:rsidR="66ADA691" w:rsidRPr="4D7F4BE1">
        <w:t xml:space="preserve">and </w:t>
      </w:r>
      <w:r w:rsidR="4AC843AC" w:rsidRPr="4D7F4BE1">
        <w:t>their newsrooms are raided by government agents</w:t>
      </w:r>
      <w:r w:rsidR="573DC3DA" w:rsidRPr="4D7F4BE1">
        <w:t xml:space="preserve"> seek</w:t>
      </w:r>
      <w:r w:rsidR="38207170" w:rsidRPr="4D7F4BE1">
        <w:t>ing</w:t>
      </w:r>
      <w:r w:rsidR="573DC3DA" w:rsidRPr="4D7F4BE1">
        <w:t xml:space="preserve"> to </w:t>
      </w:r>
      <w:r w:rsidR="0EE59F8E" w:rsidRPr="4D7F4BE1">
        <w:t>access their unpublished work product</w:t>
      </w:r>
      <w:r w:rsidR="7E84489D" w:rsidRPr="4D7F4BE1">
        <w:t>.</w:t>
      </w:r>
      <w:r w:rsidRPr="4D7F4BE1">
        <w:rPr>
          <w:rStyle w:val="FootnoteReference"/>
        </w:rPr>
        <w:footnoteReference w:id="8"/>
      </w:r>
      <w:r w:rsidR="7E84489D" w:rsidRPr="4D7F4BE1">
        <w:t xml:space="preserve"> For the same reason, </w:t>
      </w:r>
      <w:r w:rsidR="00625D83">
        <w:t xml:space="preserve">lower </w:t>
      </w:r>
      <w:r w:rsidR="7E84489D" w:rsidRPr="4D7F4BE1">
        <w:t>federal courts have la</w:t>
      </w:r>
      <w:r w:rsidR="49C90C7D" w:rsidRPr="4D7F4BE1">
        <w:t xml:space="preserve">rgely </w:t>
      </w:r>
      <w:r w:rsidR="33EAB3EB" w:rsidRPr="4D7F4BE1">
        <w:t xml:space="preserve">assumed that the First Amendment </w:t>
      </w:r>
      <w:r w:rsidR="5CD9386E" w:rsidRPr="4D7F4BE1">
        <w:t>does</w:t>
      </w:r>
      <w:r w:rsidR="33EAB3EB" w:rsidRPr="4D7F4BE1">
        <w:t xml:space="preserve"> not preclude the prosecution of journalist</w:t>
      </w:r>
      <w:r w:rsidR="5161B8D8" w:rsidRPr="4D7F4BE1">
        <w:t>s</w:t>
      </w:r>
      <w:r w:rsidR="33EAB3EB" w:rsidRPr="4D7F4BE1">
        <w:t xml:space="preserve"> under the Espionage Act</w:t>
      </w:r>
      <w:r w:rsidR="2A4EBFCE" w:rsidRPr="4D7F4BE1">
        <w:t xml:space="preserve"> when they receive classified information from government sources</w:t>
      </w:r>
      <w:r w:rsidRPr="4D7F4BE1">
        <w:rPr>
          <w:rStyle w:val="FootnoteReference"/>
        </w:rPr>
        <w:footnoteReference w:id="9"/>
      </w:r>
      <w:r w:rsidR="03DE336E" w:rsidRPr="4D7F4BE1">
        <w:t xml:space="preserve"> or a civil judgment against them for </w:t>
      </w:r>
      <w:r w:rsidR="1C4734A0" w:rsidRPr="4D7F4BE1">
        <w:t>recording images and conversations without the subject’s consent.</w:t>
      </w:r>
      <w:r w:rsidRPr="4D7F4BE1">
        <w:rPr>
          <w:rStyle w:val="FootnoteReference"/>
        </w:rPr>
        <w:footnoteReference w:id="10"/>
      </w:r>
      <w:r w:rsidR="54DBEE6E" w:rsidRPr="4D7F4BE1">
        <w:t xml:space="preserve"> Still other appellate courts have been left to perform constitutional gymnastics to justify </w:t>
      </w:r>
      <w:r w:rsidR="62923018" w:rsidRPr="4D7F4BE1">
        <w:t xml:space="preserve">holding that the act of recording police officers performing their duties in public is </w:t>
      </w:r>
      <w:r w:rsidR="0D86CABC" w:rsidRPr="4D7F4BE1">
        <w:t xml:space="preserve">in fact </w:t>
      </w:r>
      <w:r w:rsidR="62923018" w:rsidRPr="4D7F4BE1">
        <w:t>protected “speech.”</w:t>
      </w:r>
      <w:r w:rsidRPr="4D7F4BE1">
        <w:rPr>
          <w:rStyle w:val="FootnoteReference"/>
        </w:rPr>
        <w:footnoteReference w:id="11"/>
      </w:r>
    </w:p>
    <w:p w14:paraId="30A0E12C" w14:textId="43743822" w:rsidR="16E5388A" w:rsidRDefault="16E5388A" w:rsidP="4D7F4BE1">
      <w:pPr>
        <w:ind w:firstLine="720"/>
      </w:pPr>
      <w:r w:rsidRPr="4D7F4BE1">
        <w:t xml:space="preserve">All this stands in stark contrast to how the “freedom of the press” has evolved in much of the rest of the Western world. Throughout Europe, </w:t>
      </w:r>
      <w:r w:rsidR="7728C0C8" w:rsidRPr="4D7F4BE1">
        <w:t>to cite just one</w:t>
      </w:r>
      <w:r w:rsidRPr="4D7F4BE1">
        <w:t xml:space="preserve"> examp</w:t>
      </w:r>
      <w:r w:rsidR="30F81CA7" w:rsidRPr="4D7F4BE1">
        <w:t>le, journalists enjoy broad protections when they seek to protect their confidential sources from c</w:t>
      </w:r>
      <w:r w:rsidR="08EE0582" w:rsidRPr="4D7F4BE1">
        <w:t xml:space="preserve">ompelled disclosure. </w:t>
      </w:r>
      <w:r w:rsidR="345846DE" w:rsidRPr="4D7F4BE1">
        <w:t>For courts</w:t>
      </w:r>
      <w:r w:rsidR="0F4303DD" w:rsidRPr="4D7F4BE1">
        <w:t xml:space="preserve"> applying </w:t>
      </w:r>
      <w:r w:rsidR="44DA3BC0" w:rsidRPr="4D7F4BE1">
        <w:t>Article 10 of the European Convention for the Protection of Human Rights, Europe’s version of the First Amen</w:t>
      </w:r>
      <w:r w:rsidR="0DC07167" w:rsidRPr="4D7F4BE1">
        <w:t>dment, there is simply no question that the protection of a journalist’s confidential sources “is one of the basic conditions for press freedo</w:t>
      </w:r>
      <w:r w:rsidR="2308D414" w:rsidRPr="4D7F4BE1">
        <w:t>ms.”</w:t>
      </w:r>
      <w:r w:rsidRPr="4D7F4BE1">
        <w:rPr>
          <w:rStyle w:val="FootnoteReference"/>
        </w:rPr>
        <w:footnoteReference w:id="12"/>
      </w:r>
      <w:r w:rsidR="2308D414" w:rsidRPr="4D7F4BE1">
        <w:t xml:space="preserve"> In the United States, in contrast, </w:t>
      </w:r>
      <w:r w:rsidR="0FCB3070" w:rsidRPr="4D7F4BE1">
        <w:t>the Supreme Court has concluded that the “incidental</w:t>
      </w:r>
      <w:r w:rsidR="7631E609" w:rsidRPr="4D7F4BE1">
        <w:t>”</w:t>
      </w:r>
      <w:r w:rsidR="0FCB3070" w:rsidRPr="4D7F4BE1">
        <w:t xml:space="preserve"> burdening of the press that may result from the enforcement of civil or criminal statutes of general appli</w:t>
      </w:r>
      <w:r w:rsidR="40046F24" w:rsidRPr="4D7F4BE1">
        <w:t xml:space="preserve">cability—such as the enforcement of a grand jury subpoena seeking a journalist’s confidential sources—is </w:t>
      </w:r>
      <w:r w:rsidR="5256AF0E" w:rsidRPr="4D7F4BE1">
        <w:t>not sufficient to constitute a violation of the First Amendment.</w:t>
      </w:r>
      <w:r w:rsidRPr="4D7F4BE1">
        <w:rPr>
          <w:rStyle w:val="FootnoteReference"/>
        </w:rPr>
        <w:footnoteReference w:id="13"/>
      </w:r>
      <w:r w:rsidR="345846DE" w:rsidRPr="4D7F4BE1">
        <w:t xml:space="preserve"> </w:t>
      </w:r>
    </w:p>
    <w:p w14:paraId="65132915" w14:textId="673009B9" w:rsidR="62923018" w:rsidRDefault="62923018" w:rsidP="26888584">
      <w:pPr>
        <w:ind w:firstLine="720"/>
      </w:pPr>
      <w:r>
        <w:t xml:space="preserve">In this essay, I endeavor to explain how </w:t>
      </w:r>
      <w:r w:rsidR="4B06F974">
        <w:t>American constitutional</w:t>
      </w:r>
      <w:r w:rsidR="6CF4FE38">
        <w:t xml:space="preserve"> doctrine got to this place, the toll it has taken on press freedom, and </w:t>
      </w:r>
      <w:r w:rsidR="7A9D7F3C">
        <w:t xml:space="preserve">the doctrinal inconsistencies that undermine its validity. In Part I, I </w:t>
      </w:r>
      <w:r w:rsidR="446A203D">
        <w:t>examine</w:t>
      </w:r>
      <w:r w:rsidR="50F0441C">
        <w:t xml:space="preserve"> the Supreme Court’s double </w:t>
      </w:r>
      <w:proofErr w:type="gramStart"/>
      <w:r w:rsidR="50F0441C">
        <w:t>speak</w:t>
      </w:r>
      <w:proofErr w:type="gramEnd"/>
      <w:r w:rsidR="50F0441C">
        <w:t xml:space="preserve"> with respect to the Press Clause</w:t>
      </w:r>
      <w:r w:rsidR="3A7191BE">
        <w:t>’s efficacy</w:t>
      </w:r>
      <w:r w:rsidR="50F0441C">
        <w:t>. In Part II, I trace the unfortunate history of the Court’s “inci</w:t>
      </w:r>
      <w:r w:rsidR="5D188378">
        <w:t>dental</w:t>
      </w:r>
      <w:r w:rsidR="5D0EBDA4">
        <w:t>”</w:t>
      </w:r>
      <w:r w:rsidR="5D188378">
        <w:t xml:space="preserve"> </w:t>
      </w:r>
      <w:bookmarkStart w:id="0" w:name="_Int_Hd0OFytg"/>
      <w:r w:rsidR="5D188378">
        <w:t>restraints</w:t>
      </w:r>
      <w:bookmarkEnd w:id="0"/>
      <w:r w:rsidR="5D188378">
        <w:t xml:space="preserve"> jurisprudence and its impact on journalism in the public interest. </w:t>
      </w:r>
      <w:r w:rsidR="04608FB0">
        <w:t xml:space="preserve">In </w:t>
      </w:r>
      <w:r w:rsidR="04608FB0">
        <w:lastRenderedPageBreak/>
        <w:t xml:space="preserve">Part III, I rely on the better angels of the Court’s press-specific precedent to lay the foundation for </w:t>
      </w:r>
      <w:r w:rsidR="3FE609D5">
        <w:t>future efforts to invigorate the Press Clause and, through it,</w:t>
      </w:r>
      <w:r w:rsidR="34DF467B">
        <w:t xml:space="preserve"> </w:t>
      </w:r>
      <w:r w:rsidR="6C07DF1D">
        <w:t xml:space="preserve">safeguard </w:t>
      </w:r>
      <w:r w:rsidR="34DF467B">
        <w:t>American</w:t>
      </w:r>
      <w:r w:rsidR="3FE609D5">
        <w:t xml:space="preserve"> journalism.</w:t>
      </w:r>
    </w:p>
    <w:p w14:paraId="231E9FFF" w14:textId="16C57822" w:rsidR="3FE609D5" w:rsidRDefault="3FE609D5" w:rsidP="1AD546AA">
      <w:pPr>
        <w:jc w:val="center"/>
      </w:pPr>
      <w:r w:rsidRPr="1AD546AA">
        <w:rPr>
          <w:b/>
          <w:bCs/>
        </w:rPr>
        <w:t>I</w:t>
      </w:r>
    </w:p>
    <w:p w14:paraId="0AE08FB5" w14:textId="759A47D1" w:rsidR="5D188378" w:rsidRDefault="5D188378" w:rsidP="4D7F4BE1">
      <w:pPr>
        <w:ind w:firstLine="720"/>
      </w:pPr>
      <w:r w:rsidRPr="4D7F4BE1">
        <w:t xml:space="preserve"> </w:t>
      </w:r>
      <w:r w:rsidR="54DBEE6E" w:rsidRPr="4D7F4BE1">
        <w:t xml:space="preserve"> </w:t>
      </w:r>
      <w:r w:rsidR="560A9BDE" w:rsidRPr="4D7F4BE1">
        <w:t xml:space="preserve"> </w:t>
      </w:r>
      <w:r w:rsidR="3573D0C7" w:rsidRPr="4D7F4BE1">
        <w:t xml:space="preserve">There was a time, </w:t>
      </w:r>
      <w:r w:rsidR="695D4BEC" w:rsidRPr="4D7F4BE1">
        <w:t>not long</w:t>
      </w:r>
      <w:r w:rsidR="3573D0C7" w:rsidRPr="4D7F4BE1">
        <w:t xml:space="preserve"> after the Supreme Court incorporated the First Amendment into the Fourteenth and applied it against the states, when every </w:t>
      </w:r>
      <w:r w:rsidR="2E30DA60" w:rsidRPr="4D7F4BE1">
        <w:t>justice sitting on th</w:t>
      </w:r>
      <w:r w:rsidR="5FC061B5" w:rsidRPr="4D7F4BE1">
        <w:t>at court</w:t>
      </w:r>
      <w:r w:rsidR="2E30DA60" w:rsidRPr="4D7F4BE1">
        <w:t xml:space="preserve"> </w:t>
      </w:r>
      <w:r w:rsidR="0B170572" w:rsidRPr="4D7F4BE1">
        <w:t xml:space="preserve">subscribed to </w:t>
      </w:r>
      <w:r w:rsidR="2E30DA60" w:rsidRPr="4D7F4BE1">
        <w:t xml:space="preserve">the </w:t>
      </w:r>
      <w:r w:rsidR="722EBA3B" w:rsidRPr="4D7F4BE1">
        <w:t xml:space="preserve">then-unremarkable </w:t>
      </w:r>
      <w:r w:rsidR="2E30DA60" w:rsidRPr="4D7F4BE1">
        <w:t xml:space="preserve">view that the Press Clause </w:t>
      </w:r>
      <w:r w:rsidR="790C9053" w:rsidRPr="4D7F4BE1">
        <w:t>protect</w:t>
      </w:r>
      <w:r w:rsidR="372A2882" w:rsidRPr="4D7F4BE1">
        <w:t>s</w:t>
      </w:r>
      <w:r w:rsidR="790C9053" w:rsidRPr="4D7F4BE1">
        <w:t xml:space="preserve"> the </w:t>
      </w:r>
      <w:r w:rsidR="24C82B13" w:rsidRPr="4D7F4BE1">
        <w:t>“</w:t>
      </w:r>
      <w:r w:rsidR="790C9053" w:rsidRPr="4D7F4BE1">
        <w:t xml:space="preserve">press” from governmental overreach. </w:t>
      </w:r>
      <w:r w:rsidR="3C18811A" w:rsidRPr="4D7F4BE1">
        <w:t>L</w:t>
      </w:r>
      <w:r w:rsidR="790C9053" w:rsidRPr="4D7F4BE1">
        <w:t xml:space="preserve">ook no further than </w:t>
      </w:r>
      <w:r w:rsidR="790C9053" w:rsidRPr="06A62122">
        <w:rPr>
          <w:i/>
          <w:iCs/>
        </w:rPr>
        <w:t>Grosjean v. American Press</w:t>
      </w:r>
      <w:r w:rsidR="1661921A" w:rsidRPr="06A62122">
        <w:rPr>
          <w:i/>
          <w:iCs/>
        </w:rPr>
        <w:t xml:space="preserve"> Co</w:t>
      </w:r>
      <w:r w:rsidR="2EEDBA82" w:rsidRPr="06A62122">
        <w:rPr>
          <w:i/>
          <w:iCs/>
        </w:rPr>
        <w:t>.</w:t>
      </w:r>
      <w:r w:rsidRPr="06A62122">
        <w:rPr>
          <w:rStyle w:val="FootnoteReference"/>
        </w:rPr>
        <w:footnoteReference w:id="14"/>
      </w:r>
      <w:r w:rsidR="2EEDBA82" w:rsidRPr="06A62122">
        <w:rPr>
          <w:i/>
          <w:iCs/>
        </w:rPr>
        <w:t xml:space="preserve"> </w:t>
      </w:r>
      <w:r w:rsidR="2EEDBA82" w:rsidRPr="4D7F4BE1">
        <w:t xml:space="preserve">In that 1936 decision, a unanimous Court unambiguously held that </w:t>
      </w:r>
      <w:r w:rsidR="71486CE5" w:rsidRPr="4D7F4BE1">
        <w:t xml:space="preserve">a Louisiana statute that imposed a tax on the state’s largest newspapers violated “the freedom of the press,” </w:t>
      </w:r>
      <w:r w:rsidR="71486CE5" w:rsidRPr="06A62122">
        <w:rPr>
          <w:i/>
          <w:iCs/>
        </w:rPr>
        <w:t>not</w:t>
      </w:r>
      <w:r w:rsidR="71486CE5" w:rsidRPr="4D7F4BE1">
        <w:t xml:space="preserve"> the “freedom of expression” or “freedom of speech.”</w:t>
      </w:r>
      <w:r w:rsidRPr="4D7F4BE1">
        <w:rPr>
          <w:rStyle w:val="FootnoteReference"/>
        </w:rPr>
        <w:footnoteReference w:id="15"/>
      </w:r>
      <w:r w:rsidR="71486CE5" w:rsidRPr="4D7F4BE1">
        <w:t xml:space="preserve">  </w:t>
      </w:r>
      <w:r w:rsidR="1D09AFF3" w:rsidRPr="4D7F4BE1">
        <w:t>The case arrived at the Supreme Court from Louisiana where U.S. Senator (and former Governor) Huey Long had strong-armed the legislature to im</w:t>
      </w:r>
      <w:r w:rsidR="7B3E6A7A" w:rsidRPr="4D7F4BE1">
        <w:t>pose a punitive tax on the state’s largest newspapers. As it happened, th</w:t>
      </w:r>
      <w:r w:rsidR="7C72E721" w:rsidRPr="4D7F4BE1">
        <w:t>ose</w:t>
      </w:r>
      <w:r w:rsidR="7B3E6A7A" w:rsidRPr="4D7F4BE1">
        <w:t xml:space="preserve"> newspapers had been overtly critical of Long</w:t>
      </w:r>
      <w:r w:rsidR="7CAB1541" w:rsidRPr="4D7F4BE1">
        <w:t>. Of the nine newspapers subject to the tax, “[a]</w:t>
      </w:r>
      <w:proofErr w:type="spellStart"/>
      <w:r w:rsidR="7CAB1541" w:rsidRPr="4D7F4BE1">
        <w:t>ll</w:t>
      </w:r>
      <w:proofErr w:type="spellEnd"/>
      <w:r w:rsidR="7CAB1541" w:rsidRPr="4D7F4BE1">
        <w:t xml:space="preserve"> but one” had allegedly “ganged up” on the senator and a circular </w:t>
      </w:r>
      <w:r w:rsidR="3E64FC77" w:rsidRPr="4D7F4BE1">
        <w:t>distributed by L</w:t>
      </w:r>
      <w:r w:rsidR="594703BF" w:rsidRPr="4D7F4BE1">
        <w:t>o</w:t>
      </w:r>
      <w:r w:rsidR="3E64FC77" w:rsidRPr="4D7F4BE1">
        <w:t>ng to members of the state legislature</w:t>
      </w:r>
      <w:r w:rsidR="04F32DF6" w:rsidRPr="4D7F4BE1">
        <w:t xml:space="preserve"> vilified the</w:t>
      </w:r>
      <w:r w:rsidR="3E64FC77" w:rsidRPr="4D7F4BE1">
        <w:t xml:space="preserve">  </w:t>
      </w:r>
      <w:r w:rsidR="42070A26" w:rsidRPr="4D7F4BE1">
        <w:t>”</w:t>
      </w:r>
      <w:r w:rsidR="3E64FC77" w:rsidRPr="4D7F4BE1">
        <w:t>‘lying new</w:t>
      </w:r>
      <w:r w:rsidR="4094C20C" w:rsidRPr="4D7F4BE1">
        <w:t>spapers’</w:t>
      </w:r>
      <w:r w:rsidR="6E4B729A" w:rsidRPr="4D7F4BE1">
        <w:t>"</w:t>
      </w:r>
      <w:r w:rsidR="4094C20C" w:rsidRPr="4D7F4BE1">
        <w:t xml:space="preserve"> </w:t>
      </w:r>
      <w:r w:rsidR="7C346502" w:rsidRPr="4D7F4BE1">
        <w:t xml:space="preserve">that </w:t>
      </w:r>
      <w:r w:rsidR="3664EEBD" w:rsidRPr="4D7F4BE1">
        <w:t>he</w:t>
      </w:r>
      <w:r w:rsidR="7C346502" w:rsidRPr="4D7F4BE1">
        <w:t xml:space="preserve"> said were</w:t>
      </w:r>
      <w:r w:rsidR="4094C20C" w:rsidRPr="4D7F4BE1">
        <w:t xml:space="preserve"> conducting </w:t>
      </w:r>
      <w:r w:rsidR="559170AA" w:rsidRPr="4D7F4BE1">
        <w:t>”</w:t>
      </w:r>
      <w:r w:rsidR="4094C20C" w:rsidRPr="4D7F4BE1">
        <w:t xml:space="preserve">‘a vicious campaign’ and </w:t>
      </w:r>
      <w:r w:rsidR="3AF0DF1D" w:rsidRPr="4D7F4BE1">
        <w:t xml:space="preserve">described </w:t>
      </w:r>
      <w:r w:rsidR="4094C20C" w:rsidRPr="4D7F4BE1">
        <w:t xml:space="preserve">the </w:t>
      </w:r>
      <w:r w:rsidR="469A8590" w:rsidRPr="4D7F4BE1">
        <w:t>legislation</w:t>
      </w:r>
      <w:r w:rsidR="4094C20C" w:rsidRPr="4D7F4BE1">
        <w:t xml:space="preserve"> as ‘a tax on lying, 2 cents a lie.’”</w:t>
      </w:r>
      <w:r w:rsidRPr="4D7F4BE1">
        <w:rPr>
          <w:rStyle w:val="FootnoteReference"/>
        </w:rPr>
        <w:footnoteReference w:id="16"/>
      </w:r>
    </w:p>
    <w:p w14:paraId="38B5264D" w14:textId="1145738A" w:rsidR="01825D99" w:rsidRDefault="703C0675" w:rsidP="4D7F4BE1">
      <w:pPr>
        <w:ind w:firstLine="720"/>
      </w:pPr>
      <w:r w:rsidRPr="4D7F4BE1">
        <w:t xml:space="preserve">In no uncertain terms, the </w:t>
      </w:r>
      <w:r w:rsidR="01825D99" w:rsidRPr="4D7F4BE1">
        <w:t>Court held that the statute abridged “the freedom of the press.”</w:t>
      </w:r>
      <w:r w:rsidR="01825D99" w:rsidRPr="4D7F4BE1">
        <w:rPr>
          <w:rStyle w:val="FootnoteReference"/>
        </w:rPr>
        <w:footnoteReference w:id="17"/>
      </w:r>
      <w:r w:rsidR="01825D99" w:rsidRPr="4D7F4BE1">
        <w:t xml:space="preserve"> It explained that the “predominant purpose” of the </w:t>
      </w:r>
      <w:r w:rsidR="034F51B1" w:rsidRPr="4D7F4BE1">
        <w:t>Press Clause “was to protect an untrammeled press as a vital source of public information.”</w:t>
      </w:r>
      <w:r w:rsidR="01825D99" w:rsidRPr="4D7F4BE1">
        <w:rPr>
          <w:rStyle w:val="FootnoteReference"/>
        </w:rPr>
        <w:footnoteReference w:id="18"/>
      </w:r>
      <w:r w:rsidR="034F51B1" w:rsidRPr="4D7F4BE1">
        <w:t xml:space="preserve"> The Louisiana s</w:t>
      </w:r>
      <w:r w:rsidR="3C66F6C3" w:rsidRPr="4D7F4BE1">
        <w:t xml:space="preserve">tatute was “bad,” Justice </w:t>
      </w:r>
      <w:r w:rsidR="440C0643" w:rsidRPr="4D7F4BE1">
        <w:t xml:space="preserve">George </w:t>
      </w:r>
      <w:r w:rsidR="3C66F6C3" w:rsidRPr="4D7F4BE1">
        <w:t>Sutherland wrote for the Court, because it was “a deliberate and calculated device in the gu</w:t>
      </w:r>
      <w:r w:rsidR="73B36263" w:rsidRPr="4D7F4BE1">
        <w:t>ise of a tax to limit the circulation of information to which the public is entitled.”</w:t>
      </w:r>
      <w:r w:rsidR="01825D99" w:rsidRPr="4D7F4BE1">
        <w:rPr>
          <w:rStyle w:val="FootnoteReference"/>
        </w:rPr>
        <w:footnoteReference w:id="19"/>
      </w:r>
      <w:r w:rsidR="73B36263" w:rsidRPr="4D7F4BE1">
        <w:t xml:space="preserve"> It violated the First Amendment</w:t>
      </w:r>
      <w:r w:rsidR="26AE622F" w:rsidRPr="4D7F4BE1">
        <w:t xml:space="preserve"> because a “free press stands as one of the great interpreters between the government and the people” and “[t]o allow it to be fettered is to</w:t>
      </w:r>
      <w:r w:rsidR="28887328" w:rsidRPr="4D7F4BE1">
        <w:t xml:space="preserve"> fetter ourselves.”</w:t>
      </w:r>
      <w:r w:rsidR="01825D99" w:rsidRPr="4D7F4BE1">
        <w:rPr>
          <w:rStyle w:val="FootnoteReference"/>
        </w:rPr>
        <w:footnoteReference w:id="20"/>
      </w:r>
    </w:p>
    <w:p w14:paraId="00A4B05F" w14:textId="667AF711" w:rsidR="28887328" w:rsidRDefault="28887328" w:rsidP="4D7F4BE1">
      <w:pPr>
        <w:ind w:firstLine="720"/>
      </w:pPr>
      <w:r w:rsidRPr="4D7F4BE1">
        <w:t xml:space="preserve">Within its four corners, the Court’s opinion in </w:t>
      </w:r>
      <w:r w:rsidRPr="06A62122">
        <w:rPr>
          <w:i/>
          <w:iCs/>
        </w:rPr>
        <w:t>Grosjean</w:t>
      </w:r>
      <w:r w:rsidRPr="4D7F4BE1">
        <w:t xml:space="preserve"> is largely silent </w:t>
      </w:r>
      <w:r w:rsidR="778E364B" w:rsidRPr="4D7F4BE1">
        <w:t xml:space="preserve">about the basis for its conclusion that the Louisiana statute constituted a “deliberate and calculated </w:t>
      </w:r>
      <w:r w:rsidR="778E364B" w:rsidRPr="4D7F4BE1">
        <w:lastRenderedPageBreak/>
        <w:t>device in the gu</w:t>
      </w:r>
      <w:r w:rsidR="6AFD2046" w:rsidRPr="4D7F4BE1">
        <w:t xml:space="preserve">ise of a tax to limit the circulation of information to which the public is entitled.” Judicial explication of that conclusion </w:t>
      </w:r>
      <w:r w:rsidR="6E177ED9" w:rsidRPr="4D7F4BE1">
        <w:t xml:space="preserve">first </w:t>
      </w:r>
      <w:r w:rsidR="6AFD2046" w:rsidRPr="4D7F4BE1">
        <w:t xml:space="preserve">arrived nearly a half-century later in </w:t>
      </w:r>
      <w:r w:rsidR="6AFD2046" w:rsidRPr="06A62122">
        <w:rPr>
          <w:i/>
          <w:iCs/>
        </w:rPr>
        <w:t>Minne</w:t>
      </w:r>
      <w:r w:rsidR="62DA416D" w:rsidRPr="06A62122">
        <w:rPr>
          <w:i/>
          <w:iCs/>
        </w:rPr>
        <w:t xml:space="preserve">apolis Star </w:t>
      </w:r>
      <w:r w:rsidR="713D1421" w:rsidRPr="06A62122">
        <w:rPr>
          <w:i/>
          <w:iCs/>
        </w:rPr>
        <w:t xml:space="preserve">Tribune </w:t>
      </w:r>
      <w:r w:rsidR="62DA416D" w:rsidRPr="06A62122">
        <w:rPr>
          <w:i/>
          <w:iCs/>
        </w:rPr>
        <w:t>v. Minnesota Commissioner of Revenue</w:t>
      </w:r>
      <w:r w:rsidR="62DA416D" w:rsidRPr="4D7F4BE1">
        <w:t>.</w:t>
      </w:r>
      <w:r w:rsidRPr="4D7F4BE1">
        <w:rPr>
          <w:rStyle w:val="FootnoteReference"/>
        </w:rPr>
        <w:footnoteReference w:id="21"/>
      </w:r>
      <w:r w:rsidR="62DA416D" w:rsidRPr="06A62122">
        <w:rPr>
          <w:i/>
          <w:iCs/>
        </w:rPr>
        <w:t xml:space="preserve"> </w:t>
      </w:r>
      <w:r w:rsidR="62DA416D" w:rsidRPr="4D7F4BE1">
        <w:t>There, Justice</w:t>
      </w:r>
      <w:r w:rsidR="58896BF1" w:rsidRPr="4D7F4BE1">
        <w:t xml:space="preserve"> Sandra Day</w:t>
      </w:r>
      <w:r w:rsidR="62DA416D" w:rsidRPr="4D7F4BE1">
        <w:t xml:space="preserve"> </w:t>
      </w:r>
      <w:r w:rsidR="101070CE" w:rsidRPr="4D7F4BE1">
        <w:t>O’Connor’s opinion for the Court provided the description of Senator Long’s and</w:t>
      </w:r>
      <w:r w:rsidR="6FD75EA1" w:rsidRPr="4D7F4BE1">
        <w:t xml:space="preserve"> the</w:t>
      </w:r>
      <w:r w:rsidR="101070CE" w:rsidRPr="4D7F4BE1">
        <w:t xml:space="preserve"> Louisian</w:t>
      </w:r>
      <w:r w:rsidR="2C2CCB7F" w:rsidRPr="4D7F4BE1">
        <w:t>a</w:t>
      </w:r>
      <w:r w:rsidR="101070CE" w:rsidRPr="4D7F4BE1">
        <w:t xml:space="preserve"> legislature’s</w:t>
      </w:r>
      <w:r w:rsidR="126FE0F9" w:rsidRPr="4D7F4BE1">
        <w:t xml:space="preserve"> motives recited above, while candidly acknowledging that </w:t>
      </w:r>
      <w:r w:rsidR="126FE0F9" w:rsidRPr="06A62122">
        <w:rPr>
          <w:i/>
          <w:iCs/>
        </w:rPr>
        <w:t xml:space="preserve">Grosjean </w:t>
      </w:r>
      <w:r w:rsidR="126FE0F9" w:rsidRPr="4D7F4BE1">
        <w:t>itself “did not describe this history.”</w:t>
      </w:r>
      <w:r w:rsidRPr="4D7F4BE1">
        <w:rPr>
          <w:rStyle w:val="FootnoteReference"/>
        </w:rPr>
        <w:footnoteReference w:id="22"/>
      </w:r>
      <w:r w:rsidR="126FE0F9" w:rsidRPr="4D7F4BE1">
        <w:t xml:space="preserve"> </w:t>
      </w:r>
      <w:r w:rsidR="561EDF9C" w:rsidRPr="4D7F4BE1">
        <w:t xml:space="preserve">In </w:t>
      </w:r>
      <w:r w:rsidR="561EDF9C" w:rsidRPr="06A62122">
        <w:rPr>
          <w:i/>
          <w:iCs/>
        </w:rPr>
        <w:t>Minneapolis Star</w:t>
      </w:r>
      <w:r w:rsidR="561EDF9C" w:rsidRPr="4D7F4BE1">
        <w:t>, where</w:t>
      </w:r>
      <w:r w:rsidR="17859AD7" w:rsidRPr="4D7F4BE1">
        <w:t xml:space="preserve"> there was no evidence that</w:t>
      </w:r>
      <w:r w:rsidR="561EDF9C" w:rsidRPr="4D7F4BE1">
        <w:t xml:space="preserve"> the </w:t>
      </w:r>
      <w:r w:rsidR="671E8337" w:rsidRPr="4D7F4BE1">
        <w:t xml:space="preserve">challenged </w:t>
      </w:r>
      <w:r w:rsidR="66857C7F" w:rsidRPr="4D7F4BE1">
        <w:t>legislation</w:t>
      </w:r>
      <w:r w:rsidR="671E8337" w:rsidRPr="4D7F4BE1">
        <w:t>’s tax on newspapers</w:t>
      </w:r>
      <w:r w:rsidR="62DA416D" w:rsidRPr="06A62122">
        <w:rPr>
          <w:i/>
          <w:iCs/>
        </w:rPr>
        <w:t xml:space="preserve"> </w:t>
      </w:r>
      <w:r w:rsidR="349D133C" w:rsidRPr="4D7F4BE1">
        <w:t xml:space="preserve">was the product “of any impermissible or censorial motive,” the Court nevertheless extended </w:t>
      </w:r>
      <w:r w:rsidR="349D133C" w:rsidRPr="06A62122">
        <w:rPr>
          <w:i/>
          <w:iCs/>
        </w:rPr>
        <w:t xml:space="preserve">Grosjean </w:t>
      </w:r>
      <w:r w:rsidR="349D133C" w:rsidRPr="4D7F4BE1">
        <w:t>to creat</w:t>
      </w:r>
      <w:r w:rsidR="74EC22F9" w:rsidRPr="4D7F4BE1">
        <w:t>e</w:t>
      </w:r>
      <w:r w:rsidR="349D133C" w:rsidRPr="4D7F4BE1">
        <w:t xml:space="preserve"> a </w:t>
      </w:r>
      <w:r w:rsidR="349D133C" w:rsidRPr="06A62122">
        <w:rPr>
          <w:i/>
          <w:iCs/>
        </w:rPr>
        <w:t>presumption</w:t>
      </w:r>
      <w:r w:rsidR="6679650C" w:rsidRPr="06A62122">
        <w:rPr>
          <w:i/>
          <w:iCs/>
        </w:rPr>
        <w:t xml:space="preserve"> </w:t>
      </w:r>
      <w:r w:rsidR="6679650C" w:rsidRPr="4D7F4BE1">
        <w:t>of bad faith whenever a statute singles out the press</w:t>
      </w:r>
      <w:r w:rsidR="0455CDB2" w:rsidRPr="4D7F4BE1">
        <w:t xml:space="preserve"> for disfavored treatment</w:t>
      </w:r>
      <w:r w:rsidR="6679650C" w:rsidRPr="4D7F4BE1">
        <w:t>.</w:t>
      </w:r>
      <w:r w:rsidRPr="4D7F4BE1">
        <w:rPr>
          <w:rStyle w:val="FootnoteReference"/>
        </w:rPr>
        <w:footnoteReference w:id="23"/>
      </w:r>
      <w:r w:rsidR="6679650C" w:rsidRPr="4D7F4BE1">
        <w:t xml:space="preserve"> “[U]</w:t>
      </w:r>
      <w:proofErr w:type="spellStart"/>
      <w:r w:rsidR="6679650C" w:rsidRPr="4D7F4BE1">
        <w:t>nless</w:t>
      </w:r>
      <w:proofErr w:type="spellEnd"/>
      <w:r w:rsidR="6679650C" w:rsidRPr="4D7F4BE1">
        <w:t xml:space="preserve"> justified by </w:t>
      </w:r>
      <w:r w:rsidR="20DC58C6" w:rsidRPr="4D7F4BE1">
        <w:t>some special characteristic of the press,” Justice O’Connor explained, government action targeting journalists and news organizations “suggests that the goal of the regulation is</w:t>
      </w:r>
      <w:r w:rsidR="7D3D80A7" w:rsidRPr="4D7F4BE1">
        <w:t xml:space="preserve"> not unrelated to suppression of expression and such a goal is presumptively unconstitutional.”</w:t>
      </w:r>
      <w:r w:rsidRPr="4D7F4BE1">
        <w:rPr>
          <w:rStyle w:val="FootnoteReference"/>
        </w:rPr>
        <w:footnoteReference w:id="24"/>
      </w:r>
    </w:p>
    <w:p w14:paraId="046BDEC6" w14:textId="763878D1" w:rsidR="4C01FAAD" w:rsidRDefault="4C01FAAD" w:rsidP="152ACAB1">
      <w:pPr>
        <w:ind w:firstLine="720"/>
      </w:pPr>
      <w:r>
        <w:t xml:space="preserve">The Court </w:t>
      </w:r>
      <w:bookmarkStart w:id="1" w:name="_Int_sEShkrPM"/>
      <w:r>
        <w:t>decided</w:t>
      </w:r>
      <w:bookmarkEnd w:id="1"/>
      <w:r>
        <w:t xml:space="preserve"> </w:t>
      </w:r>
      <w:bookmarkStart w:id="2" w:name="_Int_4YDkKJOk"/>
      <w:r w:rsidRPr="06A62122">
        <w:rPr>
          <w:i/>
          <w:iCs/>
        </w:rPr>
        <w:t>Minneapolis Star</w:t>
      </w:r>
      <w:bookmarkEnd w:id="2"/>
      <w:r w:rsidRPr="06A62122">
        <w:rPr>
          <w:i/>
          <w:iCs/>
        </w:rPr>
        <w:t xml:space="preserve"> </w:t>
      </w:r>
      <w:r>
        <w:t xml:space="preserve">in </w:t>
      </w:r>
      <w:r w:rsidR="1E437EF5">
        <w:t xml:space="preserve">1983. Its reaffirmation and extension of </w:t>
      </w:r>
      <w:r w:rsidR="1E437EF5" w:rsidRPr="06A62122">
        <w:rPr>
          <w:i/>
          <w:iCs/>
        </w:rPr>
        <w:t xml:space="preserve">Grosjean </w:t>
      </w:r>
      <w:r w:rsidR="1E437EF5">
        <w:t>might sugges</w:t>
      </w:r>
      <w:r w:rsidR="5ADDA00B">
        <w:t xml:space="preserve">t that, in the intervening fifty odd years, </w:t>
      </w:r>
      <w:r w:rsidR="66CBCEC8">
        <w:t xml:space="preserve">the justices’ </w:t>
      </w:r>
      <w:r w:rsidR="7F2CE51D">
        <w:t>fidelity to its constitutional premise—that t</w:t>
      </w:r>
      <w:r w:rsidR="352904CE">
        <w:t>he First Amendment’s Press Clause serves “to protect an untrammeled press as a vital source of public information</w:t>
      </w:r>
      <w:r w:rsidR="1A1619C5">
        <w:t>”—</w:t>
      </w:r>
      <w:r w:rsidR="11B88D0F">
        <w:t xml:space="preserve">had remained untarnished. </w:t>
      </w:r>
      <w:r w:rsidR="59A18064">
        <w:t xml:space="preserve">Sadly, any such assumption would be demonstrably incorrect. </w:t>
      </w:r>
    </w:p>
    <w:p w14:paraId="07FAE25B" w14:textId="437E54C0" w:rsidR="50D52ED2" w:rsidRDefault="50D52ED2" w:rsidP="4D7F4BE1">
      <w:pPr>
        <w:ind w:firstLine="720"/>
      </w:pPr>
      <w:r w:rsidRPr="4D7F4BE1">
        <w:t>In 197</w:t>
      </w:r>
      <w:r w:rsidR="5A885684" w:rsidRPr="4D7F4BE1">
        <w:t>4</w:t>
      </w:r>
      <w:r w:rsidRPr="4D7F4BE1">
        <w:t>, i</w:t>
      </w:r>
      <w:r w:rsidR="4471E917" w:rsidRPr="4D7F4BE1">
        <w:t xml:space="preserve">n the wake of Watergate and </w:t>
      </w:r>
      <w:r w:rsidR="4159A34F" w:rsidRPr="4D7F4BE1">
        <w:t>the investigative journalism that helped un</w:t>
      </w:r>
      <w:r w:rsidR="7B710C82" w:rsidRPr="4D7F4BE1">
        <w:t xml:space="preserve">earth </w:t>
      </w:r>
      <w:r w:rsidR="7510FED0" w:rsidRPr="4D7F4BE1">
        <w:t>a president</w:t>
      </w:r>
      <w:r w:rsidR="4159A34F" w:rsidRPr="4D7F4BE1">
        <w:t>’s miscon</w:t>
      </w:r>
      <w:r w:rsidR="56EE4748" w:rsidRPr="4D7F4BE1">
        <w:t xml:space="preserve">duct, Justice Potter Stewart was invited to deliver an address to celebrate </w:t>
      </w:r>
      <w:r w:rsidR="6293B558" w:rsidRPr="4D7F4BE1">
        <w:t xml:space="preserve">The Yale Law School’s sesquicentennial. He used the occasion </w:t>
      </w:r>
      <w:r w:rsidR="601CC320" w:rsidRPr="4D7F4BE1">
        <w:t>to “discuss the role of the organized press—of the daily newspapers</w:t>
      </w:r>
      <w:r w:rsidR="6293B558" w:rsidRPr="4D7F4BE1">
        <w:t xml:space="preserve"> </w:t>
      </w:r>
      <w:r w:rsidR="10AC19B0" w:rsidRPr="4D7F4BE1">
        <w:t>and other established news media—in the system of government created by our Constitution.”</w:t>
      </w:r>
      <w:r w:rsidRPr="4D7F4BE1">
        <w:rPr>
          <w:rStyle w:val="FootnoteReference"/>
        </w:rPr>
        <w:footnoteReference w:id="25"/>
      </w:r>
      <w:r w:rsidR="10AC19B0" w:rsidRPr="4D7F4BE1">
        <w:t xml:space="preserve"> </w:t>
      </w:r>
      <w:r w:rsidR="26096993" w:rsidRPr="4D7F4BE1">
        <w:t>Justice Stewart described</w:t>
      </w:r>
      <w:r w:rsidR="70236C47" w:rsidRPr="4D7F4BE1">
        <w:t xml:space="preserve"> what he viewed as</w:t>
      </w:r>
      <w:r w:rsidR="26096993" w:rsidRPr="4D7F4BE1">
        <w:t xml:space="preserve"> the Court’s </w:t>
      </w:r>
      <w:r w:rsidR="654118FB" w:rsidRPr="4D7F4BE1">
        <w:t xml:space="preserve">“understanding” that the Press Clause “is, in essence, a </w:t>
      </w:r>
      <w:r w:rsidR="654118FB" w:rsidRPr="22369DF4">
        <w:rPr>
          <w:i/>
          <w:iCs/>
        </w:rPr>
        <w:t xml:space="preserve">structural </w:t>
      </w:r>
      <w:r w:rsidR="654118FB" w:rsidRPr="4D7F4BE1">
        <w:t>provision of the Constitution</w:t>
      </w:r>
      <w:r w:rsidR="113C9132" w:rsidRPr="4D7F4BE1">
        <w:t>,” one that “extends protection to an institution.”</w:t>
      </w:r>
      <w:r w:rsidRPr="4D7F4BE1">
        <w:rPr>
          <w:rStyle w:val="FootnoteReference"/>
        </w:rPr>
        <w:footnoteReference w:id="26"/>
      </w:r>
      <w:r w:rsidR="113C9132" w:rsidRPr="4D7F4BE1">
        <w:t xml:space="preserve"> As Justice Stewart explained it, </w:t>
      </w:r>
      <w:r w:rsidR="3B0D0B1C" w:rsidRPr="4D7F4BE1">
        <w:t>the “publishing business” is “the only organized private business that is given explicit constitutional protection.</w:t>
      </w:r>
      <w:r w:rsidR="44535748" w:rsidRPr="4D7F4BE1">
        <w:t>”</w:t>
      </w:r>
      <w:r w:rsidRPr="4D7F4BE1">
        <w:rPr>
          <w:rStyle w:val="FootnoteReference"/>
        </w:rPr>
        <w:footnoteReference w:id="27"/>
      </w:r>
      <w:r w:rsidR="44535748" w:rsidRPr="4D7F4BE1">
        <w:t xml:space="preserve"> That “basic understanding,” he continued, is “essential” because if “the Free Press </w:t>
      </w:r>
      <w:r w:rsidR="4658280F" w:rsidRPr="4D7F4BE1">
        <w:t>guarantee meant no more that freedom of expression, it would be a constitutional redundancy.”</w:t>
      </w:r>
      <w:r w:rsidRPr="4D7F4BE1">
        <w:rPr>
          <w:rStyle w:val="FootnoteReference"/>
        </w:rPr>
        <w:footnoteReference w:id="28"/>
      </w:r>
    </w:p>
    <w:p w14:paraId="6E03AE50" w14:textId="57D7FD92" w:rsidR="4658280F" w:rsidRDefault="4658280F" w:rsidP="4D7F4BE1">
      <w:pPr>
        <w:ind w:firstLine="720"/>
      </w:pPr>
      <w:r w:rsidRPr="4D7F4BE1">
        <w:lastRenderedPageBreak/>
        <w:t xml:space="preserve">Justice Stewart’s remarks were quickly repurposed as a law review </w:t>
      </w:r>
      <w:r w:rsidR="66B129FA" w:rsidRPr="4D7F4BE1">
        <w:t>article,</w:t>
      </w:r>
      <w:r w:rsidRPr="4D7F4BE1">
        <w:t xml:space="preserve"> and its publication just as quickly sparked a pointed rebuttal </w:t>
      </w:r>
      <w:r w:rsidR="17E4FB43" w:rsidRPr="4D7F4BE1">
        <w:t xml:space="preserve">from Chief Justice Warren Burger. </w:t>
      </w:r>
      <w:r w:rsidR="2E30C1B8" w:rsidRPr="4D7F4BE1">
        <w:t xml:space="preserve">In </w:t>
      </w:r>
      <w:r w:rsidR="2E30C1B8" w:rsidRPr="219241E5">
        <w:rPr>
          <w:i/>
          <w:iCs/>
        </w:rPr>
        <w:t>First National Bank of Boston v. Bellotti</w:t>
      </w:r>
      <w:r w:rsidR="2E30C1B8" w:rsidRPr="4D7F4BE1">
        <w:t>,</w:t>
      </w:r>
      <w:r w:rsidRPr="4D7F4BE1">
        <w:rPr>
          <w:rStyle w:val="FootnoteReference"/>
        </w:rPr>
        <w:footnoteReference w:id="29"/>
      </w:r>
      <w:r w:rsidR="2E30C1B8" w:rsidRPr="4D7F4BE1">
        <w:t xml:space="preserve"> in which the </w:t>
      </w:r>
      <w:r w:rsidR="537A4AAF" w:rsidRPr="4D7F4BE1">
        <w:t>C</w:t>
      </w:r>
      <w:r w:rsidR="2E30C1B8" w:rsidRPr="4D7F4BE1">
        <w:t>ourt invalidate</w:t>
      </w:r>
      <w:r w:rsidR="6C2C6610" w:rsidRPr="4D7F4BE1">
        <w:t>d</w:t>
      </w:r>
      <w:r w:rsidR="2E30C1B8" w:rsidRPr="4D7F4BE1">
        <w:t xml:space="preserve"> a Massachusetts statute that </w:t>
      </w:r>
      <w:r w:rsidR="04681BD3" w:rsidRPr="4D7F4BE1">
        <w:t>prevented corporations from opining on proposed income tax legislation</w:t>
      </w:r>
      <w:r w:rsidR="0BE82D1D" w:rsidRPr="4D7F4BE1">
        <w:t>, the Chief Justice wrote a concurring opinion in which he addressed an issue not before the Court but very much on his mind—Justice Stewart’s claim that</w:t>
      </w:r>
      <w:r w:rsidR="6EA6573D" w:rsidRPr="4D7F4BE1">
        <w:t xml:space="preserve"> the Press Clause provided unique protections to the institutional ”press</w:t>
      </w:r>
      <w:r w:rsidR="5759481B" w:rsidRPr="4D7F4BE1">
        <w:t>.</w:t>
      </w:r>
      <w:r w:rsidR="76B39EA8" w:rsidRPr="4D7F4BE1">
        <w:t>“</w:t>
      </w:r>
      <w:r w:rsidR="5759481B" w:rsidRPr="4D7F4BE1">
        <w:t xml:space="preserve"> </w:t>
      </w:r>
      <w:r w:rsidR="65CFC3A6" w:rsidRPr="4D7F4BE1">
        <w:t xml:space="preserve">Without specifically mentioning </w:t>
      </w:r>
      <w:r w:rsidR="02145166" w:rsidRPr="4D7F4BE1">
        <w:t xml:space="preserve">or even citing Justice Stewart’s position, the Chief Justice </w:t>
      </w:r>
      <w:r w:rsidR="04FC7085" w:rsidRPr="4D7F4BE1">
        <w:t xml:space="preserve">asserted that the “Speech Clause, standing alone, may be viewed as a protection of the liberty to express ideas and beliefs, while the Press Clause focuses </w:t>
      </w:r>
      <w:r w:rsidR="6B2FDA92" w:rsidRPr="4D7F4BE1">
        <w:t>specifically on the liberty to disseminate expression broadly.”</w:t>
      </w:r>
      <w:r w:rsidRPr="4D7F4BE1">
        <w:rPr>
          <w:rStyle w:val="FootnoteReference"/>
        </w:rPr>
        <w:footnoteReference w:id="30"/>
      </w:r>
      <w:r w:rsidR="6B2FDA92" w:rsidRPr="4D7F4BE1">
        <w:t xml:space="preserve"> For the Chief Justice, there is </w:t>
      </w:r>
      <w:r w:rsidR="451BFE50" w:rsidRPr="4D7F4BE1">
        <w:t>no constitutional “difference between the right of those who seek to disseminate ideas by way of a newspaper and those who give lectures or speeche</w:t>
      </w:r>
      <w:r w:rsidR="5722D141" w:rsidRPr="4D7F4BE1">
        <w:t>s and seek to enlarge the audience by publication and wide dissemination.”</w:t>
      </w:r>
      <w:r w:rsidRPr="4D7F4BE1">
        <w:rPr>
          <w:rStyle w:val="FootnoteReference"/>
        </w:rPr>
        <w:footnoteReference w:id="31"/>
      </w:r>
    </w:p>
    <w:p w14:paraId="0048FCDE" w14:textId="7F306E35" w:rsidR="5722D141" w:rsidRDefault="5722D141" w:rsidP="219241E5">
      <w:pPr>
        <w:ind w:firstLine="720"/>
        <w:rPr>
          <w:rStyle w:val="FootnoteReference"/>
        </w:rPr>
      </w:pPr>
      <w:r w:rsidRPr="4D7F4BE1">
        <w:t xml:space="preserve">Shortly thereafter, the Court was confronted with an unintended consequence of its landmark decision in </w:t>
      </w:r>
      <w:r w:rsidRPr="06A62122">
        <w:rPr>
          <w:i/>
          <w:iCs/>
        </w:rPr>
        <w:t>New York Times Co.</w:t>
      </w:r>
      <w:r w:rsidR="20E33F1A" w:rsidRPr="06A62122">
        <w:rPr>
          <w:i/>
          <w:iCs/>
        </w:rPr>
        <w:t xml:space="preserve"> v. Sullivan</w:t>
      </w:r>
      <w:r w:rsidR="78D2CC60" w:rsidRPr="06A62122">
        <w:rPr>
          <w:i/>
          <w:iCs/>
        </w:rPr>
        <w:t>,</w:t>
      </w:r>
      <w:r w:rsidRPr="7ABFE48D">
        <w:rPr>
          <w:rStyle w:val="FootnoteReference"/>
        </w:rPr>
        <w:footnoteReference w:id="32"/>
      </w:r>
      <w:r w:rsidR="78D2CC60" w:rsidRPr="06A62122">
        <w:rPr>
          <w:i/>
          <w:iCs/>
        </w:rPr>
        <w:t xml:space="preserve"> </w:t>
      </w:r>
      <w:r w:rsidR="78D2CC60" w:rsidRPr="4D7F4BE1">
        <w:t>which had</w:t>
      </w:r>
      <w:r w:rsidR="20E33F1A" w:rsidRPr="06A62122">
        <w:rPr>
          <w:i/>
          <w:iCs/>
        </w:rPr>
        <w:t xml:space="preserve"> </w:t>
      </w:r>
      <w:r w:rsidR="2587AD84" w:rsidRPr="4D7F4BE1">
        <w:t>severely restrict</w:t>
      </w:r>
      <w:r w:rsidR="329DA06C" w:rsidRPr="4D7F4BE1">
        <w:t>ed</w:t>
      </w:r>
      <w:r w:rsidR="2587AD84" w:rsidRPr="4D7F4BE1">
        <w:t xml:space="preserve"> the ability of the states to extend a cause of action for defamation to public officials</w:t>
      </w:r>
      <w:r w:rsidR="3F6DEFC7" w:rsidRPr="4D7F4BE1">
        <w:t xml:space="preserve">. Although the defendants in the case included both </w:t>
      </w:r>
      <w:r w:rsidR="3F6DEFC7" w:rsidRPr="06A62122">
        <w:rPr>
          <w:i/>
          <w:iCs/>
        </w:rPr>
        <w:t>The New York Times</w:t>
      </w:r>
      <w:r w:rsidR="3F6DEFC7" w:rsidRPr="4D7F4BE1">
        <w:t xml:space="preserve"> and several ministers who had attached their names to the adv</w:t>
      </w:r>
      <w:r w:rsidR="3EE7F3F0" w:rsidRPr="4D7F4BE1">
        <w:t>ertisement at issue, and the Court did not distinguish between their rights in its decision, subsequent cases often referred to “media defendants” as t</w:t>
      </w:r>
      <w:r w:rsidR="48E0839E" w:rsidRPr="4D7F4BE1">
        <w:t>he recipients of the constitutional protection conferred by one or another of the Court’s subsequent defamation decisions.</w:t>
      </w:r>
      <w:r w:rsidRPr="4D7F4BE1">
        <w:rPr>
          <w:rStyle w:val="FootnoteReference"/>
        </w:rPr>
        <w:footnoteReference w:id="33"/>
      </w:r>
      <w:r w:rsidR="48E0839E" w:rsidRPr="4D7F4BE1">
        <w:t xml:space="preserve"> The resulting conf</w:t>
      </w:r>
      <w:r w:rsidR="106E1C97" w:rsidRPr="4D7F4BE1">
        <w:t xml:space="preserve">usion led the Court to grant a petition for a writ of </w:t>
      </w:r>
      <w:r w:rsidR="106E1C97" w:rsidRPr="06A62122">
        <w:rPr>
          <w:i/>
          <w:iCs/>
        </w:rPr>
        <w:t xml:space="preserve">certiorari </w:t>
      </w:r>
      <w:r w:rsidR="106E1C97" w:rsidRPr="4D7F4BE1">
        <w:t xml:space="preserve">in </w:t>
      </w:r>
      <w:r w:rsidR="350E0C13" w:rsidRPr="06A62122">
        <w:rPr>
          <w:i/>
          <w:iCs/>
        </w:rPr>
        <w:t>Dun &amp; Bradstreet</w:t>
      </w:r>
      <w:r w:rsidR="2BC76A69" w:rsidRPr="06A62122">
        <w:rPr>
          <w:i/>
          <w:iCs/>
        </w:rPr>
        <w:t>, Inc.</w:t>
      </w:r>
      <w:r w:rsidR="350E0C13" w:rsidRPr="06A62122">
        <w:rPr>
          <w:i/>
          <w:iCs/>
        </w:rPr>
        <w:t xml:space="preserve"> v. </w:t>
      </w:r>
      <w:proofErr w:type="spellStart"/>
      <w:r w:rsidR="350E0C13" w:rsidRPr="06A62122">
        <w:rPr>
          <w:i/>
          <w:iCs/>
        </w:rPr>
        <w:t>Greenmoss</w:t>
      </w:r>
      <w:proofErr w:type="spellEnd"/>
      <w:r w:rsidR="350E0C13" w:rsidRPr="06A62122">
        <w:rPr>
          <w:i/>
          <w:iCs/>
        </w:rPr>
        <w:t xml:space="preserve"> Builders</w:t>
      </w:r>
      <w:r w:rsidR="54C76E29" w:rsidRPr="06A62122">
        <w:rPr>
          <w:i/>
          <w:iCs/>
        </w:rPr>
        <w:t>,</w:t>
      </w:r>
      <w:r w:rsidR="23756E3C" w:rsidRPr="06A62122">
        <w:rPr>
          <w:i/>
          <w:iCs/>
        </w:rPr>
        <w:t xml:space="preserve"> Inc.</w:t>
      </w:r>
      <w:r w:rsidRPr="06A62122">
        <w:rPr>
          <w:rStyle w:val="FootnoteReference"/>
        </w:rPr>
        <w:footnoteReference w:id="34"/>
      </w:r>
      <w:r w:rsidR="54C76E29" w:rsidRPr="06A62122">
        <w:t xml:space="preserve"> </w:t>
      </w:r>
      <w:r w:rsidR="54C76E29" w:rsidRPr="4D7F4BE1">
        <w:t xml:space="preserve">in which the Vermont Supreme Court had held that the </w:t>
      </w:r>
      <w:r w:rsidR="4E416E94" w:rsidRPr="4D7F4BE1">
        <w:t xml:space="preserve">First Amendment-based limitations on damages in defamation actions set out in </w:t>
      </w:r>
      <w:r w:rsidR="4E416E94" w:rsidRPr="06A62122">
        <w:rPr>
          <w:i/>
          <w:iCs/>
        </w:rPr>
        <w:t>Gertz v. Robert Welch, Inc</w:t>
      </w:r>
      <w:r w:rsidR="5B7DF8D3" w:rsidRPr="06A62122">
        <w:rPr>
          <w:i/>
          <w:iCs/>
        </w:rPr>
        <w:t>.</w:t>
      </w:r>
      <w:r w:rsidRPr="06A62122">
        <w:rPr>
          <w:rStyle w:val="FootnoteReference"/>
        </w:rPr>
        <w:footnoteReference w:id="35"/>
      </w:r>
      <w:r w:rsidR="5B7DF8D3" w:rsidRPr="06A62122">
        <w:t xml:space="preserve"> </w:t>
      </w:r>
      <w:r w:rsidR="5B7DF8D3" w:rsidRPr="4D7F4BE1">
        <w:t>did</w:t>
      </w:r>
      <w:r w:rsidR="48E0839E" w:rsidRPr="4D7F4BE1">
        <w:t xml:space="preserve"> </w:t>
      </w:r>
      <w:r w:rsidR="05C93AC9" w:rsidRPr="4D7F4BE1">
        <w:t>not apply to non-media defendants such as credit reporting agencies.</w:t>
      </w:r>
    </w:p>
    <w:p w14:paraId="5C0E9506" w14:textId="58819465" w:rsidR="05C93AC9" w:rsidRDefault="71E97AD1" w:rsidP="4D7F4BE1">
      <w:pPr>
        <w:ind w:firstLine="720"/>
      </w:pPr>
      <w:r w:rsidRPr="4D7F4BE1">
        <w:t>F</w:t>
      </w:r>
      <w:r w:rsidR="05C93AC9" w:rsidRPr="4D7F4BE1">
        <w:t>ollowing two rounds of briefing and two oral argument</w:t>
      </w:r>
      <w:r w:rsidR="76C7359B" w:rsidRPr="4D7F4BE1">
        <w:t>s</w:t>
      </w:r>
      <w:r w:rsidR="05C93AC9" w:rsidRPr="4D7F4BE1">
        <w:t xml:space="preserve">, the Court declined to answer directly the question on which it had granted review. Instead, it held </w:t>
      </w:r>
      <w:r w:rsidR="2A7278F2" w:rsidRPr="4D7F4BE1">
        <w:t xml:space="preserve">that the availability of the First Amendment rights articulated in </w:t>
      </w:r>
      <w:r w:rsidR="2A7278F2" w:rsidRPr="06A62122">
        <w:rPr>
          <w:i/>
          <w:iCs/>
        </w:rPr>
        <w:t xml:space="preserve">Gertz </w:t>
      </w:r>
      <w:r w:rsidR="2A7278F2" w:rsidRPr="4D7F4BE1">
        <w:t xml:space="preserve">turned not on whether the defendant was a </w:t>
      </w:r>
      <w:r w:rsidR="79ACFF32" w:rsidRPr="4D7F4BE1">
        <w:t xml:space="preserve">member of the </w:t>
      </w:r>
      <w:r w:rsidR="62B14533" w:rsidRPr="4D7F4BE1">
        <w:t>press</w:t>
      </w:r>
      <w:r w:rsidR="79ACFF32" w:rsidRPr="4D7F4BE1">
        <w:t xml:space="preserve">, but rather on whether the alleged defamation </w:t>
      </w:r>
      <w:r w:rsidR="79ACFF32" w:rsidRPr="4D7F4BE1">
        <w:lastRenderedPageBreak/>
        <w:t>addressed a matter of public concern.</w:t>
      </w:r>
      <w:r w:rsidR="05C93AC9" w:rsidRPr="4D7F4BE1">
        <w:rPr>
          <w:rStyle w:val="FootnoteReference"/>
        </w:rPr>
        <w:footnoteReference w:id="36"/>
      </w:r>
      <w:r w:rsidR="79ACFF32" w:rsidRPr="4D7F4BE1">
        <w:t xml:space="preserve"> Nevertheless, several justices </w:t>
      </w:r>
      <w:r w:rsidR="365324EF" w:rsidRPr="4D7F4BE1">
        <w:t>felt obliged to state their views on whether the Press Clause affords protection</w:t>
      </w:r>
      <w:r w:rsidR="17B2E0E1" w:rsidRPr="4D7F4BE1">
        <w:t xml:space="preserve"> to the institutional media that is unavailable to others. </w:t>
      </w:r>
      <w:r w:rsidR="0F79F4BE" w:rsidRPr="4D7F4BE1">
        <w:t xml:space="preserve">Most significantly, in a dissenting opinion on behalf of himself and three of his colleagues, Justice </w:t>
      </w:r>
      <w:r w:rsidR="1514636C" w:rsidRPr="4D7F4BE1">
        <w:t xml:space="preserve">William J. </w:t>
      </w:r>
      <w:r w:rsidR="0F79F4BE" w:rsidRPr="4D7F4BE1">
        <w:t>Brennan,</w:t>
      </w:r>
      <w:r w:rsidR="535F6C27" w:rsidRPr="4D7F4BE1">
        <w:t xml:space="preserve"> Jr., </w:t>
      </w:r>
      <w:r w:rsidR="0F79F4BE" w:rsidRPr="4D7F4BE1">
        <w:t xml:space="preserve"> the author of the Court</w:t>
      </w:r>
      <w:r w:rsidR="13C5198D" w:rsidRPr="4D7F4BE1">
        <w:t xml:space="preserve">’s opinion in </w:t>
      </w:r>
      <w:r w:rsidR="0F79F4BE" w:rsidRPr="06A62122">
        <w:rPr>
          <w:i/>
          <w:iCs/>
        </w:rPr>
        <w:t>Sullivan</w:t>
      </w:r>
      <w:r w:rsidR="4987B869" w:rsidRPr="06A62122">
        <w:rPr>
          <w:i/>
          <w:iCs/>
        </w:rPr>
        <w:t xml:space="preserve"> </w:t>
      </w:r>
      <w:r w:rsidR="4987B869" w:rsidRPr="4D7F4BE1">
        <w:t>itself</w:t>
      </w:r>
      <w:r w:rsidR="0F79F4BE" w:rsidRPr="4D7F4BE1">
        <w:t>,</w:t>
      </w:r>
      <w:r w:rsidR="7D7DE876" w:rsidRPr="4D7F4BE1">
        <w:t xml:space="preserve"> wrote that the Vermon</w:t>
      </w:r>
      <w:r w:rsidR="20201C8F" w:rsidRPr="4D7F4BE1">
        <w:t>t</w:t>
      </w:r>
      <w:r w:rsidR="7D7DE876" w:rsidRPr="4D7F4BE1">
        <w:t xml:space="preserve"> Supreme Court’s decision restricting </w:t>
      </w:r>
      <w:r w:rsidR="7D7DE876" w:rsidRPr="06A62122">
        <w:rPr>
          <w:i/>
          <w:iCs/>
        </w:rPr>
        <w:t xml:space="preserve">Gertz’s </w:t>
      </w:r>
      <w:r w:rsidR="78FACDBE" w:rsidRPr="4D7F4BE1">
        <w:t>limitations on damages to “media” defendants was “irreconcilable with the fundamental</w:t>
      </w:r>
      <w:r w:rsidR="21552B0C" w:rsidRPr="4D7F4BE1">
        <w:t xml:space="preserve"> First Amendment principle that ‘[t]he inherent worth of . . . speech in terms of its capacity for informing the public</w:t>
      </w:r>
      <w:r w:rsidR="35E61EDE" w:rsidRPr="4D7F4BE1">
        <w:t xml:space="preserve"> does not depend upon the identity of its source.’”</w:t>
      </w:r>
      <w:r w:rsidR="05C93AC9" w:rsidRPr="4D7F4BE1">
        <w:rPr>
          <w:rStyle w:val="FootnoteReference"/>
        </w:rPr>
        <w:footnoteReference w:id="37"/>
      </w:r>
      <w:r w:rsidR="35E61EDE" w:rsidRPr="4D7F4BE1">
        <w:t xml:space="preserve"> </w:t>
      </w:r>
      <w:r w:rsidR="407DD1C8" w:rsidRPr="4D7F4BE1">
        <w:t xml:space="preserve">As </w:t>
      </w:r>
      <w:r w:rsidR="5199BD22" w:rsidRPr="4D7F4BE1">
        <w:t xml:space="preserve">Justice </w:t>
      </w:r>
      <w:r w:rsidR="008023D0" w:rsidRPr="4D7F4BE1">
        <w:t xml:space="preserve">Brennan, the justice generally viewed as most sympathetic to the press, </w:t>
      </w:r>
      <w:r w:rsidR="35560F99" w:rsidRPr="4D7F4BE1">
        <w:t xml:space="preserve">explained it, “[w]e </w:t>
      </w:r>
      <w:bookmarkStart w:id="3" w:name="_Int_K01whXpQ"/>
      <w:r w:rsidR="35560F99" w:rsidRPr="4D7F4BE1">
        <w:t>protect</w:t>
      </w:r>
      <w:bookmarkEnd w:id="3"/>
      <w:r w:rsidR="35560F99" w:rsidRPr="4D7F4BE1">
        <w:t xml:space="preserve"> the press to ensure the vitality of First Amendment guarantees,” but such “sol</w:t>
      </w:r>
      <w:r w:rsidR="4B889B27" w:rsidRPr="4D7F4BE1">
        <w:t>icitude implies no endorsement of the principle that speakers other than the press deserve lesser First Amendment protection.”</w:t>
      </w:r>
      <w:r w:rsidR="05C93AC9" w:rsidRPr="4D7F4BE1">
        <w:rPr>
          <w:rStyle w:val="FootnoteReference"/>
        </w:rPr>
        <w:footnoteReference w:id="38"/>
      </w:r>
    </w:p>
    <w:p w14:paraId="7086CEA1" w14:textId="2FB33450" w:rsidR="42B5E8D6" w:rsidRDefault="42B5E8D6" w:rsidP="22369DF4">
      <w:pPr>
        <w:ind w:firstLine="720"/>
      </w:pPr>
      <w:r w:rsidRPr="4D7F4BE1">
        <w:t xml:space="preserve">In the wake of </w:t>
      </w:r>
      <w:proofErr w:type="spellStart"/>
      <w:r w:rsidRPr="22369DF4">
        <w:rPr>
          <w:i/>
          <w:iCs/>
        </w:rPr>
        <w:t>Greenmoss</w:t>
      </w:r>
      <w:proofErr w:type="spellEnd"/>
      <w:r w:rsidRPr="22369DF4">
        <w:rPr>
          <w:i/>
          <w:iCs/>
        </w:rPr>
        <w:t xml:space="preserve"> Builders</w:t>
      </w:r>
      <w:r w:rsidRPr="4D7F4BE1">
        <w:t>, it appeared that, across the Court’s ideological divide, from its most “liberal” members such as Justice Brennan to its most “</w:t>
      </w:r>
      <w:r w:rsidR="50050245" w:rsidRPr="4D7F4BE1">
        <w:t>conservative” such</w:t>
      </w:r>
      <w:r w:rsidR="780605CC" w:rsidRPr="4D7F4BE1">
        <w:t xml:space="preserve"> as</w:t>
      </w:r>
      <w:r w:rsidR="50050245" w:rsidRPr="4D7F4BE1">
        <w:t xml:space="preserve"> Chief Justice Burger, there was a consensus that the Press Clause afforded no protections </w:t>
      </w:r>
      <w:r w:rsidR="62AE8CAD" w:rsidRPr="4D7F4BE1">
        <w:t xml:space="preserve">beyond those available under the Speech Clause. </w:t>
      </w:r>
      <w:r w:rsidR="4B853F60" w:rsidRPr="4D7F4BE1">
        <w:t xml:space="preserve">A quarter century later, in </w:t>
      </w:r>
      <w:r w:rsidR="4B853F60" w:rsidRPr="22369DF4">
        <w:rPr>
          <w:i/>
          <w:iCs/>
        </w:rPr>
        <w:t>Citizens United v. FEC</w:t>
      </w:r>
      <w:r w:rsidR="4B853F60" w:rsidRPr="4D7F4BE1">
        <w:t>,</w:t>
      </w:r>
      <w:r w:rsidRPr="22369DF4">
        <w:rPr>
          <w:rStyle w:val="FootnoteReference"/>
        </w:rPr>
        <w:footnoteReference w:id="39"/>
      </w:r>
      <w:r w:rsidR="4B853F60" w:rsidRPr="4D7F4BE1">
        <w:t xml:space="preserve"> </w:t>
      </w:r>
      <w:r w:rsidR="4CD772E3" w:rsidRPr="4D7F4BE1">
        <w:t xml:space="preserve">Justice </w:t>
      </w:r>
      <w:r w:rsidR="7465323A" w:rsidRPr="4D7F4BE1">
        <w:t xml:space="preserve">Anthony </w:t>
      </w:r>
      <w:r w:rsidR="4CD772E3" w:rsidRPr="4D7F4BE1">
        <w:t xml:space="preserve">Kennedy, another justice viewed as sympathetic to the press, was able to write for the Court that </w:t>
      </w:r>
      <w:r w:rsidR="32735459" w:rsidRPr="4D7F4BE1">
        <w:t>“‘[w]e have consistently rejected the proposition that the institutional press</w:t>
      </w:r>
      <w:r w:rsidR="20E33F1A" w:rsidRPr="4D7F4BE1">
        <w:t xml:space="preserve"> </w:t>
      </w:r>
      <w:r w:rsidR="15D52CCD" w:rsidRPr="4D7F4BE1">
        <w:t>has any constitutional privilege beyond that of other speakers,’” quoting from and citing to colleagues across the ideological spectrum from Justices Scalia to Brenna</w:t>
      </w:r>
      <w:r w:rsidR="40600211" w:rsidRPr="4D7F4BE1">
        <w:t>n.</w:t>
      </w:r>
      <w:r w:rsidR="44535748" w:rsidRPr="4D7F4BE1">
        <w:t xml:space="preserve"> </w:t>
      </w:r>
      <w:r w:rsidR="3B0D0B1C" w:rsidRPr="4D7F4BE1">
        <w:t xml:space="preserve">  </w:t>
      </w:r>
      <w:r w:rsidR="654118FB" w:rsidRPr="4D7F4BE1">
        <w:t xml:space="preserve"> </w:t>
      </w:r>
      <w:r w:rsidR="4159A34F" w:rsidRPr="4D7F4BE1">
        <w:t xml:space="preserve"> </w:t>
      </w:r>
      <w:r w:rsidR="349D133C" w:rsidRPr="4D7F4BE1">
        <w:t xml:space="preserve"> </w:t>
      </w:r>
      <w:r w:rsidR="26AE622F" w:rsidRPr="4D7F4BE1">
        <w:t xml:space="preserve"> </w:t>
      </w:r>
    </w:p>
    <w:p w14:paraId="59F2D72F" w14:textId="6D778B6C" w:rsidR="1AD546AA" w:rsidRDefault="6DF80F06" w:rsidP="16F14C70">
      <w:pPr>
        <w:jc w:val="center"/>
        <w:rPr>
          <w:b/>
          <w:bCs/>
        </w:rPr>
      </w:pPr>
      <w:r w:rsidRPr="16F14C70">
        <w:rPr>
          <w:b/>
          <w:bCs/>
        </w:rPr>
        <w:t>II</w:t>
      </w:r>
    </w:p>
    <w:p w14:paraId="07EA7492" w14:textId="1BF774E6" w:rsidR="6DF80F06" w:rsidRDefault="6DF80F06" w:rsidP="37CB4683">
      <w:pPr>
        <w:ind w:firstLine="720"/>
      </w:pPr>
      <w:r>
        <w:t xml:space="preserve">Against this backdrop, the Court </w:t>
      </w:r>
      <w:r w:rsidR="11E92393">
        <w:t>plowed another field that has resulted in a significant dimi</w:t>
      </w:r>
      <w:r w:rsidR="00F60C41">
        <w:t>nution of press freedom. Speaking</w:t>
      </w:r>
      <w:r w:rsidR="60841966">
        <w:t xml:space="preserve"> largely</w:t>
      </w:r>
      <w:r w:rsidR="00F60C41">
        <w:t xml:space="preserve"> through Justice </w:t>
      </w:r>
      <w:r w:rsidR="319DBC78">
        <w:t xml:space="preserve">Byron </w:t>
      </w:r>
      <w:r w:rsidR="00F60C41">
        <w:t>White</w:t>
      </w:r>
      <w:r w:rsidR="78F537CC">
        <w:t>, the Court devoted the better part of two decades to developing a consti</w:t>
      </w:r>
      <w:r w:rsidR="367640AA">
        <w:t>t</w:t>
      </w:r>
      <w:r w:rsidR="78F537CC">
        <w:t xml:space="preserve">utional law of </w:t>
      </w:r>
      <w:r w:rsidR="4F318E5E">
        <w:t>“</w:t>
      </w:r>
      <w:r w:rsidR="242964AB">
        <w:t>incidental</w:t>
      </w:r>
      <w:r w:rsidR="7D1DFB76">
        <w:t xml:space="preserve">” </w:t>
      </w:r>
      <w:r w:rsidR="242964AB">
        <w:t>restraints</w:t>
      </w:r>
      <w:r w:rsidR="5C93962E">
        <w:t xml:space="preserve"> </w:t>
      </w:r>
      <w:r w:rsidR="451F990F">
        <w:t>imposed by</w:t>
      </w:r>
      <w:r w:rsidR="22DE9FFF">
        <w:t xml:space="preserve"> </w:t>
      </w:r>
      <w:r w:rsidR="2E819333">
        <w:t>laws of “general applicability,”</w:t>
      </w:r>
      <w:r w:rsidR="242964AB">
        <w:t xml:space="preserve"> which has served to narrow to the point of insignificance any </w:t>
      </w:r>
      <w:r w:rsidR="2F09BB0C">
        <w:t>constitutional</w:t>
      </w:r>
      <w:r w:rsidR="242964AB">
        <w:t xml:space="preserve"> right </w:t>
      </w:r>
      <w:r w:rsidR="2EFBA451">
        <w:t xml:space="preserve">to gather the news. </w:t>
      </w:r>
      <w:r w:rsidR="7B88A827">
        <w:t>I</w:t>
      </w:r>
      <w:r w:rsidR="2DB33F33">
        <w:t xml:space="preserve">t began in 1972 when a narrowly divided Court, in a majority opinion by Justice White, held that </w:t>
      </w:r>
      <w:r w:rsidR="34015356">
        <w:t>the First Amendment does not afford journalists the right to protect the identities of their con</w:t>
      </w:r>
      <w:r w:rsidR="69B9AD0F">
        <w:t>fidential sources when subpoenaed to do so by a grand jury.</w:t>
      </w:r>
      <w:r w:rsidRPr="32F21F8D">
        <w:rPr>
          <w:rStyle w:val="FootnoteReference"/>
        </w:rPr>
        <w:footnoteReference w:id="40"/>
      </w:r>
      <w:r w:rsidR="7B88A827">
        <w:t xml:space="preserve"> </w:t>
      </w:r>
      <w:r w:rsidR="36492051">
        <w:t>Although Justice White</w:t>
      </w:r>
      <w:r w:rsidR="4865BBB3">
        <w:t xml:space="preserve">‘s  </w:t>
      </w:r>
      <w:r w:rsidR="4865BBB3">
        <w:lastRenderedPageBreak/>
        <w:t xml:space="preserve">opinion in </w:t>
      </w:r>
      <w:r w:rsidR="4865BBB3" w:rsidRPr="06A62122">
        <w:rPr>
          <w:i/>
          <w:iCs/>
        </w:rPr>
        <w:t>Branzburg v. Hayes</w:t>
      </w:r>
      <w:r w:rsidR="36492051">
        <w:t xml:space="preserve"> purported to recognize </w:t>
      </w:r>
      <w:r w:rsidR="169CC6BD">
        <w:t>that</w:t>
      </w:r>
      <w:r w:rsidR="1AE66D58">
        <w:t>,</w:t>
      </w:r>
      <w:r w:rsidR="169CC6BD">
        <w:t xml:space="preserve"> ”without</w:t>
      </w:r>
      <w:r w:rsidR="36492051">
        <w:t xml:space="preserve"> some protection for seeking out the news, freedom of the press </w:t>
      </w:r>
      <w:r w:rsidR="1682BC19">
        <w:t>c</w:t>
      </w:r>
      <w:r w:rsidR="0A272812">
        <w:t>ould be eviscerated,”</w:t>
      </w:r>
      <w:r w:rsidRPr="32F21F8D">
        <w:rPr>
          <w:rStyle w:val="FootnoteReference"/>
        </w:rPr>
        <w:footnoteReference w:id="41"/>
      </w:r>
      <w:r w:rsidR="0A272812">
        <w:t xml:space="preserve"> </w:t>
      </w:r>
      <w:r w:rsidR="3C3258E8">
        <w:t>he</w:t>
      </w:r>
      <w:r w:rsidR="7B88A827">
        <w:t xml:space="preserve"> </w:t>
      </w:r>
      <w:r w:rsidR="27CE3A19">
        <w:t xml:space="preserve">nevertheless </w:t>
      </w:r>
      <w:r w:rsidR="6981BD2A">
        <w:t>wrote that</w:t>
      </w:r>
      <w:r w:rsidR="685FDEA6">
        <w:t xml:space="preserve"> i</w:t>
      </w:r>
      <w:r w:rsidR="27CE3A19">
        <w:t xml:space="preserve">t would be </w:t>
      </w:r>
      <w:r w:rsidR="132B13C8">
        <w:t>“</w:t>
      </w:r>
      <w:r w:rsidR="27CE3A19">
        <w:t>frivolous</w:t>
      </w:r>
      <w:r w:rsidR="59667B23">
        <w:t>”</w:t>
      </w:r>
      <w:r w:rsidR="27CE3A19">
        <w:t xml:space="preserve"> to assert </w:t>
      </w:r>
    </w:p>
    <w:p w14:paraId="511FA96A" w14:textId="74B65E01" w:rsidR="27CE3A19" w:rsidRDefault="27CE3A19" w:rsidP="37CB4683">
      <w:pPr>
        <w:ind w:left="720"/>
      </w:pPr>
      <w:bookmarkStart w:id="4" w:name="_Int_zF1pKdRb"/>
      <w:r>
        <w:t>that</w:t>
      </w:r>
      <w:bookmarkEnd w:id="4"/>
      <w:r>
        <w:t xml:space="preserve"> the First Amendment in the interest of securing news or otherwise</w:t>
      </w:r>
      <w:r w:rsidR="58827DBD">
        <w:t>, confers a license on either the reporter or hi</w:t>
      </w:r>
      <w:r w:rsidR="6534ABA5">
        <w:t xml:space="preserve">s news source to violate valid criminal laws. Although stealing documents or wiretapping </w:t>
      </w:r>
      <w:r w:rsidR="415ABB5C">
        <w:t>could provide newsworthy information, neither reporter no</w:t>
      </w:r>
      <w:r w:rsidR="7FFAC649">
        <w:t>r</w:t>
      </w:r>
      <w:r w:rsidR="7CD6679F">
        <w:t xml:space="preserve"> </w:t>
      </w:r>
      <w:r w:rsidR="415ABB5C">
        <w:t xml:space="preserve">source is immune from conviction </w:t>
      </w:r>
      <w:r w:rsidR="479343DC">
        <w:t>for such conduct, whatever the impact on the flow of news.</w:t>
      </w:r>
      <w:r w:rsidRPr="7ABFE48D">
        <w:rPr>
          <w:rStyle w:val="FootnoteReference"/>
        </w:rPr>
        <w:footnoteReference w:id="42"/>
      </w:r>
    </w:p>
    <w:p w14:paraId="1CDF9EBD" w14:textId="05FED631" w:rsidR="304549CA" w:rsidRDefault="304549CA" w:rsidP="16F14C70">
      <w:r>
        <w:t xml:space="preserve">In short, Justice White </w:t>
      </w:r>
      <w:r w:rsidR="44EF3249">
        <w:t>declared</w:t>
      </w:r>
      <w:r>
        <w:t xml:space="preserve">, “the First Amendment does not invalidate every incidental burdening </w:t>
      </w:r>
      <w:r w:rsidR="67F34285">
        <w:t>of the press that may result from the enforcement of civil or criminal statutes of general applicability.”</w:t>
      </w:r>
      <w:r w:rsidRPr="7ABFE48D">
        <w:rPr>
          <w:rStyle w:val="FootnoteReference"/>
        </w:rPr>
        <w:footnoteReference w:id="43"/>
      </w:r>
    </w:p>
    <w:p w14:paraId="0E024E70" w14:textId="0236AE32" w:rsidR="67F34285" w:rsidRDefault="67F34285" w:rsidP="37CB4683">
      <w:pPr>
        <w:ind w:firstLine="720"/>
      </w:pPr>
      <w:r>
        <w:t>Justice White</w:t>
      </w:r>
      <w:r w:rsidR="5132A58A">
        <w:t xml:space="preserve"> </w:t>
      </w:r>
      <w:r>
        <w:t>returned to this concept of “incidental” restraints imposed by</w:t>
      </w:r>
      <w:r w:rsidR="1B556E5D">
        <w:t xml:space="preserve"> </w:t>
      </w:r>
      <w:r>
        <w:t xml:space="preserve">laws of </w:t>
      </w:r>
      <w:r w:rsidR="08D20B07">
        <w:t>“</w:t>
      </w:r>
      <w:r>
        <w:t xml:space="preserve">general applicability” in </w:t>
      </w:r>
      <w:r w:rsidRPr="06A62122">
        <w:rPr>
          <w:i/>
          <w:iCs/>
        </w:rPr>
        <w:t xml:space="preserve">Zurcher v. </w:t>
      </w:r>
      <w:r w:rsidR="06E9EA37" w:rsidRPr="06A62122">
        <w:rPr>
          <w:i/>
          <w:iCs/>
        </w:rPr>
        <w:t>Stanford Daily.</w:t>
      </w:r>
      <w:r w:rsidRPr="7ABFE48D">
        <w:rPr>
          <w:rStyle w:val="FootnoteReference"/>
        </w:rPr>
        <w:footnoteReference w:id="44"/>
      </w:r>
      <w:r w:rsidR="06E9EA37" w:rsidRPr="7ABFE48D">
        <w:t xml:space="preserve"> </w:t>
      </w:r>
      <w:r w:rsidR="06E9EA37">
        <w:t>There,</w:t>
      </w:r>
      <w:r>
        <w:t xml:space="preserve"> </w:t>
      </w:r>
      <w:r w:rsidR="4687563B">
        <w:t xml:space="preserve">the Court </w:t>
      </w:r>
      <w:r w:rsidR="77C82713">
        <w:t>turned aside</w:t>
      </w:r>
      <w:r w:rsidR="4687563B">
        <w:t xml:space="preserve"> a claim that the First Amendment effectively preclude</w:t>
      </w:r>
      <w:r w:rsidR="79609C18">
        <w:t>s</w:t>
      </w:r>
      <w:r w:rsidR="4687563B">
        <w:t xml:space="preserve"> </w:t>
      </w:r>
      <w:r w:rsidR="633DCB3C">
        <w:t xml:space="preserve">the use of search warrants (as opposed to subpoenas) to procure </w:t>
      </w:r>
      <w:r w:rsidR="5A444ADF">
        <w:t xml:space="preserve">unpublished </w:t>
      </w:r>
      <w:r w:rsidR="633DCB3C">
        <w:t>materials in the possession of a news organization</w:t>
      </w:r>
      <w:r w:rsidR="4E3DB353">
        <w:t>, rejecting the contention</w:t>
      </w:r>
      <w:r w:rsidR="37B7C3D9">
        <w:t xml:space="preserve"> that </w:t>
      </w:r>
      <w:r w:rsidR="25759931">
        <w:t xml:space="preserve">“searches of newspaper offices for evidence of </w:t>
      </w:r>
      <w:r w:rsidR="210DC4E7">
        <w:t>crime . . . will seriously threaten the ability of the press to gather, analyze, and disseminate news</w:t>
      </w:r>
      <w:r w:rsidR="01283D1D">
        <w:t>.</w:t>
      </w:r>
      <w:r w:rsidR="210DC4E7">
        <w:t>”</w:t>
      </w:r>
      <w:r w:rsidRPr="7ABFE48D">
        <w:rPr>
          <w:rStyle w:val="FootnoteReference"/>
        </w:rPr>
        <w:footnoteReference w:id="45"/>
      </w:r>
      <w:r w:rsidR="210DC4E7">
        <w:t xml:space="preserve"> </w:t>
      </w:r>
      <w:r w:rsidR="57ED2098">
        <w:t xml:space="preserve">Relying </w:t>
      </w:r>
      <w:r w:rsidR="45F8CB80">
        <w:t xml:space="preserve">on </w:t>
      </w:r>
      <w:r w:rsidR="45F8CB80" w:rsidRPr="06A62122">
        <w:rPr>
          <w:i/>
          <w:iCs/>
        </w:rPr>
        <w:t>Branzburg’s</w:t>
      </w:r>
      <w:r w:rsidR="6D29DF80" w:rsidRPr="06A62122">
        <w:rPr>
          <w:i/>
          <w:iCs/>
        </w:rPr>
        <w:t xml:space="preserve"> </w:t>
      </w:r>
      <w:r w:rsidR="6D29DF80">
        <w:t>distinction between “direct” and</w:t>
      </w:r>
      <w:r w:rsidR="45F8CB80" w:rsidRPr="06A62122">
        <w:rPr>
          <w:i/>
          <w:iCs/>
        </w:rPr>
        <w:t xml:space="preserve"> “</w:t>
      </w:r>
      <w:r w:rsidR="45F8CB80">
        <w:t>incidental”</w:t>
      </w:r>
      <w:r w:rsidR="2D5A76D5">
        <w:t xml:space="preserve"> restraints on newsgathering conduct, Justice White explained that</w:t>
      </w:r>
      <w:r w:rsidR="3A46D4F4">
        <w:t xml:space="preserve"> “[w]</w:t>
      </w:r>
      <w:proofErr w:type="spellStart"/>
      <w:r w:rsidR="3A46D4F4">
        <w:t>hatever</w:t>
      </w:r>
      <w:proofErr w:type="spellEnd"/>
      <w:r w:rsidR="3A46D4F4">
        <w:t xml:space="preserve"> incremental effect there may be in this regard if search warrants, as well as subpoenas, are permissible in proper </w:t>
      </w:r>
      <w:r w:rsidR="5733D615">
        <w:t>circumstances, it does not make a constitutional difference.”</w:t>
      </w:r>
      <w:r w:rsidRPr="7ABFE48D">
        <w:rPr>
          <w:rStyle w:val="FootnoteReference"/>
        </w:rPr>
        <w:footnoteReference w:id="46"/>
      </w:r>
      <w:r w:rsidR="5733D615">
        <w:t xml:space="preserve"> </w:t>
      </w:r>
    </w:p>
    <w:p w14:paraId="59A3489F" w14:textId="110F6E0C" w:rsidR="764A20CD" w:rsidRDefault="764A20CD" w:rsidP="37CB4683">
      <w:pPr>
        <w:ind w:firstLine="720"/>
      </w:pPr>
      <w:r>
        <w:t xml:space="preserve">Then, in </w:t>
      </w:r>
      <w:r w:rsidRPr="43A42A66">
        <w:rPr>
          <w:i/>
          <w:iCs/>
        </w:rPr>
        <w:t>Herbert v. Lando</w:t>
      </w:r>
      <w:r>
        <w:t>,</w:t>
      </w:r>
      <w:r w:rsidRPr="7ABFE48D">
        <w:rPr>
          <w:rStyle w:val="FootnoteReference"/>
        </w:rPr>
        <w:footnoteReference w:id="47"/>
      </w:r>
      <w:r>
        <w:t xml:space="preserve"> </w:t>
      </w:r>
      <w:r w:rsidR="782D44FE">
        <w:t xml:space="preserve">The Court </w:t>
      </w:r>
      <w:r>
        <w:t xml:space="preserve">built on the foundation </w:t>
      </w:r>
      <w:r w:rsidR="2A539473">
        <w:t>it poured</w:t>
      </w:r>
      <w:r>
        <w:t xml:space="preserve"> in </w:t>
      </w:r>
      <w:r w:rsidRPr="43A42A66">
        <w:rPr>
          <w:i/>
          <w:iCs/>
        </w:rPr>
        <w:t xml:space="preserve">Branzburg </w:t>
      </w:r>
      <w:r>
        <w:t xml:space="preserve">and </w:t>
      </w:r>
      <w:r w:rsidRPr="43A42A66">
        <w:rPr>
          <w:i/>
          <w:iCs/>
        </w:rPr>
        <w:t>Zurcher</w:t>
      </w:r>
      <w:r>
        <w:t xml:space="preserve"> to reject </w:t>
      </w:r>
      <w:r w:rsidR="24281D14">
        <w:t xml:space="preserve">the contention that the First Amendment </w:t>
      </w:r>
      <w:r w:rsidR="16C860E6">
        <w:t>circumscribes</w:t>
      </w:r>
      <w:r w:rsidR="24281D14">
        <w:t xml:space="preserve"> a defamation plaintiff’s ability to take discovery directed at a news media defendant’s </w:t>
      </w:r>
      <w:r w:rsidR="086EAA62">
        <w:t xml:space="preserve">confidential </w:t>
      </w:r>
      <w:r w:rsidR="137446AE">
        <w:t xml:space="preserve">“editorial processes.” Again writing for the Court, Justice White </w:t>
      </w:r>
      <w:r w:rsidR="3644973F">
        <w:t xml:space="preserve">contrasted the “indirect” and incidental impact that civil discovery might have on editorial decision making with a statute </w:t>
      </w:r>
      <w:r w:rsidR="2C216BD2">
        <w:t>the purported to subject “the editorial process to private or official examination merely to satisfy curiosity or t</w:t>
      </w:r>
      <w:r w:rsidR="76691CB0">
        <w:t>o serve some general end such as the public interest.”</w:t>
      </w:r>
      <w:r w:rsidRPr="7ABFE48D">
        <w:rPr>
          <w:rStyle w:val="FootnoteReference"/>
        </w:rPr>
        <w:footnoteReference w:id="48"/>
      </w:r>
      <w:r w:rsidR="76691CB0">
        <w:t xml:space="preserve">  The </w:t>
      </w:r>
      <w:r w:rsidR="76691CB0">
        <w:lastRenderedPageBreak/>
        <w:t xml:space="preserve">former, he asserted, does not violate the First Amendment while the latter “would not </w:t>
      </w:r>
      <w:r w:rsidR="3E7757BD">
        <w:t>survive constitutional scrutiny.”</w:t>
      </w:r>
      <w:r w:rsidRPr="7ABFE48D">
        <w:rPr>
          <w:rStyle w:val="FootnoteReference"/>
        </w:rPr>
        <w:footnoteReference w:id="49"/>
      </w:r>
    </w:p>
    <w:p w14:paraId="37E07636" w14:textId="4BA0D6D0" w:rsidR="3E7757BD" w:rsidRDefault="3E7757BD" w:rsidP="37CB4683">
      <w:pPr>
        <w:ind w:firstLine="720"/>
      </w:pPr>
      <w:r>
        <w:t xml:space="preserve">Finally, in </w:t>
      </w:r>
      <w:r w:rsidRPr="06A62122">
        <w:rPr>
          <w:i/>
          <w:iCs/>
        </w:rPr>
        <w:t>Cohen v. Cowles Media Co.,</w:t>
      </w:r>
      <w:r w:rsidRPr="7ABFE48D">
        <w:rPr>
          <w:rStyle w:val="FootnoteReference"/>
        </w:rPr>
        <w:footnoteReference w:id="50"/>
      </w:r>
      <w:r w:rsidRPr="06A62122">
        <w:rPr>
          <w:i/>
          <w:iCs/>
        </w:rPr>
        <w:t xml:space="preserve"> </w:t>
      </w:r>
      <w:r w:rsidR="63876300">
        <w:t xml:space="preserve">the Court declined to invalidate, in the name of the First Amendment, a cause of action </w:t>
      </w:r>
      <w:r w:rsidR="595AA495">
        <w:t xml:space="preserve">for promissory estoppel asserted against a newspaper that had abrogated a promise not to reveal the plaintiff-source's identity.  According to Justice White’s </w:t>
      </w:r>
      <w:r w:rsidR="0000957D">
        <w:t xml:space="preserve">majority </w:t>
      </w:r>
      <w:r w:rsidR="595AA495">
        <w:t>opinion</w:t>
      </w:r>
      <w:r w:rsidR="6372DD8C">
        <w:t>, the case did not involve a direct restraint on the news media’s ability to publish truthful information—i.e., the identity of the source—but rather was “controlled” by the by-then “w</w:t>
      </w:r>
      <w:r w:rsidR="7FFF9764">
        <w:t>ell-established line of decisions holding that generally applicable law</w:t>
      </w:r>
      <w:r w:rsidR="6FD1A444">
        <w:t>s</w:t>
      </w:r>
      <w:r w:rsidR="7FFF9764">
        <w:t xml:space="preserve"> do not offend the First Amendment simply because their enforcement has incidental effects on its ability to gather and report the news.”</w:t>
      </w:r>
      <w:r w:rsidRPr="7ABFE48D">
        <w:rPr>
          <w:rStyle w:val="FootnoteReference"/>
        </w:rPr>
        <w:footnoteReference w:id="51"/>
      </w:r>
      <w:r w:rsidR="28AABF84">
        <w:t xml:space="preserve"> </w:t>
      </w:r>
      <w:r w:rsidR="31C76076">
        <w:t>E</w:t>
      </w:r>
      <w:r w:rsidR="28AABF84">
        <w:t xml:space="preserve">ven assuming </w:t>
      </w:r>
      <w:r w:rsidR="28AABF84" w:rsidRPr="06A62122">
        <w:rPr>
          <w:i/>
          <w:iCs/>
        </w:rPr>
        <w:t xml:space="preserve">arguendo </w:t>
      </w:r>
      <w:r w:rsidR="28AABF84">
        <w:t>that a “cause of action for prom</w:t>
      </w:r>
      <w:r w:rsidR="29950971">
        <w:t>issory estoppel will inhibit truthful reporting because news organizations will have legal incentives not to disclose a confidential source’s identity even where that person’s identity is newsw</w:t>
      </w:r>
      <w:r w:rsidR="2F26B771">
        <w:t>orthy,” the Court held that such an “incidental, and constitutionally insignificant, consequence of applying to the press a generally applicable law”</w:t>
      </w:r>
      <w:r w:rsidR="7D3DEC0F">
        <w:t xml:space="preserve"> is of no moment.</w:t>
      </w:r>
      <w:r w:rsidRPr="7ABFE48D">
        <w:rPr>
          <w:rStyle w:val="FootnoteReference"/>
        </w:rPr>
        <w:footnoteReference w:id="52"/>
      </w:r>
    </w:p>
    <w:p w14:paraId="0A2132C1" w14:textId="3E7F1404" w:rsidR="3644973F" w:rsidRDefault="3644973F" w:rsidP="26888584">
      <w:pPr>
        <w:ind w:firstLine="720"/>
      </w:pPr>
      <w:r>
        <w:t xml:space="preserve"> </w:t>
      </w:r>
      <w:r w:rsidR="3A46D4F4">
        <w:t xml:space="preserve"> </w:t>
      </w:r>
      <w:r w:rsidR="2BFC54BB">
        <w:t>T</w:t>
      </w:r>
      <w:r w:rsidR="35D6B3FD">
        <w:t>h</w:t>
      </w:r>
      <w:r w:rsidR="42281ABB">
        <w:t>is</w:t>
      </w:r>
      <w:r w:rsidR="35D6B3FD">
        <w:t xml:space="preserve"> “line of decisions” culminating in </w:t>
      </w:r>
      <w:r w:rsidR="35D6B3FD" w:rsidRPr="06A62122">
        <w:rPr>
          <w:i/>
          <w:iCs/>
        </w:rPr>
        <w:t>Cohen</w:t>
      </w:r>
      <w:r w:rsidR="35D6B3FD">
        <w:t xml:space="preserve"> has </w:t>
      </w:r>
      <w:r w:rsidR="7E5AE034">
        <w:t>led</w:t>
      </w:r>
      <w:r w:rsidR="35D6B3FD">
        <w:t xml:space="preserve"> lower courts to </w:t>
      </w:r>
      <w:r w:rsidR="05447D6D">
        <w:t>assume that</w:t>
      </w:r>
      <w:r w:rsidR="0ED5F2D0">
        <w:t xml:space="preserve"> a broad range of </w:t>
      </w:r>
      <w:bookmarkStart w:id="5" w:name="_Int_WCEQCsDJ"/>
      <w:r w:rsidR="0ED5F2D0">
        <w:t>newsgathering</w:t>
      </w:r>
      <w:bookmarkEnd w:id="5"/>
      <w:r w:rsidR="0ED5F2D0">
        <w:t xml:space="preserve"> conduct</w:t>
      </w:r>
      <w:r w:rsidR="1F92A8AC">
        <w:t xml:space="preserve"> is</w:t>
      </w:r>
      <w:r w:rsidR="0ED5F2D0">
        <w:t xml:space="preserve"> beyond the</w:t>
      </w:r>
      <w:r w:rsidR="2761486F">
        <w:t xml:space="preserve"> First Amendment’s</w:t>
      </w:r>
      <w:r w:rsidR="0ED5F2D0">
        <w:t xml:space="preserve"> reach.</w:t>
      </w:r>
      <w:r w:rsidR="6D56C5E2">
        <w:t xml:space="preserve"> </w:t>
      </w:r>
      <w:r w:rsidR="131E83A4">
        <w:t>In</w:t>
      </w:r>
      <w:r w:rsidR="274DE5D2">
        <w:t xml:space="preserve"> </w:t>
      </w:r>
      <w:r w:rsidR="4EB950C9">
        <w:t xml:space="preserve">several cases, courts have searched for ways to circumvent </w:t>
      </w:r>
      <w:r w:rsidR="4EB950C9" w:rsidRPr="06A62122">
        <w:rPr>
          <w:i/>
          <w:iCs/>
        </w:rPr>
        <w:t>Cohen</w:t>
      </w:r>
      <w:r w:rsidR="4EB950C9">
        <w:t>, often tying themselves in analytical knots in</w:t>
      </w:r>
      <w:r w:rsidR="15A9BDB4">
        <w:t xml:space="preserve"> the process. A prominent example of the first phenomenon is</w:t>
      </w:r>
      <w:r w:rsidR="0404B17F">
        <w:t xml:space="preserve"> </w:t>
      </w:r>
      <w:r w:rsidR="0404B17F" w:rsidRPr="06A62122">
        <w:rPr>
          <w:i/>
          <w:iCs/>
        </w:rPr>
        <w:t>Dahlstrom v. Sun-Ti</w:t>
      </w:r>
      <w:r w:rsidR="59CC3116" w:rsidRPr="06A62122">
        <w:rPr>
          <w:i/>
          <w:iCs/>
        </w:rPr>
        <w:t>mes Media, LLC</w:t>
      </w:r>
      <w:r w:rsidR="59CC3116">
        <w:t>,</w:t>
      </w:r>
      <w:r w:rsidRPr="7ABFE48D">
        <w:rPr>
          <w:rStyle w:val="FootnoteReference"/>
        </w:rPr>
        <w:footnoteReference w:id="53"/>
      </w:r>
      <w:r w:rsidR="59CC3116">
        <w:t xml:space="preserve"> in which the Seventh Circuit </w:t>
      </w:r>
      <w:r w:rsidR="2309A71C">
        <w:t>held that</w:t>
      </w:r>
      <w:r w:rsidR="59CC3116">
        <w:t xml:space="preserve"> the First Amendment</w:t>
      </w:r>
      <w:r w:rsidR="1305D945">
        <w:t xml:space="preserve"> does not</w:t>
      </w:r>
      <w:r w:rsidR="59CC3116">
        <w:t xml:space="preserve"> protect a newspaper</w:t>
      </w:r>
      <w:r w:rsidR="74321BC5">
        <w:t xml:space="preserve"> from civil liability when it</w:t>
      </w:r>
      <w:r w:rsidR="59CC3116">
        <w:t xml:space="preserve"> receive</w:t>
      </w:r>
      <w:r w:rsidR="6A27DE58">
        <w:t>s</w:t>
      </w:r>
      <w:r w:rsidR="59CC3116">
        <w:t xml:space="preserve"> </w:t>
      </w:r>
      <w:r w:rsidR="2D124D64">
        <w:t xml:space="preserve">driver’s license records </w:t>
      </w:r>
      <w:r w:rsidR="40800577">
        <w:t>it</w:t>
      </w:r>
      <w:r w:rsidR="3B47FCE7">
        <w:t xml:space="preserve"> requested under</w:t>
      </w:r>
      <w:r w:rsidR="2D124D64">
        <w:t xml:space="preserve"> a</w:t>
      </w:r>
      <w:r w:rsidR="144107FA">
        <w:t xml:space="preserve"> public records law</w:t>
      </w:r>
      <w:r w:rsidR="4EC97AB5">
        <w:t xml:space="preserve">.  </w:t>
      </w:r>
      <w:r w:rsidR="4F9EB8D9">
        <w:t xml:space="preserve">In </w:t>
      </w:r>
      <w:r w:rsidR="4F9EB8D9" w:rsidRPr="06A62122">
        <w:rPr>
          <w:i/>
          <w:iCs/>
        </w:rPr>
        <w:t>Dahlstrom</w:t>
      </w:r>
      <w:r w:rsidR="4F9EB8D9">
        <w:t>, t</w:t>
      </w:r>
      <w:r w:rsidR="4EC97AB5">
        <w:t>he five plaintiffs—all police officers</w:t>
      </w:r>
      <w:r w:rsidR="1DC4F45B">
        <w:t xml:space="preserve">—had participated in </w:t>
      </w:r>
      <w:r w:rsidR="09803D38">
        <w:t xml:space="preserve">a </w:t>
      </w:r>
      <w:r w:rsidR="1DC4F45B">
        <w:t>line-up</w:t>
      </w:r>
      <w:r w:rsidR="1178540E">
        <w:t xml:space="preserve"> that effectively exonerated a </w:t>
      </w:r>
      <w:r w:rsidR="45F247EC">
        <w:t>public official</w:t>
      </w:r>
      <w:r w:rsidR="1178540E">
        <w:t>’s nephew of a crime he allegedly committed. The newspaper use</w:t>
      </w:r>
      <w:r w:rsidR="5F96CC89">
        <w:t>d</w:t>
      </w:r>
      <w:r w:rsidR="1178540E">
        <w:t xml:space="preserve"> the information </w:t>
      </w:r>
      <w:r w:rsidR="5AB54D11">
        <w:t>contained on the</w:t>
      </w:r>
      <w:r w:rsidR="145702D0">
        <w:t xml:space="preserve"> officers</w:t>
      </w:r>
      <w:r w:rsidR="31F029D4">
        <w:t xml:space="preserve">’ </w:t>
      </w:r>
      <w:r w:rsidR="5AB54D11">
        <w:t>licenses</w:t>
      </w:r>
      <w:r w:rsidR="1178540E">
        <w:t xml:space="preserve"> regarding </w:t>
      </w:r>
      <w:r w:rsidR="613CC5A3">
        <w:t xml:space="preserve">their </w:t>
      </w:r>
      <w:r w:rsidR="1178540E">
        <w:t xml:space="preserve">height, weight, hair color and eye color to assess the </w:t>
      </w:r>
      <w:r w:rsidR="1178540E" w:rsidRPr="06A62122">
        <w:rPr>
          <w:i/>
          <w:iCs/>
        </w:rPr>
        <w:t xml:space="preserve">bona fides </w:t>
      </w:r>
      <w:r w:rsidR="1178540E">
        <w:t xml:space="preserve">of </w:t>
      </w:r>
      <w:r w:rsidR="42BBFEC7">
        <w:t xml:space="preserve">the </w:t>
      </w:r>
      <w:r w:rsidR="1178540E">
        <w:t>line-up</w:t>
      </w:r>
      <w:r w:rsidR="1C676135">
        <w:t xml:space="preserve"> </w:t>
      </w:r>
      <w:r w:rsidR="1DC4F45B">
        <w:t>and t</w:t>
      </w:r>
      <w:r w:rsidR="09D921B4">
        <w:t xml:space="preserve">he resulting article documented the similarities in their relevant features </w:t>
      </w:r>
      <w:r w:rsidR="17C38616">
        <w:t>t</w:t>
      </w:r>
      <w:r w:rsidR="09D921B4">
        <w:t>o</w:t>
      </w:r>
      <w:r w:rsidR="59CC3116">
        <w:t xml:space="preserve"> </w:t>
      </w:r>
      <w:r w:rsidR="17C38616">
        <w:t xml:space="preserve">those of the </w:t>
      </w:r>
      <w:r w:rsidR="3EEEA368">
        <w:t>suspect</w:t>
      </w:r>
      <w:r w:rsidR="1B846DC9">
        <w:t>.</w:t>
      </w:r>
      <w:r w:rsidRPr="7ABFE48D">
        <w:rPr>
          <w:rStyle w:val="FootnoteReference"/>
        </w:rPr>
        <w:footnoteReference w:id="54"/>
      </w:r>
      <w:r w:rsidR="5B9387B9">
        <w:t xml:space="preserve">  </w:t>
      </w:r>
    </w:p>
    <w:p w14:paraId="0F82AFE4" w14:textId="77541A1A" w:rsidR="35E8FD63" w:rsidRDefault="35E8FD63" w:rsidP="26888584">
      <w:pPr>
        <w:ind w:firstLine="720"/>
      </w:pPr>
      <w:r>
        <w:t xml:space="preserve">Even though </w:t>
      </w:r>
      <w:r w:rsidR="156D87A9">
        <w:t>the newspaper</w:t>
      </w:r>
      <w:r>
        <w:t xml:space="preserve"> had secured the information through a </w:t>
      </w:r>
      <w:r w:rsidR="7F08F30E">
        <w:t xml:space="preserve">routine </w:t>
      </w:r>
      <w:r>
        <w:t xml:space="preserve">public records law request to </w:t>
      </w:r>
      <w:r w:rsidR="0D095B9C">
        <w:t>the Illinois Secretary of State</w:t>
      </w:r>
      <w:r>
        <w:t xml:space="preserve">, the court </w:t>
      </w:r>
      <w:r w:rsidR="4FE76AEB">
        <w:t xml:space="preserve">nevertheless </w:t>
      </w:r>
      <w:r>
        <w:t xml:space="preserve">held that </w:t>
      </w:r>
      <w:r w:rsidR="5846B257">
        <w:t xml:space="preserve">it </w:t>
      </w:r>
      <w:r>
        <w:t xml:space="preserve">enjoyed no constitutional protection from </w:t>
      </w:r>
      <w:r w:rsidR="15864979">
        <w:t xml:space="preserve">civil </w:t>
      </w:r>
      <w:r>
        <w:t xml:space="preserve">liability under the federal Driver’s Privacy </w:t>
      </w:r>
      <w:r>
        <w:lastRenderedPageBreak/>
        <w:t>Protection Act</w:t>
      </w:r>
      <w:r w:rsidR="5D22D583">
        <w:t xml:space="preserve"> (“DPPA”)</w:t>
      </w:r>
      <w:r w:rsidR="6DE1431F">
        <w:t>.</w:t>
      </w:r>
      <w:r w:rsidRPr="7ABFE48D">
        <w:rPr>
          <w:rStyle w:val="FootnoteReference"/>
        </w:rPr>
        <w:footnoteReference w:id="55"/>
      </w:r>
      <w:r w:rsidR="6DE1431F">
        <w:t xml:space="preserve"> That statute makes it “unlawful for any person knowingly to obtain or disclose personal information[]</w:t>
      </w:r>
      <w:r w:rsidR="3FB013AD">
        <w:t xml:space="preserve"> from a motor vehicle record.”</w:t>
      </w:r>
      <w:r w:rsidRPr="7ABFE48D">
        <w:rPr>
          <w:rStyle w:val="FootnoteReference"/>
        </w:rPr>
        <w:footnoteReference w:id="56"/>
      </w:r>
      <w:r w:rsidR="6DE1431F">
        <w:t xml:space="preserve"> </w:t>
      </w:r>
      <w:r w:rsidR="52B6E01B">
        <w:t xml:space="preserve">In so </w:t>
      </w:r>
      <w:r w:rsidR="69ED6ABD">
        <w:t>holding</w:t>
      </w:r>
      <w:r w:rsidR="52B6E01B">
        <w:t>, the court determined that “the act of harvesting informa</w:t>
      </w:r>
      <w:r w:rsidR="289967FF">
        <w:t>tion from driving records” is n</w:t>
      </w:r>
      <w:r w:rsidR="15793BE1">
        <w:t>either</w:t>
      </w:r>
      <w:r w:rsidR="0210EE55">
        <w:t xml:space="preserve"> a communicative act </w:t>
      </w:r>
      <w:r w:rsidR="1BFB4D02">
        <w:t>n</w:t>
      </w:r>
      <w:r w:rsidR="6970D235">
        <w:t>or</w:t>
      </w:r>
      <w:r w:rsidR="1EC3B416">
        <w:t xml:space="preserve"> a</w:t>
      </w:r>
      <w:r w:rsidR="6970D235">
        <w:t xml:space="preserve"> “</w:t>
      </w:r>
      <w:proofErr w:type="spellStart"/>
      <w:r w:rsidR="6970D235">
        <w:t>medi</w:t>
      </w:r>
      <w:proofErr w:type="spellEnd"/>
      <w:r w:rsidR="6970D235">
        <w:t>[um] of expression” and therefore</w:t>
      </w:r>
      <w:r w:rsidR="7DB83EBD">
        <w:t xml:space="preserve"> “does not trigger</w:t>
      </w:r>
      <w:r w:rsidR="3EDA79BB">
        <w:t>”</w:t>
      </w:r>
      <w:r w:rsidR="7DB83EBD">
        <w:t xml:space="preserve"> First Amendment protection.</w:t>
      </w:r>
      <w:r w:rsidRPr="7ABFE48D">
        <w:rPr>
          <w:rStyle w:val="FootnoteReference"/>
        </w:rPr>
        <w:footnoteReference w:id="57"/>
      </w:r>
    </w:p>
    <w:p w14:paraId="782FDDB1" w14:textId="721EDF78" w:rsidR="7DB83EBD" w:rsidRDefault="7DB83EBD" w:rsidP="26888584">
      <w:pPr>
        <w:ind w:firstLine="720"/>
      </w:pPr>
      <w:r w:rsidRPr="06A62122">
        <w:rPr>
          <w:i/>
          <w:iCs/>
        </w:rPr>
        <w:t xml:space="preserve">Dahlstrom </w:t>
      </w:r>
      <w:r>
        <w:t xml:space="preserve">was, in significant part, an application, albeit a tortured one, of the Seventh Circuit’s prior decision in </w:t>
      </w:r>
      <w:r w:rsidRPr="06A62122">
        <w:rPr>
          <w:i/>
          <w:iCs/>
        </w:rPr>
        <w:t>A</w:t>
      </w:r>
      <w:r w:rsidR="7330E0C0" w:rsidRPr="06A62122">
        <w:rPr>
          <w:i/>
          <w:iCs/>
        </w:rPr>
        <w:t>CLU v. Alvarez.</w:t>
      </w:r>
      <w:r w:rsidRPr="7ABFE48D">
        <w:rPr>
          <w:rStyle w:val="FootnoteReference"/>
        </w:rPr>
        <w:footnoteReference w:id="58"/>
      </w:r>
      <w:r w:rsidR="7330E0C0" w:rsidRPr="7ABFE48D">
        <w:t xml:space="preserve"> </w:t>
      </w:r>
      <w:r w:rsidR="7330E0C0">
        <w:t>In that case</w:t>
      </w:r>
      <w:r w:rsidR="153E2CEB">
        <w:t>,</w:t>
      </w:r>
      <w:r w:rsidR="7330E0C0">
        <w:t xml:space="preserve"> the court held that, as applied to the recording of police officers performing their official duties in public places, an Illinois statute</w:t>
      </w:r>
      <w:r w:rsidR="36085C51">
        <w:t xml:space="preserve"> generally</w:t>
      </w:r>
      <w:r w:rsidR="7330E0C0">
        <w:t xml:space="preserve"> prohibiting </w:t>
      </w:r>
      <w:r w:rsidR="19C08AC7">
        <w:t>non-consensual</w:t>
      </w:r>
      <w:r w:rsidR="7330E0C0">
        <w:t xml:space="preserve"> recording</w:t>
      </w:r>
      <w:r w:rsidR="4815B99D">
        <w:t xml:space="preserve"> “burdens individual speech and press rights” in violation of the First Amendment.</w:t>
      </w:r>
      <w:r w:rsidRPr="7ABFE48D">
        <w:rPr>
          <w:rStyle w:val="FootnoteReference"/>
        </w:rPr>
        <w:footnoteReference w:id="59"/>
      </w:r>
      <w:r w:rsidR="4815B99D">
        <w:t xml:space="preserve">  </w:t>
      </w:r>
      <w:r w:rsidR="2322CDBE">
        <w:t>The First Amendment</w:t>
      </w:r>
      <w:r w:rsidR="4815B99D">
        <w:t xml:space="preserve">, the court </w:t>
      </w:r>
      <w:r w:rsidR="36BF30A7">
        <w:t>concluded</w:t>
      </w:r>
      <w:r w:rsidR="6068A11D">
        <w:t>,</w:t>
      </w:r>
      <w:r w:rsidR="4815B99D">
        <w:t xml:space="preserve"> “limits the extent to which Illinois may restrict audio and audiovisual </w:t>
      </w:r>
      <w:r w:rsidR="360965C0">
        <w:t>recording of utterances that occur in public.”</w:t>
      </w:r>
      <w:r w:rsidRPr="7ABFE48D">
        <w:rPr>
          <w:rStyle w:val="FootnoteReference"/>
        </w:rPr>
        <w:footnoteReference w:id="60"/>
      </w:r>
      <w:r w:rsidR="360965C0">
        <w:t xml:space="preserve"> It based that conclusion, in significant part, on its determination that “</w:t>
      </w:r>
      <w:r w:rsidR="2CCB00AA">
        <w:t>[a]</w:t>
      </w:r>
      <w:proofErr w:type="spellStart"/>
      <w:r w:rsidR="2CCB00AA">
        <w:t>udio</w:t>
      </w:r>
      <w:proofErr w:type="spellEnd"/>
      <w:r w:rsidR="2CCB00AA">
        <w:t xml:space="preserve"> and audiovisual recording are media of expression commonly used for the preservation and dissemination of information</w:t>
      </w:r>
      <w:r w:rsidR="360965C0">
        <w:t xml:space="preserve"> </w:t>
      </w:r>
      <w:r w:rsidR="07B41D0A">
        <w:t>and ideas and thus are ‘included within the free speech and press guarantee</w:t>
      </w:r>
      <w:r w:rsidR="7F7CE60F">
        <w:t>’</w:t>
      </w:r>
      <w:r w:rsidR="07B41D0A">
        <w:t>” of the First Amendment.</w:t>
      </w:r>
      <w:r w:rsidRPr="7ABFE48D">
        <w:rPr>
          <w:rStyle w:val="FootnoteReference"/>
        </w:rPr>
        <w:footnoteReference w:id="61"/>
      </w:r>
      <w:r w:rsidR="64A7E4F5">
        <w:t xml:space="preserve"> </w:t>
      </w:r>
      <w:r w:rsidR="4BD1AE83">
        <w:t xml:space="preserve">Although it invoked both the speech and press clauses, the court grounded its holding </w:t>
      </w:r>
      <w:r w:rsidR="0B8C1687">
        <w:t>i</w:t>
      </w:r>
      <w:r w:rsidR="4BD1AE83">
        <w:t xml:space="preserve">n the </w:t>
      </w:r>
      <w:r w:rsidR="3DDDB4C9">
        <w:t>former</w:t>
      </w:r>
      <w:r w:rsidR="596A10A5">
        <w:t>:</w:t>
      </w:r>
    </w:p>
    <w:p w14:paraId="1C8696C0" w14:textId="50B900F0" w:rsidR="5EE89214" w:rsidRDefault="5EE89214" w:rsidP="32F21F8D">
      <w:pPr>
        <w:ind w:left="720"/>
      </w:pPr>
      <w:r>
        <w:t xml:space="preserve">The act of </w:t>
      </w:r>
      <w:r w:rsidRPr="32F21F8D">
        <w:rPr>
          <w:i/>
          <w:iCs/>
        </w:rPr>
        <w:t xml:space="preserve">making </w:t>
      </w:r>
      <w:r>
        <w:t>an audio or audiovisual recording is necessarily included within</w:t>
      </w:r>
      <w:r w:rsidR="732FD7D9">
        <w:t xml:space="preserve"> t</w:t>
      </w:r>
      <w:r w:rsidR="792CBB75">
        <w:t>he First Amendment’s guarantee of speech and press rights</w:t>
      </w:r>
      <w:r w:rsidR="3F700EBD">
        <w:t xml:space="preserve"> as a corollary of the right to disseminate</w:t>
      </w:r>
      <w:r w:rsidR="6DF4212C">
        <w:t xml:space="preserve"> the resulting recording. The right to publish or broadcast an audio or audiovisual recording would be insecure, or largely ineffective, if the antecedent act of </w:t>
      </w:r>
      <w:r w:rsidR="6DF4212C" w:rsidRPr="32F21F8D">
        <w:rPr>
          <w:i/>
          <w:iCs/>
        </w:rPr>
        <w:t>making</w:t>
      </w:r>
      <w:r w:rsidR="3F700EBD">
        <w:t xml:space="preserve"> </w:t>
      </w:r>
      <w:r w:rsidR="775317E2">
        <w:t xml:space="preserve">the recording is wholly unprotected, </w:t>
      </w:r>
      <w:r w:rsidR="61D44B92">
        <w:t xml:space="preserve">as the State’s Attorney insists. By way of a simple analogy, banning photography or note-taking at a public event would raise </w:t>
      </w:r>
      <w:r w:rsidR="45EF5A19">
        <w:t>serious First Amendment concerns; a law of that sort would obviously affect the right to publish the resulting photograph or disseminate a report derived from the notes. The sam</w:t>
      </w:r>
      <w:r w:rsidR="759D48EC">
        <w:t>e is true of a ban on audio and audiovisual recording.</w:t>
      </w:r>
      <w:r w:rsidRPr="7ABFE48D">
        <w:rPr>
          <w:rStyle w:val="FootnoteReference"/>
        </w:rPr>
        <w:footnoteReference w:id="62"/>
      </w:r>
    </w:p>
    <w:p w14:paraId="10594E8B" w14:textId="39C3621E" w:rsidR="4604D15F" w:rsidRDefault="0DE98705" w:rsidP="06A62122">
      <w:pPr>
        <w:ind w:firstLine="720"/>
      </w:pPr>
      <w:r>
        <w:t>Once</w:t>
      </w:r>
      <w:r w:rsidR="57E04214">
        <w:t xml:space="preserve"> it had </w:t>
      </w:r>
      <w:r w:rsidR="7F6782AF">
        <w:t>classified</w:t>
      </w:r>
      <w:r w:rsidR="4604D15F">
        <w:t xml:space="preserve"> the act of </w:t>
      </w:r>
      <w:r w:rsidR="4A5BFCE9">
        <w:t>“</w:t>
      </w:r>
      <w:r w:rsidR="4604D15F">
        <w:t>making</w:t>
      </w:r>
      <w:r w:rsidR="34A71C94">
        <w:t>”</w:t>
      </w:r>
      <w:r w:rsidR="4604D15F">
        <w:t xml:space="preserve"> the recording </w:t>
      </w:r>
      <w:r w:rsidR="54468C4C">
        <w:t>as</w:t>
      </w:r>
      <w:r w:rsidR="4604D15F">
        <w:t xml:space="preserve"> part of the </w:t>
      </w:r>
      <w:r w:rsidR="6A2E095E">
        <w:t>process</w:t>
      </w:r>
      <w:r w:rsidR="4604D15F">
        <w:t xml:space="preserve"> of disseminating the expression it captured, the court </w:t>
      </w:r>
      <w:r w:rsidR="537CFF03">
        <w:t xml:space="preserve">was able to </w:t>
      </w:r>
      <w:r w:rsidR="4604D15F">
        <w:t xml:space="preserve">describe its decision as </w:t>
      </w:r>
      <w:r w:rsidR="78661838">
        <w:t xml:space="preserve">a “straightforward </w:t>
      </w:r>
      <w:r w:rsidR="2E78661C">
        <w:t>application</w:t>
      </w:r>
      <w:r w:rsidR="78661838">
        <w:t xml:space="preserve"> of the principle that ‘[l]laws enacted to control or suppress </w:t>
      </w:r>
      <w:r w:rsidR="78661838" w:rsidRPr="06A62122">
        <w:rPr>
          <w:i/>
          <w:iCs/>
        </w:rPr>
        <w:lastRenderedPageBreak/>
        <w:t xml:space="preserve">speech </w:t>
      </w:r>
      <w:r w:rsidR="5844866B">
        <w:t>may operat</w:t>
      </w:r>
      <w:r w:rsidR="4D056E76">
        <w:t xml:space="preserve">e at different points in the </w:t>
      </w:r>
      <w:r w:rsidR="4D056E76" w:rsidRPr="06A62122">
        <w:rPr>
          <w:i/>
          <w:iCs/>
        </w:rPr>
        <w:t xml:space="preserve">speech </w:t>
      </w:r>
      <w:r w:rsidR="4D056E76">
        <w:t>process.”</w:t>
      </w:r>
      <w:r w:rsidRPr="7ABFE48D">
        <w:rPr>
          <w:rStyle w:val="FootnoteReference"/>
        </w:rPr>
        <w:footnoteReference w:id="63"/>
      </w:r>
      <w:r w:rsidR="4D056E76">
        <w:t xml:space="preserve"> The statute’s ban on audio and audiovisual recording, the court explained, “</w:t>
      </w:r>
      <w:r w:rsidR="1E48AC4A">
        <w:t>operates at the front end of the speech process by restricting the use of a common, indeed ubiquitous instrument of commu</w:t>
      </w:r>
      <w:r w:rsidR="063D5B68">
        <w:t>nication,” a restriction that “suppresses speech just as effectively as restricting the dissemination of the resu</w:t>
      </w:r>
      <w:r w:rsidR="2A886E08">
        <w:t>lting recording.”</w:t>
      </w:r>
      <w:r w:rsidRPr="7ABFE48D">
        <w:rPr>
          <w:rStyle w:val="FootnoteReference"/>
        </w:rPr>
        <w:footnoteReference w:id="64"/>
      </w:r>
    </w:p>
    <w:p w14:paraId="6C17A71A" w14:textId="026F350B" w:rsidR="2A886E08" w:rsidRDefault="44368435" w:rsidP="26888584">
      <w:pPr>
        <w:ind w:firstLine="720"/>
      </w:pPr>
      <w:r>
        <w:t xml:space="preserve">The analytical gymnastics undergirding </w:t>
      </w:r>
      <w:r w:rsidR="221EFE8F" w:rsidRPr="06A62122">
        <w:rPr>
          <w:i/>
          <w:iCs/>
        </w:rPr>
        <w:t xml:space="preserve">Alvarez </w:t>
      </w:r>
      <w:proofErr w:type="gramStart"/>
      <w:r>
        <w:t>are</w:t>
      </w:r>
      <w:proofErr w:type="gramEnd"/>
      <w:r>
        <w:t xml:space="preserve"> a byproduct of </w:t>
      </w:r>
      <w:r w:rsidR="54D311A0">
        <w:t xml:space="preserve">its </w:t>
      </w:r>
      <w:proofErr w:type="gramStart"/>
      <w:r>
        <w:t>concern</w:t>
      </w:r>
      <w:proofErr w:type="gramEnd"/>
      <w:r w:rsidR="68D9A291">
        <w:t xml:space="preserve"> </w:t>
      </w:r>
      <w:r>
        <w:t xml:space="preserve">it </w:t>
      </w:r>
      <w:r w:rsidR="6C0CCC05">
        <w:t>would otherwise</w:t>
      </w:r>
      <w:r>
        <w:t xml:space="preserve"> run afoul of the incid</w:t>
      </w:r>
      <w:r w:rsidR="5EF93B32">
        <w:t xml:space="preserve">ental </w:t>
      </w:r>
      <w:proofErr w:type="gramStart"/>
      <w:r w:rsidR="5EF93B32">
        <w:t>restraints</w:t>
      </w:r>
      <w:proofErr w:type="gramEnd"/>
      <w:r w:rsidR="5EF93B32">
        <w:t xml:space="preserve"> doctrine set out by the Supreme Court in cases like </w:t>
      </w:r>
      <w:r w:rsidR="5EF93B32" w:rsidRPr="06A62122">
        <w:rPr>
          <w:i/>
          <w:iCs/>
        </w:rPr>
        <w:t xml:space="preserve">Branzburg </w:t>
      </w:r>
      <w:r w:rsidR="5EF93B32">
        <w:t xml:space="preserve">and </w:t>
      </w:r>
      <w:r w:rsidR="5EF93B32" w:rsidRPr="06A62122">
        <w:rPr>
          <w:i/>
          <w:iCs/>
        </w:rPr>
        <w:t>Cohen</w:t>
      </w:r>
      <w:r w:rsidR="5EF93B32">
        <w:t xml:space="preserve">. </w:t>
      </w:r>
      <w:r w:rsidR="7BDAB8FE">
        <w:t>The court</w:t>
      </w:r>
      <w:r w:rsidR="5EF93B32">
        <w:t xml:space="preserve"> disti</w:t>
      </w:r>
      <w:r w:rsidR="4C22B975">
        <w:t>nguished both cases by name, asserting that they stand only “for the unremarkable position that the</w:t>
      </w:r>
      <w:r w:rsidR="6498A734">
        <w:t xml:space="preserve"> </w:t>
      </w:r>
      <w:r w:rsidR="4C22B975">
        <w:t xml:space="preserve">press does not enjoy </w:t>
      </w:r>
      <w:r w:rsidR="25D8E609">
        <w:t>a special constitutional exemption from generally applicable laws.”</w:t>
      </w:r>
      <w:r w:rsidRPr="7ABFE48D">
        <w:rPr>
          <w:rStyle w:val="FootnoteReference"/>
        </w:rPr>
        <w:footnoteReference w:id="65"/>
      </w:r>
      <w:r w:rsidR="25D8E609">
        <w:t xml:space="preserve"> In </w:t>
      </w:r>
      <w:r w:rsidR="0EF48C93" w:rsidRPr="06A62122">
        <w:rPr>
          <w:i/>
          <w:iCs/>
        </w:rPr>
        <w:t>Alvarez</w:t>
      </w:r>
      <w:r w:rsidR="0EF48C93" w:rsidRPr="7ABFE48D">
        <w:t>, in contrast</w:t>
      </w:r>
      <w:r w:rsidR="25D8E609">
        <w:t>, it was “the expressive elem</w:t>
      </w:r>
      <w:r w:rsidR="37EDC442">
        <w:t>e</w:t>
      </w:r>
      <w:r w:rsidR="25D8E609">
        <w:t>n</w:t>
      </w:r>
      <w:r w:rsidR="0DAD8679">
        <w:t>t</w:t>
      </w:r>
      <w:r w:rsidR="25D8E609">
        <w:t xml:space="preserve"> of an express</w:t>
      </w:r>
      <w:r w:rsidR="5A6BFBB3">
        <w:t>ive activity” that put the First Amendment “in play.”</w:t>
      </w:r>
      <w:r w:rsidRPr="7ABFE48D">
        <w:rPr>
          <w:rStyle w:val="FootnoteReference"/>
        </w:rPr>
        <w:footnoteReference w:id="66"/>
      </w:r>
      <w:r w:rsidR="5A6BFBB3">
        <w:t xml:space="preserve"> </w:t>
      </w:r>
    </w:p>
    <w:p w14:paraId="44DD1884" w14:textId="5484112E" w:rsidR="344C6599" w:rsidRDefault="344C6599" w:rsidP="26888584">
      <w:pPr>
        <w:ind w:firstLine="720"/>
      </w:pPr>
      <w:r>
        <w:t xml:space="preserve">The Seventh Circuit decided </w:t>
      </w:r>
      <w:r w:rsidRPr="06A62122">
        <w:rPr>
          <w:i/>
          <w:iCs/>
        </w:rPr>
        <w:t xml:space="preserve">Alvarez </w:t>
      </w:r>
      <w:r>
        <w:t xml:space="preserve">before </w:t>
      </w:r>
      <w:r w:rsidR="217DE988" w:rsidRPr="06A62122">
        <w:rPr>
          <w:i/>
          <w:iCs/>
        </w:rPr>
        <w:t>Dahlstrom,</w:t>
      </w:r>
      <w:r w:rsidRPr="06A62122">
        <w:rPr>
          <w:i/>
          <w:iCs/>
        </w:rPr>
        <w:t xml:space="preserve"> </w:t>
      </w:r>
      <w:r>
        <w:t>so the court in the latter had to distinguish the former to reach it</w:t>
      </w:r>
      <w:r w:rsidR="7DF5EAA0">
        <w:t xml:space="preserve">s desired result. </w:t>
      </w:r>
      <w:r w:rsidR="0187F801">
        <w:t>N</w:t>
      </w:r>
      <w:r w:rsidR="7DF5EAA0">
        <w:t>ot surprisingly, it did so by seizing on the prior decision</w:t>
      </w:r>
      <w:r w:rsidR="44B008AD">
        <w:t>’</w:t>
      </w:r>
      <w:r w:rsidR="7DF5EAA0">
        <w:t>s emp</w:t>
      </w:r>
      <w:r w:rsidR="7D852330">
        <w:t>hasis on audiovisual recording as “expressive activity</w:t>
      </w:r>
      <w:r w:rsidR="18B61D7A">
        <w:t>.</w:t>
      </w:r>
      <w:r w:rsidR="7D852330">
        <w:t>”</w:t>
      </w:r>
      <w:r w:rsidR="6CCA4F95">
        <w:t xml:space="preserve"> </w:t>
      </w:r>
      <w:r w:rsidR="1EF05B0A">
        <w:t xml:space="preserve">In </w:t>
      </w:r>
      <w:r w:rsidR="1EF05B0A" w:rsidRPr="06A62122">
        <w:rPr>
          <w:i/>
          <w:iCs/>
        </w:rPr>
        <w:t>Dahlstrom</w:t>
      </w:r>
      <w:r w:rsidR="1EF05B0A">
        <w:t>,</w:t>
      </w:r>
      <w:r w:rsidR="1EF05B0A" w:rsidRPr="06A62122">
        <w:rPr>
          <w:i/>
          <w:iCs/>
        </w:rPr>
        <w:t xml:space="preserve"> t</w:t>
      </w:r>
      <w:r w:rsidR="6CCA4F95">
        <w:t xml:space="preserve">he defendant newspaper </w:t>
      </w:r>
      <w:r w:rsidR="53C123AF">
        <w:t>asserted that the DPPA, like the wiretapping law at issue in</w:t>
      </w:r>
      <w:r w:rsidR="56006900">
        <w:t xml:space="preserve"> </w:t>
      </w:r>
      <w:r w:rsidR="56006900" w:rsidRPr="06A62122">
        <w:rPr>
          <w:i/>
          <w:iCs/>
        </w:rPr>
        <w:t>Alvarez</w:t>
      </w:r>
      <w:r w:rsidR="56006900">
        <w:t xml:space="preserve">, violated the First Amendment </w:t>
      </w:r>
      <w:r w:rsidR="265F7EAD">
        <w:t xml:space="preserve">as applied </w:t>
      </w:r>
      <w:r w:rsidR="56006900">
        <w:t>“because it restricts the new media’s ability to gather and report the news.”</w:t>
      </w:r>
      <w:r w:rsidRPr="7ABFE48D">
        <w:rPr>
          <w:rStyle w:val="FootnoteReference"/>
        </w:rPr>
        <w:footnoteReference w:id="67"/>
      </w:r>
      <w:r w:rsidR="56006900">
        <w:t xml:space="preserve"> </w:t>
      </w:r>
      <w:r w:rsidR="5B1BF48B">
        <w:t xml:space="preserve">The court was able to reject that contention because, in its effort to steer clear of the “incidental restraints” doctrine, </w:t>
      </w:r>
      <w:r w:rsidR="5B1BF48B" w:rsidRPr="06A62122">
        <w:rPr>
          <w:i/>
          <w:iCs/>
        </w:rPr>
        <w:t xml:space="preserve">Alvarez </w:t>
      </w:r>
      <w:r w:rsidR="5B1BF48B">
        <w:t xml:space="preserve">had </w:t>
      </w:r>
      <w:r w:rsidR="0B6FAD3A">
        <w:t>hung its judicial hat on its dubious contention that recording is the “front end of the speech process.”</w:t>
      </w:r>
      <w:r w:rsidRPr="219241E5">
        <w:rPr>
          <w:rStyle w:val="FootnoteReference"/>
        </w:rPr>
        <w:footnoteReference w:id="68"/>
      </w:r>
    </w:p>
    <w:p w14:paraId="0C73CE75" w14:textId="5E859044" w:rsidR="5527B436" w:rsidRDefault="5527B436" w:rsidP="7ABFE48D">
      <w:pPr>
        <w:ind w:firstLine="720"/>
      </w:pPr>
      <w:r>
        <w:t xml:space="preserve">The influence of the court’s analysis in </w:t>
      </w:r>
      <w:r w:rsidRPr="06A62122">
        <w:rPr>
          <w:i/>
          <w:iCs/>
        </w:rPr>
        <w:t xml:space="preserve">Alvarez </w:t>
      </w:r>
      <w:r w:rsidRPr="7ABFE48D">
        <w:t xml:space="preserve">has spread beyond the Seventh Circuit.  Most recently, in </w:t>
      </w:r>
      <w:r w:rsidRPr="06A62122">
        <w:rPr>
          <w:i/>
          <w:iCs/>
        </w:rPr>
        <w:t>Garcia v. County of Alameda,</w:t>
      </w:r>
      <w:r w:rsidRPr="06A62122">
        <w:rPr>
          <w:rStyle w:val="FootnoteReference"/>
        </w:rPr>
        <w:footnoteReference w:id="69"/>
      </w:r>
      <w:r w:rsidRPr="06A62122">
        <w:rPr>
          <w:i/>
          <w:iCs/>
        </w:rPr>
        <w:t xml:space="preserve"> </w:t>
      </w:r>
      <w:r w:rsidR="1D2BA672" w:rsidRPr="7ABFE48D">
        <w:t>the Ninth Circuit reversed a district court’s denial of a preliminary injunction to a reporter who challenged the constitutional vali</w:t>
      </w:r>
      <w:r w:rsidR="40A5E199" w:rsidRPr="7ABFE48D">
        <w:t>dity of a county ordinance f</w:t>
      </w:r>
      <w:r w:rsidR="0539647A" w:rsidRPr="7ABFE48D">
        <w:t xml:space="preserve">latly </w:t>
      </w:r>
      <w:r w:rsidR="40A5E199" w:rsidRPr="7ABFE48D">
        <w:t>prohibiting</w:t>
      </w:r>
      <w:r w:rsidR="709A18CE" w:rsidRPr="7ABFE48D">
        <w:t xml:space="preserve"> the </w:t>
      </w:r>
      <w:r w:rsidR="672C42A1" w:rsidRPr="7ABFE48D">
        <w:t xml:space="preserve">intentional </w:t>
      </w:r>
      <w:r w:rsidR="709A18CE" w:rsidRPr="7ABFE48D">
        <w:t xml:space="preserve">observation of so-called “sideshow events” conducted on a public street from within 200 yards. </w:t>
      </w:r>
      <w:r w:rsidR="40A5E199" w:rsidRPr="7ABFE48D">
        <w:t xml:space="preserve"> </w:t>
      </w:r>
      <w:r w:rsidR="3820637E" w:rsidRPr="7ABFE48D">
        <w:t>A “</w:t>
      </w:r>
      <w:r w:rsidR="6E7C46C8" w:rsidRPr="7ABFE48D">
        <w:t xml:space="preserve">sideshow” is </w:t>
      </w:r>
      <w:r w:rsidR="61A695EB" w:rsidRPr="7ABFE48D">
        <w:t xml:space="preserve">a </w:t>
      </w:r>
      <w:r w:rsidR="0AD50B96" w:rsidRPr="7ABFE48D">
        <w:t>“</w:t>
      </w:r>
      <w:r w:rsidR="6E7C46C8" w:rsidRPr="7ABFE48D">
        <w:t>controversial event where drivers take over city intersections with their cars as they skid in circ</w:t>
      </w:r>
      <w:r w:rsidR="23993B85" w:rsidRPr="7ABFE48D">
        <w:t>les while performing stunts.”</w:t>
      </w:r>
      <w:r w:rsidRPr="7ABFE48D">
        <w:rPr>
          <w:rStyle w:val="FootnoteReference"/>
        </w:rPr>
        <w:footnoteReference w:id="70"/>
      </w:r>
      <w:r w:rsidR="1D770E30" w:rsidRPr="7ABFE48D">
        <w:t xml:space="preserve"> The ordinance was designed to limit the </w:t>
      </w:r>
      <w:r w:rsidR="2F443CD5" w:rsidRPr="7ABFE48D">
        <w:t xml:space="preserve">unruly </w:t>
      </w:r>
      <w:r w:rsidR="1D770E30" w:rsidRPr="7ABFE48D">
        <w:t xml:space="preserve">crowds that routinely gathered to watch </w:t>
      </w:r>
      <w:r w:rsidR="59EC878A" w:rsidRPr="7ABFE48D">
        <w:t>a</w:t>
      </w:r>
      <w:r w:rsidR="2865281F" w:rsidRPr="7ABFE48D">
        <w:t>s well as</w:t>
      </w:r>
      <w:r w:rsidR="59EC878A" w:rsidRPr="7ABFE48D">
        <w:t xml:space="preserve"> the</w:t>
      </w:r>
      <w:r w:rsidR="1A1104EC" w:rsidRPr="7ABFE48D">
        <w:t xml:space="preserve"> </w:t>
      </w:r>
      <w:r w:rsidR="06C75C60" w:rsidRPr="7ABFE48D">
        <w:t>”</w:t>
      </w:r>
      <w:r w:rsidR="59EC878A" w:rsidRPr="7ABFE48D">
        <w:t xml:space="preserve">property damages, noise pollution, garbage, firearm use and reckless driving under the influence of drugs and </w:t>
      </w:r>
      <w:r w:rsidR="59EC878A" w:rsidRPr="7ABFE48D">
        <w:lastRenderedPageBreak/>
        <w:t>alcohol</w:t>
      </w:r>
      <w:r w:rsidR="6E40532D" w:rsidRPr="7ABFE48D">
        <w:t xml:space="preserve">” that </w:t>
      </w:r>
      <w:r w:rsidR="3BB62D56" w:rsidRPr="7ABFE48D">
        <w:t>often</w:t>
      </w:r>
      <w:r w:rsidR="7F398FED" w:rsidRPr="7ABFE48D">
        <w:t xml:space="preserve"> ensued.</w:t>
      </w:r>
      <w:r w:rsidRPr="7ABFE48D">
        <w:rPr>
          <w:rStyle w:val="FootnoteReference"/>
        </w:rPr>
        <w:footnoteReference w:id="71"/>
      </w:r>
      <w:r w:rsidR="7F398FED" w:rsidRPr="7ABFE48D">
        <w:t xml:space="preserve">  The reporter, who covered road safety and transportati</w:t>
      </w:r>
      <w:r w:rsidR="7C820AAC" w:rsidRPr="7ABFE48D">
        <w:t>on,</w:t>
      </w:r>
      <w:r w:rsidR="6E78F376" w:rsidRPr="7ABFE48D">
        <w:t xml:space="preserve"> </w:t>
      </w:r>
      <w:r w:rsidR="08179C35" w:rsidRPr="7ABFE48D">
        <w:t xml:space="preserve">sought to enjoin enforcement of the regulation </w:t>
      </w:r>
      <w:r w:rsidR="06ECBDD6" w:rsidRPr="7ABFE48D">
        <w:t>at least</w:t>
      </w:r>
      <w:r w:rsidR="08179C35" w:rsidRPr="7ABFE48D">
        <w:t xml:space="preserve"> as</w:t>
      </w:r>
      <w:r w:rsidR="54D48FA3" w:rsidRPr="7ABFE48D">
        <w:t xml:space="preserve"> it</w:t>
      </w:r>
      <w:r w:rsidR="08179C35" w:rsidRPr="7ABFE48D">
        <w:t xml:space="preserve"> applied to his newsgathering activities. </w:t>
      </w:r>
    </w:p>
    <w:p w14:paraId="641A652A" w14:textId="15C8CDED" w:rsidR="5527B436" w:rsidRDefault="52843386" w:rsidP="7ABFE48D">
      <w:pPr>
        <w:ind w:firstLine="720"/>
      </w:pPr>
      <w:r w:rsidRPr="7ABFE48D">
        <w:t xml:space="preserve">Taking its cue from </w:t>
      </w:r>
      <w:r w:rsidRPr="06A62122">
        <w:rPr>
          <w:i/>
          <w:iCs/>
        </w:rPr>
        <w:t>Alvarez</w:t>
      </w:r>
      <w:r w:rsidRPr="7ABFE48D">
        <w:t xml:space="preserve">, the Ninth Circuit began its analysis by </w:t>
      </w:r>
      <w:r w:rsidR="0BA3C755" w:rsidRPr="7ABFE48D">
        <w:t>considering</w:t>
      </w:r>
      <w:r w:rsidRPr="7ABFE48D">
        <w:t xml:space="preserve"> whether </w:t>
      </w:r>
      <w:r w:rsidR="1F8B75CA" w:rsidRPr="7ABFE48D">
        <w:t>“</w:t>
      </w:r>
      <w:r w:rsidRPr="7ABFE48D">
        <w:t xml:space="preserve">newsgathering and reporting activities constitute </w:t>
      </w:r>
      <w:r w:rsidRPr="06A62122">
        <w:rPr>
          <w:i/>
          <w:iCs/>
        </w:rPr>
        <w:t>speech</w:t>
      </w:r>
      <w:r w:rsidRPr="7ABFE48D">
        <w:t>.”</w:t>
      </w:r>
      <w:r w:rsidR="5527B436" w:rsidRPr="06A62122">
        <w:rPr>
          <w:rStyle w:val="FootnoteReference"/>
        </w:rPr>
        <w:footnoteReference w:id="72"/>
      </w:r>
      <w:r w:rsidR="08179C35" w:rsidRPr="06A62122">
        <w:t xml:space="preserve"> </w:t>
      </w:r>
      <w:r w:rsidR="7C820AAC" w:rsidRPr="06A62122">
        <w:t xml:space="preserve"> </w:t>
      </w:r>
      <w:r w:rsidR="5862B601" w:rsidRPr="7ABFE48D">
        <w:t>It rejected the county’s contention that the ”</w:t>
      </w:r>
      <w:r w:rsidR="55F8BF1E" w:rsidRPr="7ABFE48D">
        <w:t>’</w:t>
      </w:r>
      <w:r w:rsidR="5862B601" w:rsidRPr="7ABFE48D">
        <w:t>mere observation’ of sideshows ’is not expressive’”</w:t>
      </w:r>
      <w:r w:rsidR="4F4F376F" w:rsidRPr="7ABFE48D">
        <w:t xml:space="preserve"> on the ground that </w:t>
      </w:r>
      <w:r w:rsidR="2196F466" w:rsidRPr="7ABFE48D">
        <w:t>a reporter’s ability to do so</w:t>
      </w:r>
      <w:r w:rsidR="4F4F376F" w:rsidRPr="7ABFE48D">
        <w:t xml:space="preserve"> ”is a predicate for, and thus inextricably intertwined with his recording of those events.”</w:t>
      </w:r>
      <w:r w:rsidR="5527B436" w:rsidRPr="7ABFE48D">
        <w:rPr>
          <w:rStyle w:val="FootnoteReference"/>
        </w:rPr>
        <w:footnoteReference w:id="73"/>
      </w:r>
      <w:r w:rsidR="726F1041" w:rsidRPr="7ABFE48D">
        <w:t xml:space="preserve"> Having recategorized newsgathering as speech itself, the court was </w:t>
      </w:r>
      <w:r w:rsidR="2EE0D21B" w:rsidRPr="7ABFE48D">
        <w:t xml:space="preserve">able to turn away the county’s reliance on the incidental restraints doctrine: </w:t>
      </w:r>
      <w:r w:rsidR="73C6A780" w:rsidRPr="7ABFE48D">
        <w:t>”Even if observation of a sideshow on its own terms is non-expressive conduct,” because the reporter ”must observe sideshows in order to record them, the Ordinanc</w:t>
      </w:r>
      <w:r w:rsidR="28BDBABA" w:rsidRPr="7ABFE48D">
        <w:t>e ’burdens [his] First Amendment rights directly, not incidentally.’”</w:t>
      </w:r>
      <w:r w:rsidR="5527B436" w:rsidRPr="7ABFE48D">
        <w:rPr>
          <w:rStyle w:val="FootnoteReference"/>
        </w:rPr>
        <w:footnoteReference w:id="74"/>
      </w:r>
    </w:p>
    <w:p w14:paraId="16932F56" w14:textId="1134D088" w:rsidR="53C8F040" w:rsidRDefault="53C8F040" w:rsidP="26888584">
      <w:pPr>
        <w:ind w:firstLine="720"/>
      </w:pPr>
      <w:r>
        <w:t>Other courts</w:t>
      </w:r>
      <w:r w:rsidR="3CAC4CD5">
        <w:t>, however,</w:t>
      </w:r>
      <w:r>
        <w:t xml:space="preserve"> have declined to follow</w:t>
      </w:r>
      <w:r w:rsidR="58F57234">
        <w:t xml:space="preserve"> even</w:t>
      </w:r>
      <w:r>
        <w:t xml:space="preserve"> </w:t>
      </w:r>
      <w:r w:rsidRPr="06A62122">
        <w:rPr>
          <w:i/>
          <w:iCs/>
        </w:rPr>
        <w:t>Alvarez</w:t>
      </w:r>
      <w:r>
        <w:t xml:space="preserve">. In </w:t>
      </w:r>
      <w:r w:rsidRPr="06A62122">
        <w:rPr>
          <w:i/>
          <w:iCs/>
        </w:rPr>
        <w:t>Price v. Garland</w:t>
      </w:r>
      <w:r>
        <w:t>,</w:t>
      </w:r>
      <w:r w:rsidRPr="7ABFE48D">
        <w:rPr>
          <w:rStyle w:val="FootnoteReference"/>
        </w:rPr>
        <w:footnoteReference w:id="75"/>
      </w:r>
      <w:r>
        <w:t xml:space="preserve"> </w:t>
      </w:r>
      <w:r w:rsidR="5FED4F45">
        <w:t>a documentary filmmaker brought a declaratory judgment action against the National Park Service because it had enfor</w:t>
      </w:r>
      <w:r w:rsidR="3DE5FC43">
        <w:t xml:space="preserve">ced a </w:t>
      </w:r>
      <w:r w:rsidR="5C784A49">
        <w:t xml:space="preserve">regulation </w:t>
      </w:r>
      <w:r w:rsidR="3DE5FC43">
        <w:t>requiring</w:t>
      </w:r>
      <w:r w:rsidR="389B20F8">
        <w:t xml:space="preserve"> him to secure</w:t>
      </w:r>
      <w:r w:rsidR="3DE5FC43">
        <w:t xml:space="preserve"> a permit and pay a fee </w:t>
      </w:r>
      <w:r w:rsidR="2C905914">
        <w:t xml:space="preserve">to </w:t>
      </w:r>
      <w:bookmarkStart w:id="6" w:name="_Int_zMqcP81W"/>
      <w:r w:rsidR="2C905914">
        <w:t>undertake ”</w:t>
      </w:r>
      <w:r w:rsidR="3DE5FC43">
        <w:t>commercial</w:t>
      </w:r>
      <w:bookmarkEnd w:id="6"/>
      <w:r w:rsidR="3DE5FC43">
        <w:t xml:space="preserve"> filming activities”</w:t>
      </w:r>
      <w:r w:rsidR="6D3F782D">
        <w:t xml:space="preserve"> on federa</w:t>
      </w:r>
      <w:r w:rsidR="3D2DD470">
        <w:t>l property otherwise open to the public.</w:t>
      </w:r>
      <w:r w:rsidRPr="7ABFE48D">
        <w:rPr>
          <w:rStyle w:val="FootnoteReference"/>
        </w:rPr>
        <w:footnoteReference w:id="76"/>
      </w:r>
      <w:r w:rsidR="3D2DD470">
        <w:t xml:space="preserve">  Although the regulations contained an exemption from the permit </w:t>
      </w:r>
      <w:r w:rsidR="106B6D4F">
        <w:t xml:space="preserve">requirement for </w:t>
      </w:r>
      <w:bookmarkStart w:id="7" w:name="_Int_2KGyyXL2"/>
      <w:r w:rsidR="106B6D4F">
        <w:t>filming by</w:t>
      </w:r>
      <w:bookmarkEnd w:id="7"/>
      <w:r w:rsidR="106B6D4F">
        <w:t xml:space="preserve"> the news media, the court </w:t>
      </w:r>
      <w:r w:rsidR="21BBF98F">
        <w:t>held</w:t>
      </w:r>
      <w:r w:rsidR="106B6D4F">
        <w:t xml:space="preserve"> the filmmaker did not qualify for it.</w:t>
      </w:r>
      <w:r w:rsidRPr="7ABFE48D">
        <w:rPr>
          <w:rStyle w:val="FootnoteReference"/>
        </w:rPr>
        <w:footnoteReference w:id="77"/>
      </w:r>
      <w:r w:rsidR="01F29EE8">
        <w:t xml:space="preserve"> As a result, the filmmaker had to ground his claim in the First Amendment</w:t>
      </w:r>
      <w:r w:rsidR="2EF256AD">
        <w:t xml:space="preserve"> generally and </w:t>
      </w:r>
      <w:r w:rsidR="2EF256AD" w:rsidRPr="06A62122">
        <w:rPr>
          <w:i/>
          <w:iCs/>
        </w:rPr>
        <w:t xml:space="preserve">Alvarez </w:t>
      </w:r>
      <w:r w:rsidR="2EF256AD" w:rsidRPr="06A62122">
        <w:t>specifically</w:t>
      </w:r>
      <w:r w:rsidR="01F29EE8">
        <w:t>.</w:t>
      </w:r>
      <w:r w:rsidR="106B6D4F">
        <w:t xml:space="preserve"> </w:t>
      </w:r>
      <w:r w:rsidR="63CE100D">
        <w:t>In response</w:t>
      </w:r>
      <w:r w:rsidR="4086B8BB">
        <w:t xml:space="preserve">, the D.C. Circuit </w:t>
      </w:r>
      <w:r w:rsidR="1405F962">
        <w:t xml:space="preserve">pronounced itself “convinced” that </w:t>
      </w:r>
      <w:r w:rsidR="226B254D">
        <w:t xml:space="preserve">embracing </w:t>
      </w:r>
      <w:r w:rsidR="226B254D" w:rsidRPr="06A62122">
        <w:rPr>
          <w:i/>
          <w:iCs/>
        </w:rPr>
        <w:t>Alvarez</w:t>
      </w:r>
      <w:r w:rsidR="1405F962">
        <w:t xml:space="preserve"> would constitute a “category error</w:t>
      </w:r>
      <w:r w:rsidR="5727139B">
        <w:t>” and flatly refused</w:t>
      </w:r>
      <w:r w:rsidR="1405F962">
        <w:t xml:space="preserve"> </w:t>
      </w:r>
      <w:r w:rsidR="47BB772A">
        <w:t>“</w:t>
      </w:r>
      <w:r w:rsidR="1405F962">
        <w:t>to apply speech-protec</w:t>
      </w:r>
      <w:r w:rsidR="4B474FCE">
        <w:t>tive</w:t>
      </w:r>
      <w:r w:rsidR="1405F962">
        <w:t xml:space="preserve"> </w:t>
      </w:r>
      <w:r w:rsidR="4B474FCE">
        <w:t>rules” to an “activity that involves merely a noncommunicative step in the production of speech.</w:t>
      </w:r>
      <w:r w:rsidR="745B8DF2">
        <w:t>”</w:t>
      </w:r>
      <w:r w:rsidRPr="7ABFE48D">
        <w:rPr>
          <w:rStyle w:val="FootnoteReference"/>
        </w:rPr>
        <w:footnoteReference w:id="78"/>
      </w:r>
      <w:r w:rsidR="4B474FCE">
        <w:t xml:space="preserve">  </w:t>
      </w:r>
    </w:p>
    <w:p w14:paraId="20845636" w14:textId="22FB208D" w:rsidR="0B6FAD3A" w:rsidRDefault="7727D3BC" w:rsidP="37CB4683">
      <w:pPr>
        <w:ind w:firstLine="720"/>
      </w:pPr>
      <w:r>
        <w:t xml:space="preserve">The </w:t>
      </w:r>
      <w:r w:rsidRPr="06A62122">
        <w:rPr>
          <w:i/>
          <w:iCs/>
        </w:rPr>
        <w:t xml:space="preserve">Alvarez </w:t>
      </w:r>
      <w:r w:rsidRPr="7ABFE48D">
        <w:t>formulation is not the only one appellate courts have</w:t>
      </w:r>
      <w:r w:rsidR="4F91B8DF" w:rsidRPr="7ABFE48D">
        <w:t xml:space="preserve"> devised to</w:t>
      </w:r>
      <w:r w:rsidR="0B6FAD3A" w:rsidRPr="7ABFE48D">
        <w:t xml:space="preserve"> </w:t>
      </w:r>
      <w:r w:rsidR="309134D3">
        <w:t xml:space="preserve">fashion First Amendment-based protections from newsgathering liability arising from the application of </w:t>
      </w:r>
      <w:r w:rsidR="64D200BC">
        <w:t xml:space="preserve">generally applicable laws. </w:t>
      </w:r>
      <w:r w:rsidR="37651627">
        <w:t xml:space="preserve">In </w:t>
      </w:r>
      <w:r w:rsidR="37651627" w:rsidRPr="06A62122">
        <w:rPr>
          <w:i/>
          <w:iCs/>
        </w:rPr>
        <w:t>Food Lion, Inc. V. Capital Cities/ABC, Inc.</w:t>
      </w:r>
      <w:r w:rsidR="37651627">
        <w:t>,</w:t>
      </w:r>
      <w:r w:rsidR="0B6FAD3A" w:rsidRPr="7ABFE48D">
        <w:rPr>
          <w:rStyle w:val="FootnoteReference"/>
        </w:rPr>
        <w:footnoteReference w:id="79"/>
      </w:r>
      <w:r w:rsidR="37651627">
        <w:t xml:space="preserve"> the Fourth Circuit was able to navigate cases like </w:t>
      </w:r>
      <w:r w:rsidR="37651627" w:rsidRPr="06A62122">
        <w:rPr>
          <w:i/>
          <w:iCs/>
        </w:rPr>
        <w:t xml:space="preserve">Cohen </w:t>
      </w:r>
      <w:r w:rsidR="37651627">
        <w:t xml:space="preserve">by approaching the First Amendment issue </w:t>
      </w:r>
      <w:r w:rsidR="163CA571">
        <w:t xml:space="preserve">largely from the perspective of apportioning damages. The case </w:t>
      </w:r>
      <w:r w:rsidR="7DC0138B">
        <w:t>featured</w:t>
      </w:r>
      <w:r w:rsidR="163CA571">
        <w:t xml:space="preserve"> </w:t>
      </w:r>
      <w:r w:rsidR="2405995B">
        <w:t>tort</w:t>
      </w:r>
      <w:r w:rsidR="163CA571">
        <w:t xml:space="preserve"> claim</w:t>
      </w:r>
      <w:r w:rsidR="09B7BF38">
        <w:t>s</w:t>
      </w:r>
      <w:r w:rsidR="163CA571">
        <w:t xml:space="preserve"> asserted by the subjec</w:t>
      </w:r>
      <w:r w:rsidR="2015E636">
        <w:t xml:space="preserve">t of a hidden camera investigation undertaken by journalists who </w:t>
      </w:r>
      <w:r w:rsidR="2015E636">
        <w:lastRenderedPageBreak/>
        <w:t xml:space="preserve">assumed false identities to gain access to business premises. Specifically, in </w:t>
      </w:r>
      <w:r w:rsidR="2015E636" w:rsidRPr="06A62122">
        <w:rPr>
          <w:i/>
          <w:iCs/>
        </w:rPr>
        <w:t>Food Lion</w:t>
      </w:r>
      <w:r w:rsidR="2015E636">
        <w:t xml:space="preserve">, </w:t>
      </w:r>
      <w:r w:rsidR="7C33569D">
        <w:t xml:space="preserve">reporters secured jobs working in areas of the plaintiff’s supermarkets that were not typically </w:t>
      </w:r>
      <w:r w:rsidR="301DADEB">
        <w:t>open</w:t>
      </w:r>
      <w:r w:rsidR="7C33569D">
        <w:t xml:space="preserve"> to the public. The</w:t>
      </w:r>
      <w:r w:rsidR="13E8DE38">
        <w:t>y</w:t>
      </w:r>
      <w:r w:rsidR="7C33569D">
        <w:t xml:space="preserve"> were equipped with miniature cameras and microphones that enable</w:t>
      </w:r>
      <w:r w:rsidR="505D51B5">
        <w:t>d</w:t>
      </w:r>
      <w:r w:rsidR="7C33569D">
        <w:t xml:space="preserve"> them </w:t>
      </w:r>
      <w:r w:rsidR="672E3476">
        <w:t>to record what they saw and heard.</w:t>
      </w:r>
      <w:r w:rsidR="520139B7">
        <w:t xml:space="preserve"> The plaintiff based </w:t>
      </w:r>
      <w:r w:rsidR="7A523D38">
        <w:t>its</w:t>
      </w:r>
      <w:r w:rsidR="520139B7">
        <w:t xml:space="preserve"> claims, not on the </w:t>
      </w:r>
      <w:r w:rsidR="3BD4D79B">
        <w:t xml:space="preserve">resulting </w:t>
      </w:r>
      <w:r w:rsidR="520139B7">
        <w:t>broadcast</w:t>
      </w:r>
      <w:r w:rsidR="753C3A53">
        <w:t xml:space="preserve"> that</w:t>
      </w:r>
      <w:r w:rsidR="6E1EAD1B">
        <w:t xml:space="preserve"> was highly critical </w:t>
      </w:r>
      <w:r w:rsidR="1F16E7A4">
        <w:t xml:space="preserve">of </w:t>
      </w:r>
      <w:r w:rsidR="6E1EAD1B">
        <w:t xml:space="preserve">its food handling practices, but rather on the act of </w:t>
      </w:r>
      <w:proofErr w:type="gramStart"/>
      <w:r w:rsidR="6E1EAD1B">
        <w:t>surreptitiously</w:t>
      </w:r>
      <w:proofErr w:type="gramEnd"/>
      <w:r w:rsidR="6E1EAD1B">
        <w:t xml:space="preserve"> recording in nonpublic areas of the stores without </w:t>
      </w:r>
      <w:r w:rsidR="08145A43">
        <w:t>consent.</w:t>
      </w:r>
      <w:r w:rsidR="0B6FAD3A" w:rsidRPr="7ABFE48D">
        <w:rPr>
          <w:rStyle w:val="FootnoteReference"/>
        </w:rPr>
        <w:footnoteReference w:id="80"/>
      </w:r>
      <w:r w:rsidR="753C3A53">
        <w:t xml:space="preserve"> </w:t>
      </w:r>
    </w:p>
    <w:p w14:paraId="16DF9738" w14:textId="3AA38876" w:rsidR="60A17D91" w:rsidRDefault="60A17D91" w:rsidP="06A62122">
      <w:pPr>
        <w:ind w:firstLine="720"/>
      </w:pPr>
      <w:r>
        <w:t xml:space="preserve">Rather than apply the First Amendment </w:t>
      </w:r>
      <w:r w:rsidR="339F5C70">
        <w:t>to protect the newsgathering conduct at issue, the Fourth Circuit focused instead on what it described</w:t>
      </w:r>
      <w:r w:rsidR="309134D3">
        <w:t xml:space="preserve"> </w:t>
      </w:r>
      <w:r w:rsidR="73F55386">
        <w:t>as the “overriding (and settled) First Amendment principle” that a litigant may not “avoid the First Amendment limi</w:t>
      </w:r>
      <w:r w:rsidR="48930A89">
        <w:t>t</w:t>
      </w:r>
      <w:r w:rsidR="73F55386">
        <w:t>ations on defamation claims</w:t>
      </w:r>
      <w:r w:rsidR="0D628DB8">
        <w:t xml:space="preserve"> by seeking publication damages under non</w:t>
      </w:r>
      <w:r w:rsidR="5EF0EE76">
        <w:t>-</w:t>
      </w:r>
      <w:r w:rsidR="0D628DB8">
        <w:t>reputational tort claims.”</w:t>
      </w:r>
      <w:r w:rsidRPr="7ABFE48D">
        <w:rPr>
          <w:rStyle w:val="FootnoteReference"/>
        </w:rPr>
        <w:footnoteReference w:id="81"/>
      </w:r>
      <w:r w:rsidR="0D628DB8">
        <w:t xml:space="preserve"> </w:t>
      </w:r>
      <w:r w:rsidR="776D6141">
        <w:t xml:space="preserve">It was therefore able to distinguish </w:t>
      </w:r>
      <w:r w:rsidR="776D6141" w:rsidRPr="06A62122">
        <w:rPr>
          <w:i/>
          <w:iCs/>
        </w:rPr>
        <w:t xml:space="preserve">Cohen </w:t>
      </w:r>
      <w:r w:rsidR="776D6141">
        <w:t xml:space="preserve">on the ground that, even there, the Supreme Court had reiterated that “‘constitutional libel </w:t>
      </w:r>
      <w:bookmarkStart w:id="8" w:name="_Int_0P2qw8lJ"/>
      <w:r w:rsidR="776D6141">
        <w:t>standar</w:t>
      </w:r>
      <w:r w:rsidR="17B1FFCA">
        <w:t>ds’</w:t>
      </w:r>
      <w:bookmarkEnd w:id="8"/>
      <w:r w:rsidR="17B1FFCA">
        <w:t xml:space="preserve"> apply to damages claims for reputational injury” no matter the cause of action asserted.</w:t>
      </w:r>
      <w:r w:rsidRPr="7ABFE48D">
        <w:rPr>
          <w:rStyle w:val="FootnoteReference"/>
        </w:rPr>
        <w:footnoteReference w:id="82"/>
      </w:r>
      <w:r w:rsidR="17B1FFCA">
        <w:t xml:space="preserve"> As the Fourth Circuit saw it</w:t>
      </w:r>
      <w:r w:rsidR="2B49E1BF">
        <w:t>, w</w:t>
      </w:r>
      <w:r w:rsidR="17B1FFCA">
        <w:t xml:space="preserve">hat </w:t>
      </w:r>
      <w:r w:rsidR="68D9DA6B">
        <w:t>”</w:t>
      </w:r>
      <w:r w:rsidR="17B1FFCA">
        <w:t xml:space="preserve">Food Lion sought to do . . . was to recover defamation-type damages under non-reputational </w:t>
      </w:r>
      <w:r w:rsidR="6C05ECD1">
        <w:t>tort claims without satisfying the stricter (First Amendment) standards of a defamation claim.</w:t>
      </w:r>
      <w:r w:rsidR="048069AB">
        <w:t>”</w:t>
      </w:r>
      <w:r w:rsidRPr="7ABFE48D">
        <w:rPr>
          <w:rStyle w:val="FootnoteReference"/>
        </w:rPr>
        <w:footnoteReference w:id="83"/>
      </w:r>
      <w:r w:rsidR="183D0174">
        <w:t xml:space="preserve"> Such an ”end-run around First Amendment stricture[s]," the court concluded, "is foreclosed</w:t>
      </w:r>
      <w:r w:rsidR="1F87D3A2">
        <w:t>.”</w:t>
      </w:r>
      <w:r w:rsidRPr="06A62122">
        <w:rPr>
          <w:rStyle w:val="FootnoteReference"/>
        </w:rPr>
        <w:footnoteReference w:id="84"/>
      </w:r>
      <w:r w:rsidR="72BB9275">
        <w:t xml:space="preserve"> </w:t>
      </w:r>
      <w:r w:rsidR="6C05ECD1">
        <w:t>In other words, the court determined that, although the First Amendment played no role in limiting liability for damages cause by newsgathering conduct, the availa</w:t>
      </w:r>
      <w:r w:rsidR="210EDCA5">
        <w:t xml:space="preserve">ble damages must be cabined, in the name of the First Amendment, to exclude </w:t>
      </w:r>
      <w:r w:rsidR="7EBB20F0">
        <w:t>compensation for harms</w:t>
      </w:r>
      <w:r w:rsidR="210EDCA5">
        <w:t xml:space="preserve"> caused by any subsequent dissemination of the information acquired as a resul</w:t>
      </w:r>
      <w:r w:rsidR="2B097E09">
        <w:t>t of the unprotected conduct.</w:t>
      </w:r>
    </w:p>
    <w:p w14:paraId="20B049BF" w14:textId="4D16501A" w:rsidR="2B097E09" w:rsidRDefault="2B097E09" w:rsidP="37CB4683">
      <w:pPr>
        <w:ind w:firstLine="720"/>
      </w:pPr>
      <w:r>
        <w:t xml:space="preserve">The difficulty of slicing the doctrinal salami so thin is illustrated by the First Circuit’s subsequent decision in </w:t>
      </w:r>
      <w:proofErr w:type="spellStart"/>
      <w:r w:rsidRPr="06A62122">
        <w:rPr>
          <w:i/>
          <w:iCs/>
        </w:rPr>
        <w:t>Viell</w:t>
      </w:r>
      <w:r w:rsidR="62835085" w:rsidRPr="06A62122">
        <w:rPr>
          <w:i/>
          <w:iCs/>
        </w:rPr>
        <w:t>eux</w:t>
      </w:r>
      <w:proofErr w:type="spellEnd"/>
      <w:r w:rsidR="62835085" w:rsidRPr="06A62122">
        <w:rPr>
          <w:i/>
          <w:iCs/>
        </w:rPr>
        <w:t xml:space="preserve"> v. National Broadcasting Co.</w:t>
      </w:r>
      <w:r w:rsidRPr="06A62122">
        <w:rPr>
          <w:rStyle w:val="FootnoteReference"/>
        </w:rPr>
        <w:footnoteReference w:id="85"/>
      </w:r>
      <w:r w:rsidR="62835085" w:rsidRPr="06A62122">
        <w:rPr>
          <w:i/>
          <w:iCs/>
        </w:rPr>
        <w:t xml:space="preserve"> </w:t>
      </w:r>
      <w:r w:rsidR="62835085">
        <w:t>In that case, the court held that the First Amendment pro</w:t>
      </w:r>
      <w:r w:rsidR="6849084B">
        <w:t xml:space="preserve">tected a television network from liability for “reputational” as opposed to “pecuniary” </w:t>
      </w:r>
      <w:r w:rsidR="0F83F21F">
        <w:t xml:space="preserve">harm </w:t>
      </w:r>
      <w:r w:rsidR="40511698">
        <w:t>to</w:t>
      </w:r>
      <w:r w:rsidR="0F83F21F">
        <w:t xml:space="preserve"> the plaintiff a</w:t>
      </w:r>
      <w:r w:rsidR="10E74E65">
        <w:t>llegedly caused by</w:t>
      </w:r>
      <w:r w:rsidR="0F83F21F">
        <w:t xml:space="preserve"> misrepresentations made by a reporter during the newsgathering process. Invoking </w:t>
      </w:r>
      <w:r w:rsidR="0F83F21F" w:rsidRPr="06A62122">
        <w:rPr>
          <w:i/>
          <w:iCs/>
        </w:rPr>
        <w:t>Cohen</w:t>
      </w:r>
      <w:r w:rsidR="0F83F21F">
        <w:t xml:space="preserve">, </w:t>
      </w:r>
      <w:r w:rsidR="6D79FDCA">
        <w:t>the court concluded that “misrepresentation under Maine law</w:t>
      </w:r>
      <w:r w:rsidR="73F55386" w:rsidRPr="06A62122">
        <w:rPr>
          <w:i/>
          <w:iCs/>
        </w:rPr>
        <w:t xml:space="preserve"> </w:t>
      </w:r>
      <w:r w:rsidR="6258B771">
        <w:t>is a cause of general applicability” and “[a]</w:t>
      </w:r>
      <w:proofErr w:type="spellStart"/>
      <w:r w:rsidR="6258B771">
        <w:t>pplying</w:t>
      </w:r>
      <w:proofErr w:type="spellEnd"/>
      <w:r w:rsidR="6258B771">
        <w:t xml:space="preserve"> it to journalists subjects them to the same consequences as all others.”</w:t>
      </w:r>
      <w:r w:rsidRPr="5E6F12CA">
        <w:rPr>
          <w:rStyle w:val="FootnoteReference"/>
        </w:rPr>
        <w:footnoteReference w:id="86"/>
      </w:r>
      <w:r w:rsidR="6258B771">
        <w:t xml:space="preserve">  For this reason, </w:t>
      </w:r>
      <w:r w:rsidR="0C74C9D4">
        <w:t xml:space="preserve">the court declined to adopt the rule, urged by the defendant, that the First Amendment precludes a cause of action for misrepresentation in newsgathering unless there is </w:t>
      </w:r>
      <w:r w:rsidR="0C74C9D4">
        <w:lastRenderedPageBreak/>
        <w:t xml:space="preserve">“independent evidence,” beyond </w:t>
      </w:r>
      <w:r w:rsidR="50D6A581">
        <w:t>the</w:t>
      </w:r>
      <w:r w:rsidR="0C74C9D4">
        <w:t xml:space="preserve"> plaintiff’s </w:t>
      </w:r>
      <w:r w:rsidR="59B23055">
        <w:t>own testimony, that such a misrepresentation had in fact been made:</w:t>
      </w:r>
    </w:p>
    <w:p w14:paraId="2061FA5D" w14:textId="11CCD46D" w:rsidR="5AB84508" w:rsidRDefault="5AB84508" w:rsidP="37CB4683">
      <w:pPr>
        <w:ind w:left="720"/>
      </w:pPr>
      <w:r>
        <w:t xml:space="preserve">We recognize the danger that newsgathering might be inhibited by forcing journalists to frequently litigate disputes concerning their purported misrepresentations </w:t>
      </w:r>
      <w:r w:rsidR="14DD08C1">
        <w:t xml:space="preserve">to sources. An independent evidence rule would, however, grant journalists a greater license </w:t>
      </w:r>
      <w:r w:rsidR="0AE56C60">
        <w:t>to lie than is enjoyed by other citizens. Defendants’ proposed rule would exceed any protection of newsgathering that the Supreme Court has yet fashioned, and would be more appropriately</w:t>
      </w:r>
      <w:r w:rsidR="55C9BED8">
        <w:t xml:space="preserve"> developed at that level, if at all.</w:t>
      </w:r>
      <w:r w:rsidRPr="5E6F12CA">
        <w:rPr>
          <w:rStyle w:val="FootnoteReference"/>
        </w:rPr>
        <w:footnoteReference w:id="87"/>
      </w:r>
    </w:p>
    <w:p w14:paraId="18A5C7AE" w14:textId="21BD4457" w:rsidR="55C9BED8" w:rsidRDefault="55C9BED8" w:rsidP="37CB4683">
      <w:r>
        <w:t xml:space="preserve">Instead, the First Circuit held that the First Amendment required courts to distinguish between </w:t>
      </w:r>
      <w:r w:rsidR="0942699A">
        <w:t>“</w:t>
      </w:r>
      <w:r>
        <w:t>pecuniary</w:t>
      </w:r>
      <w:r w:rsidR="082CC680">
        <w:t>”</w:t>
      </w:r>
      <w:r>
        <w:t xml:space="preserve"> harms </w:t>
      </w:r>
      <w:r w:rsidR="1CA4B82C">
        <w:t>caused by</w:t>
      </w:r>
      <w:r w:rsidR="769CB383">
        <w:t xml:space="preserve"> the alleged misrepresentation and “</w:t>
      </w:r>
      <w:r w:rsidR="280EDCA9">
        <w:t xml:space="preserve">reputational” harms caused by the resulting expression. The latter were only recoverable subject to the First Amendment-based strictures set out in </w:t>
      </w:r>
      <w:r w:rsidR="280EDCA9" w:rsidRPr="06A62122">
        <w:rPr>
          <w:i/>
          <w:iCs/>
        </w:rPr>
        <w:t>New York Times C</w:t>
      </w:r>
      <w:r w:rsidR="633F81EE" w:rsidRPr="06A62122">
        <w:rPr>
          <w:i/>
          <w:iCs/>
        </w:rPr>
        <w:t>o. v. Sullivan</w:t>
      </w:r>
      <w:r w:rsidRPr="219241E5">
        <w:rPr>
          <w:rStyle w:val="FootnoteReference"/>
        </w:rPr>
        <w:footnoteReference w:id="88"/>
      </w:r>
      <w:r w:rsidR="633F81EE">
        <w:t xml:space="preserve"> and its progeny. The former were of no concern to the First Amendment.</w:t>
      </w:r>
      <w:r w:rsidRPr="5E6F12CA">
        <w:rPr>
          <w:rStyle w:val="FootnoteReference"/>
        </w:rPr>
        <w:footnoteReference w:id="89"/>
      </w:r>
    </w:p>
    <w:p w14:paraId="7B0C472E" w14:textId="790EE459" w:rsidR="4E08F9B2" w:rsidRDefault="4E08F9B2" w:rsidP="26888584">
      <w:pPr>
        <w:ind w:firstLine="720"/>
      </w:pPr>
      <w:r>
        <w:t>On final example of the constitutional mischief caused by the “incidental</w:t>
      </w:r>
      <w:r w:rsidR="428E22D6">
        <w:t>”</w:t>
      </w:r>
      <w:r>
        <w:t xml:space="preserve"> restraints doctrine comes from the Supreme Court itself. In </w:t>
      </w:r>
      <w:r w:rsidRPr="06A62122">
        <w:rPr>
          <w:i/>
          <w:iCs/>
        </w:rPr>
        <w:t xml:space="preserve">Bartnicki v. </w:t>
      </w:r>
      <w:proofErr w:type="spellStart"/>
      <w:r w:rsidRPr="06A62122">
        <w:rPr>
          <w:i/>
          <w:iCs/>
        </w:rPr>
        <w:t>Vopper</w:t>
      </w:r>
      <w:proofErr w:type="spellEnd"/>
      <w:r>
        <w:t>,</w:t>
      </w:r>
      <w:r w:rsidRPr="5E6F12CA">
        <w:rPr>
          <w:rStyle w:val="FootnoteReference"/>
        </w:rPr>
        <w:footnoteReference w:id="90"/>
      </w:r>
      <w:r>
        <w:t xml:space="preserve"> </w:t>
      </w:r>
      <w:r w:rsidR="45B2CE55">
        <w:t xml:space="preserve">a federal district court, relying on </w:t>
      </w:r>
      <w:r w:rsidR="45B2CE55" w:rsidRPr="06A62122">
        <w:rPr>
          <w:i/>
          <w:iCs/>
        </w:rPr>
        <w:t>Cohen</w:t>
      </w:r>
      <w:r w:rsidR="45B2CE55">
        <w:t xml:space="preserve">, held that federal and state wiretap </w:t>
      </w:r>
      <w:r w:rsidR="05E2C764">
        <w:t xml:space="preserve">laws could be constitutionally applied to the use and dissemination of </w:t>
      </w:r>
      <w:r w:rsidR="41603E1D">
        <w:t>recordings made in violation of those laws, even whe</w:t>
      </w:r>
      <w:r w:rsidR="5A482411">
        <w:t>n</w:t>
      </w:r>
      <w:r w:rsidR="41603E1D">
        <w:t xml:space="preserve"> the </w:t>
      </w:r>
      <w:proofErr w:type="gramStart"/>
      <w:r w:rsidR="41603E1D">
        <w:t>information so</w:t>
      </w:r>
      <w:proofErr w:type="gramEnd"/>
      <w:r w:rsidR="41603E1D">
        <w:t xml:space="preserve"> obtained was true and addressed a matter of public concern. </w:t>
      </w:r>
      <w:r w:rsidR="0A87301A">
        <w:t>The district court concluded that</w:t>
      </w:r>
      <w:r w:rsidR="624B4991">
        <w:t>,</w:t>
      </w:r>
      <w:r w:rsidR="0A87301A">
        <w:t xml:space="preserve"> because laws prohibiting wiretapping </w:t>
      </w:r>
      <w:r w:rsidR="11E9B32E">
        <w:t>are</w:t>
      </w:r>
      <w:r w:rsidR="0A87301A">
        <w:t xml:space="preserve"> generally applicable, they const</w:t>
      </w:r>
      <w:r w:rsidR="1D624DC1">
        <w:t>itute at best incidental, and constitutionally insignificant restraints on the gathering and dissemination of news.</w:t>
      </w:r>
      <w:r w:rsidRPr="5E6F12CA">
        <w:rPr>
          <w:rStyle w:val="FootnoteReference"/>
        </w:rPr>
        <w:footnoteReference w:id="91"/>
      </w:r>
      <w:r w:rsidR="1D624DC1">
        <w:t xml:space="preserve">  </w:t>
      </w:r>
      <w:r w:rsidR="4B6B07CC">
        <w:t>On appeal</w:t>
      </w:r>
      <w:r w:rsidR="1D624DC1">
        <w:t>, the Third Circuit conceded that the statutes were “c</w:t>
      </w:r>
      <w:r w:rsidR="18596E53">
        <w:t xml:space="preserve">ontent neutral” laws of “general” </w:t>
      </w:r>
      <w:r w:rsidR="4E8E3639">
        <w:t>application but</w:t>
      </w:r>
      <w:r w:rsidR="18596E53">
        <w:t xml:space="preserve"> held that they were nevertheless subject to</w:t>
      </w:r>
      <w:r w:rsidR="673DD2C1">
        <w:t xml:space="preserve"> and failed</w:t>
      </w:r>
      <w:r w:rsidR="18596E53">
        <w:t xml:space="preserve"> “intermediate” First Amendment scrutiny.</w:t>
      </w:r>
      <w:r w:rsidRPr="5E6F12CA">
        <w:rPr>
          <w:rStyle w:val="FootnoteReference"/>
        </w:rPr>
        <w:footnoteReference w:id="92"/>
      </w:r>
    </w:p>
    <w:p w14:paraId="6C7EDDEE" w14:textId="6E37453A" w:rsidR="728A0F77" w:rsidRDefault="728A0F77" w:rsidP="26888584">
      <w:pPr>
        <w:ind w:firstLine="720"/>
      </w:pPr>
      <w:r>
        <w:t>In the Supreme Court, Justice Stevens’ opinion for the Court rejected the reasoning of both lower courts, holdi</w:t>
      </w:r>
      <w:r w:rsidR="128F4B92">
        <w:t xml:space="preserve">ng instead that “‘if a newspaper lawfully obtains truthful information about a matter of public </w:t>
      </w:r>
      <w:r w:rsidR="61175F1E">
        <w:t>significance,</w:t>
      </w:r>
      <w:r w:rsidR="128F4B92">
        <w:t xml:space="preserve"> then state officials </w:t>
      </w:r>
      <w:r w:rsidR="67B133D8">
        <w:t>may not constitutionally punish publication of the information, absent a need . . . of the highest order.</w:t>
      </w:r>
      <w:r w:rsidR="7D073ED3">
        <w:t>”</w:t>
      </w:r>
      <w:r w:rsidRPr="5E6F12CA">
        <w:rPr>
          <w:rStyle w:val="FootnoteReference"/>
        </w:rPr>
        <w:footnoteReference w:id="93"/>
      </w:r>
      <w:r w:rsidR="67B133D8">
        <w:t xml:space="preserve">  </w:t>
      </w:r>
      <w:r w:rsidR="6A042A6D">
        <w:t>T</w:t>
      </w:r>
      <w:r w:rsidR="67B133D8">
        <w:t xml:space="preserve">he Court agreed with the Third Circuit that the </w:t>
      </w:r>
      <w:r w:rsidR="134916EE">
        <w:t xml:space="preserve">wiretap statutes </w:t>
      </w:r>
      <w:r w:rsidR="3E075236">
        <w:t>are</w:t>
      </w:r>
      <w:r w:rsidR="134916EE">
        <w:t xml:space="preserve"> content-</w:t>
      </w:r>
      <w:r w:rsidR="134916EE">
        <w:lastRenderedPageBreak/>
        <w:t>neutral laws of general applicability but nevertheless concluded that their “naked prohibition against disclosure is fairly characterized as a regulation of pure spe</w:t>
      </w:r>
      <w:r w:rsidR="08C60CEF">
        <w:t>ech.”</w:t>
      </w:r>
      <w:r w:rsidRPr="5E6F12CA">
        <w:rPr>
          <w:rStyle w:val="FootnoteReference"/>
        </w:rPr>
        <w:footnoteReference w:id="94"/>
      </w:r>
      <w:r w:rsidR="08C60CEF">
        <w:t xml:space="preserve"> Such a prohibition, the Court continued, cannot be squared with the First Amendment</w:t>
      </w:r>
      <w:r w:rsidR="5F64BDEF">
        <w:t xml:space="preserve"> absent the requisite governmental interest of the “highest order,” even when the information </w:t>
      </w:r>
      <w:r w:rsidR="50BF556D">
        <w:t>was secured by</w:t>
      </w:r>
      <w:r w:rsidR="4CBBA4E0">
        <w:t xml:space="preserve"> a journalist</w:t>
      </w:r>
      <w:r w:rsidR="50BF556D">
        <w:t xml:space="preserve"> from a source who</w:t>
      </w:r>
      <w:r w:rsidR="32C6B0C9">
        <w:t xml:space="preserve"> he knew had</w:t>
      </w:r>
      <w:r w:rsidR="50BF556D">
        <w:t xml:space="preserve"> acquired it unlawfully.</w:t>
      </w:r>
      <w:r w:rsidRPr="5E6F12CA">
        <w:rPr>
          <w:rStyle w:val="FootnoteReference"/>
        </w:rPr>
        <w:footnoteReference w:id="95"/>
      </w:r>
      <w:r w:rsidR="50BF556D">
        <w:t xml:space="preserve"> </w:t>
      </w:r>
      <w:r w:rsidR="34C1ABC1">
        <w:t xml:space="preserve">In that circumstance, Justice Stevens explained, “a stranger’s illegal conduct does not suffice to remove the First Amendment shield from speech </w:t>
      </w:r>
      <w:r w:rsidR="51C8C76E">
        <w:t>about a matter of public concern.”</w:t>
      </w:r>
      <w:r w:rsidRPr="5E6F12CA">
        <w:rPr>
          <w:rStyle w:val="FootnoteReference"/>
        </w:rPr>
        <w:footnoteReference w:id="96"/>
      </w:r>
    </w:p>
    <w:p w14:paraId="04EFE544" w14:textId="5DA19E81" w:rsidR="51C8C76E" w:rsidRDefault="51C8C76E" w:rsidP="37CB4683">
      <w:pPr>
        <w:ind w:firstLine="720"/>
      </w:pPr>
      <w:r>
        <w:t>The Court was able to reach this result by focusing exclusively on the statut</w:t>
      </w:r>
      <w:r w:rsidR="33E077A7">
        <w:t>ory</w:t>
      </w:r>
      <w:r>
        <w:t xml:space="preserve"> prohibition on the dissemination</w:t>
      </w:r>
      <w:r w:rsidR="63F98E69">
        <w:t xml:space="preserve"> or “disclosure”</w:t>
      </w:r>
      <w:r>
        <w:t xml:space="preserve"> of the fruits of the unlawfully acquired information.</w:t>
      </w:r>
      <w:r w:rsidRPr="5E6F12CA">
        <w:rPr>
          <w:rStyle w:val="FootnoteReference"/>
        </w:rPr>
        <w:footnoteReference w:id="97"/>
      </w:r>
      <w:r>
        <w:t xml:space="preserve"> </w:t>
      </w:r>
      <w:r w:rsidR="126CFA29">
        <w:t xml:space="preserve"> It did so </w:t>
      </w:r>
      <w:r w:rsidR="65209D3D">
        <w:t>even though</w:t>
      </w:r>
      <w:r w:rsidR="126CFA29">
        <w:t xml:space="preserve"> the statute also prohibited any “use” of such </w:t>
      </w:r>
      <w:r w:rsidR="1E00B955">
        <w:t>information</w:t>
      </w:r>
      <w:r w:rsidR="126CFA29">
        <w:t xml:space="preserve"> and the </w:t>
      </w:r>
      <w:r w:rsidR="6C08F3F5">
        <w:t>Solicitor General had argued that the “use” prohibition regulated conduct and not speech.</w:t>
      </w:r>
      <w:r w:rsidRPr="5E6F12CA">
        <w:rPr>
          <w:rStyle w:val="FootnoteReference"/>
        </w:rPr>
        <w:footnoteReference w:id="98"/>
      </w:r>
      <w:r w:rsidR="6C08F3F5">
        <w:t xml:space="preserve"> The Court</w:t>
      </w:r>
      <w:r w:rsidR="41603E1D" w:rsidRPr="06A62122">
        <w:rPr>
          <w:i/>
          <w:iCs/>
        </w:rPr>
        <w:t xml:space="preserve"> </w:t>
      </w:r>
      <w:r w:rsidR="0FFCB54C">
        <w:t xml:space="preserve">sidestepped the issue by declaring that the only “use” </w:t>
      </w:r>
      <w:r w:rsidR="5B31AE55">
        <w:t>on which the alleged statutory violation rested</w:t>
      </w:r>
      <w:r w:rsidR="0FFCB54C">
        <w:t xml:space="preserve"> was the “disclosure” itself.</w:t>
      </w:r>
      <w:r w:rsidRPr="5E6F12CA">
        <w:rPr>
          <w:rStyle w:val="FootnoteReference"/>
        </w:rPr>
        <w:footnoteReference w:id="99"/>
      </w:r>
      <w:r w:rsidR="0FFCB54C">
        <w:t xml:space="preserve">  Since the disclosure constituted truthful speech </w:t>
      </w:r>
      <w:r w:rsidR="12D87ABA">
        <w:t>about a matter of public concern, the Court had no occasion to consider the potential application of the “use” prohibition outside the context of speech itself.</w:t>
      </w:r>
      <w:r w:rsidRPr="5E6F12CA">
        <w:rPr>
          <w:rStyle w:val="FootnoteReference"/>
        </w:rPr>
        <w:footnoteReference w:id="100"/>
      </w:r>
    </w:p>
    <w:p w14:paraId="407EDB7E" w14:textId="6C5301E3" w:rsidR="3CD7CE5E" w:rsidRDefault="3CD7CE5E" w:rsidP="26888584">
      <w:pPr>
        <w:ind w:firstLine="720"/>
      </w:pPr>
      <w:r>
        <w:t xml:space="preserve">As these examples illustrate, the incidental restraints doctrine has resulted in a body of </w:t>
      </w:r>
      <w:r w:rsidR="26776A57">
        <w:t xml:space="preserve">First Amendment </w:t>
      </w:r>
      <w:r>
        <w:t xml:space="preserve">law that </w:t>
      </w:r>
      <w:r w:rsidR="32360E42">
        <w:t xml:space="preserve">does not protect (1) a reporter’s promise of confidentiality to a source, (2) a reporter’s decision to break that promise, (3) </w:t>
      </w:r>
      <w:r w:rsidR="44B112B6">
        <w:t xml:space="preserve">a newsroom’s ability to safeguard the </w:t>
      </w:r>
      <w:r w:rsidR="16B61E2C">
        <w:t xml:space="preserve">unpublished </w:t>
      </w:r>
      <w:r w:rsidR="44B112B6">
        <w:t>fruits of its newsgathering from unannounced search and seizure</w:t>
      </w:r>
      <w:r w:rsidR="00B271A2">
        <w:t xml:space="preserve"> or civil</w:t>
      </w:r>
      <w:r w:rsidR="4E27F596">
        <w:t xml:space="preserve"> discovery, (4) a reporter’s acquisition of information through a routine public records request made to a government agency, </w:t>
      </w:r>
      <w:r w:rsidR="542743EB">
        <w:t xml:space="preserve">or </w:t>
      </w:r>
      <w:r w:rsidR="4E27F596">
        <w:t xml:space="preserve">(5) a reporter’s use of </w:t>
      </w:r>
      <w:r w:rsidR="45FB20C8">
        <w:t>concealed</w:t>
      </w:r>
      <w:r w:rsidR="13065C37">
        <w:t xml:space="preserve"> cameras or alleg</w:t>
      </w:r>
      <w:r w:rsidR="54864B58">
        <w:t>ed</w:t>
      </w:r>
      <w:r w:rsidR="13065C37">
        <w:t xml:space="preserve"> verbal misrepresentations in the course of gathering news</w:t>
      </w:r>
      <w:r w:rsidR="4EEFB1C4">
        <w:t xml:space="preserve">. Laws prohibiting such conduct do no violence </w:t>
      </w:r>
      <w:r w:rsidR="55CC446B">
        <w:t>to</w:t>
      </w:r>
      <w:r w:rsidR="4EEFB1C4">
        <w:t xml:space="preserve"> the First Amendment so long as they are generally applicable and </w:t>
      </w:r>
      <w:r w:rsidR="3D616ABF">
        <w:t xml:space="preserve">their </w:t>
      </w:r>
      <w:r w:rsidR="145877D3">
        <w:t>relationship to</w:t>
      </w:r>
      <w:r w:rsidR="3D616ABF">
        <w:t xml:space="preserve"> newsgathering is</w:t>
      </w:r>
      <w:r w:rsidR="74049E51">
        <w:t xml:space="preserve"> in some</w:t>
      </w:r>
      <w:r w:rsidR="2DDE045D">
        <w:t xml:space="preserve"> </w:t>
      </w:r>
      <w:r w:rsidR="74049E51">
        <w:t>sense</w:t>
      </w:r>
      <w:r w:rsidR="3D616ABF">
        <w:t xml:space="preserve"> </w:t>
      </w:r>
      <w:r w:rsidR="07BF52BC">
        <w:t>“</w:t>
      </w:r>
      <w:r w:rsidR="3D616ABF">
        <w:t>incidental.</w:t>
      </w:r>
      <w:r w:rsidR="21584B7E">
        <w:t>”</w:t>
      </w:r>
      <w:r w:rsidR="3D616ABF">
        <w:t xml:space="preserve">  By the same token, the First Amendment </w:t>
      </w:r>
      <w:r w:rsidR="3D616ABF" w:rsidRPr="06A62122">
        <w:rPr>
          <w:i/>
          <w:iCs/>
        </w:rPr>
        <w:t xml:space="preserve">does </w:t>
      </w:r>
      <w:r w:rsidR="3D616ABF">
        <w:t>protect (1)</w:t>
      </w:r>
      <w:r w:rsidR="6E38C353">
        <w:t xml:space="preserve"> a reporter’s use and dissemination of information unlawfully acquired by some</w:t>
      </w:r>
      <w:r w:rsidR="6B63A5B9">
        <w:t>one</w:t>
      </w:r>
      <w:r w:rsidR="6E38C353">
        <w:t xml:space="preserve"> else, (2) </w:t>
      </w:r>
      <w:r w:rsidR="7CEF2556">
        <w:t>the nonconsensual recording of police officers performing their official duties in pub</w:t>
      </w:r>
      <w:r w:rsidR="7A3AD3F3">
        <w:t>l</w:t>
      </w:r>
      <w:r w:rsidR="7CEF2556">
        <w:t>ic places,</w:t>
      </w:r>
      <w:r w:rsidR="24515CE5">
        <w:t xml:space="preserve"> and</w:t>
      </w:r>
      <w:r w:rsidR="7CEF2556">
        <w:t xml:space="preserve"> (3)  </w:t>
      </w:r>
      <w:r w:rsidR="21130C40">
        <w:t xml:space="preserve">a reporter from an award of damages resulting from </w:t>
      </w:r>
      <w:r w:rsidR="13A50CB1">
        <w:t xml:space="preserve">otherwise unlawful </w:t>
      </w:r>
      <w:r w:rsidR="13A50CB1">
        <w:lastRenderedPageBreak/>
        <w:t>newsgathering conduct</w:t>
      </w:r>
      <w:r w:rsidR="1A22FC17">
        <w:t xml:space="preserve"> to the extent</w:t>
      </w:r>
      <w:r w:rsidR="13A50CB1">
        <w:t xml:space="preserve"> those damages arise from the subsequent dissemination of the information so acquired. </w:t>
      </w:r>
      <w:r w:rsidR="29DD51DB">
        <w:t>Generally applicable l</w:t>
      </w:r>
      <w:r w:rsidR="13A50CB1">
        <w:t>aws prohibiting such conduct or permitting such damage awards viol</w:t>
      </w:r>
      <w:r w:rsidR="542B2DC9">
        <w:t xml:space="preserve">ate the First Amendment </w:t>
      </w:r>
      <w:r w:rsidR="543C18E5">
        <w:t xml:space="preserve">only </w:t>
      </w:r>
      <w:r w:rsidR="542B2DC9">
        <w:t xml:space="preserve">because </w:t>
      </w:r>
      <w:r w:rsidR="04312C7A">
        <w:t>the newsgathering</w:t>
      </w:r>
      <w:r w:rsidR="542B2DC9">
        <w:t xml:space="preserve"> is in some sense intertwined</w:t>
      </w:r>
      <w:r w:rsidR="0A440DB0">
        <w:t xml:space="preserve"> with the speech it facilitates.</w:t>
      </w:r>
    </w:p>
    <w:p w14:paraId="5E846E18" w14:textId="64E78425" w:rsidR="074AF426" w:rsidRDefault="074AF426" w:rsidP="26888584">
      <w:pPr>
        <w:ind w:firstLine="720"/>
      </w:pPr>
      <w:r>
        <w:t>Perhaps the most significant consequence of the constitutional divide between</w:t>
      </w:r>
      <w:r w:rsidR="20DCAA8E">
        <w:t xml:space="preserve"> protected</w:t>
      </w:r>
      <w:r>
        <w:t xml:space="preserve"> speech and</w:t>
      </w:r>
      <w:r w:rsidR="15F2706E">
        <w:t xml:space="preserve"> unprotected</w:t>
      </w:r>
      <w:r>
        <w:t xml:space="preserve"> ne</w:t>
      </w:r>
      <w:r w:rsidR="1BFABF32">
        <w:t>wsgathering conduct is the</w:t>
      </w:r>
      <w:r w:rsidR="65BBF8AF">
        <w:t xml:space="preserve"> potential</w:t>
      </w:r>
      <w:r w:rsidR="1BFABF32">
        <w:t xml:space="preserve"> criminalization of reporting about national security</w:t>
      </w:r>
      <w:r w:rsidR="0319594F">
        <w:t xml:space="preserve">. Although the Supreme Court itself has never directly addressed the issue, </w:t>
      </w:r>
      <w:r w:rsidR="04314E1A">
        <w:t xml:space="preserve">several justices </w:t>
      </w:r>
      <w:r w:rsidR="6C7F273C">
        <w:t>took pains to suggest</w:t>
      </w:r>
      <w:r w:rsidR="04314E1A">
        <w:t xml:space="preserve"> that the </w:t>
      </w:r>
      <w:r w:rsidR="096FA3D1">
        <w:t xml:space="preserve">First Amendment </w:t>
      </w:r>
      <w:r w:rsidR="19F74B67">
        <w:t>might</w:t>
      </w:r>
      <w:r w:rsidR="096FA3D1">
        <w:t xml:space="preserve"> not shield </w:t>
      </w:r>
      <w:r w:rsidR="0D4782AA">
        <w:t xml:space="preserve">either </w:t>
      </w:r>
      <w:r w:rsidR="0D4782AA" w:rsidRPr="06A62122">
        <w:rPr>
          <w:i/>
          <w:iCs/>
        </w:rPr>
        <w:t xml:space="preserve">The New York Times </w:t>
      </w:r>
      <w:r w:rsidR="0D4782AA">
        <w:t xml:space="preserve">or </w:t>
      </w:r>
      <w:r w:rsidR="0D4782AA" w:rsidRPr="06A62122">
        <w:rPr>
          <w:i/>
          <w:iCs/>
        </w:rPr>
        <w:t>Washington Post</w:t>
      </w:r>
      <w:r w:rsidR="096FA3D1">
        <w:t xml:space="preserve"> from criminal liability under the Espionage Act for </w:t>
      </w:r>
      <w:r w:rsidR="50656B8F">
        <w:t>their acquisition, possession and reporting about the Pentagon Papers.</w:t>
      </w:r>
      <w:r w:rsidRPr="5E6F12CA">
        <w:rPr>
          <w:rStyle w:val="FootnoteReference"/>
        </w:rPr>
        <w:footnoteReference w:id="101"/>
      </w:r>
      <w:r w:rsidR="50656B8F">
        <w:t xml:space="preserve">  In the same series of sepa</w:t>
      </w:r>
      <w:r w:rsidR="5A785CD9">
        <w:t>rate opinions in which six members of t</w:t>
      </w:r>
      <w:r w:rsidR="51179BDE">
        <w:t>h</w:t>
      </w:r>
      <w:r w:rsidR="5A785CD9">
        <w:t xml:space="preserve">e Court </w:t>
      </w:r>
      <w:r w:rsidR="1B3C12C7">
        <w:t>flatly declared</w:t>
      </w:r>
      <w:r w:rsidR="5A785CD9">
        <w:t xml:space="preserve"> that the First Amendment precluded a prior restraint on the disseminat</w:t>
      </w:r>
      <w:r w:rsidR="60D3D21E">
        <w:t>i</w:t>
      </w:r>
      <w:r w:rsidR="5A785CD9">
        <w:t>on of their contents,</w:t>
      </w:r>
      <w:r w:rsidR="57A30A39">
        <w:t xml:space="preserve"> just as many</w:t>
      </w:r>
      <w:r w:rsidR="2290A9E6">
        <w:t xml:space="preserve"> expressly mused</w:t>
      </w:r>
      <w:r w:rsidR="5EB39D89">
        <w:t xml:space="preserve"> that a criminal prosecution might succeed.</w:t>
      </w:r>
      <w:r w:rsidRPr="5E6F12CA">
        <w:rPr>
          <w:rStyle w:val="FootnoteReference"/>
        </w:rPr>
        <w:footnoteReference w:id="102"/>
      </w:r>
      <w:r w:rsidR="5EB39D89">
        <w:t xml:space="preserve">  In one such concurring opinion, Justice White </w:t>
      </w:r>
      <w:r w:rsidR="1405BD74">
        <w:t>pointed</w:t>
      </w:r>
      <w:r w:rsidR="6F802E92">
        <w:t xml:space="preserve"> the Justice Department </w:t>
      </w:r>
      <w:r w:rsidR="1405BD74">
        <w:t>to existing “criminal sanctions and their deterrent effect on the responsible as well as the irresponsible press.”</w:t>
      </w:r>
      <w:r w:rsidRPr="5E6F12CA">
        <w:rPr>
          <w:rStyle w:val="FootnoteReference"/>
        </w:rPr>
        <w:footnoteReference w:id="103"/>
      </w:r>
      <w:r w:rsidR="1405BD74">
        <w:t xml:space="preserve">  </w:t>
      </w:r>
      <w:r w:rsidR="2290A9E6">
        <w:t xml:space="preserve"> </w:t>
      </w:r>
      <w:r w:rsidR="57A30A39">
        <w:t xml:space="preserve"> </w:t>
      </w:r>
      <w:r w:rsidR="5A785CD9">
        <w:t xml:space="preserve"> </w:t>
      </w:r>
    </w:p>
    <w:p w14:paraId="077C2FF4" w14:textId="25D6DAEF" w:rsidR="04314E1A" w:rsidRDefault="04314E1A" w:rsidP="26888584">
      <w:pPr>
        <w:ind w:firstLine="720"/>
      </w:pPr>
      <w:r>
        <w:t xml:space="preserve">Following the </w:t>
      </w:r>
      <w:r w:rsidRPr="06A62122">
        <w:rPr>
          <w:i/>
          <w:iCs/>
        </w:rPr>
        <w:t xml:space="preserve">Pentagon Papers </w:t>
      </w:r>
      <w:r>
        <w:t xml:space="preserve">case, </w:t>
      </w:r>
      <w:r w:rsidR="0319594F">
        <w:t>lower courts have uniformly denied First Am</w:t>
      </w:r>
      <w:r w:rsidR="394573E8">
        <w:t>endment protection to the acquisition of news</w:t>
      </w:r>
      <w:r w:rsidR="7A4904CB">
        <w:t>worthy information about government wrongdoing revealed in classified documents</w:t>
      </w:r>
      <w:r w:rsidR="6F8E4372">
        <w:t>.</w:t>
      </w:r>
      <w:r w:rsidR="7A433945">
        <w:t xml:space="preserve"> </w:t>
      </w:r>
      <w:r w:rsidR="78EDFF83">
        <w:t>T</w:t>
      </w:r>
      <w:r w:rsidR="7A433945">
        <w:t>o date,</w:t>
      </w:r>
      <w:r w:rsidR="07143F76">
        <w:t xml:space="preserve"> however,</w:t>
      </w:r>
      <w:r w:rsidR="7A433945">
        <w:t xml:space="preserve"> no such prosecution has been mounted against</w:t>
      </w:r>
      <w:r w:rsidR="45F75F5B">
        <w:t xml:space="preserve"> either</w:t>
      </w:r>
      <w:r w:rsidR="7A433945">
        <w:t xml:space="preserve"> a media entity or </w:t>
      </w:r>
      <w:r w:rsidR="035A2BAF">
        <w:t xml:space="preserve">a </w:t>
      </w:r>
      <w:r w:rsidR="7A433945">
        <w:t>journalist in its employ. In</w:t>
      </w:r>
      <w:r w:rsidR="3C7E58CB">
        <w:t xml:space="preserve"> </w:t>
      </w:r>
      <w:r w:rsidR="3C7E58CB" w:rsidRPr="06A62122">
        <w:rPr>
          <w:i/>
          <w:iCs/>
        </w:rPr>
        <w:t>United States v Mo</w:t>
      </w:r>
      <w:r w:rsidR="783FCA11" w:rsidRPr="06A62122">
        <w:rPr>
          <w:i/>
          <w:iCs/>
        </w:rPr>
        <w:t>r</w:t>
      </w:r>
      <w:r w:rsidR="3C7E58CB" w:rsidRPr="06A62122">
        <w:rPr>
          <w:i/>
          <w:iCs/>
        </w:rPr>
        <w:t>rison</w:t>
      </w:r>
      <w:r w:rsidR="3C7E58CB">
        <w:t xml:space="preserve">, </w:t>
      </w:r>
      <w:r w:rsidR="0F3E5169">
        <w:t xml:space="preserve">the Fourth Circuit rejected several contentions that the defendant, an employee </w:t>
      </w:r>
      <w:r w:rsidR="1A7238DF">
        <w:t xml:space="preserve">of the Naval Intelligence Support Center, was protected by the First Amendment when he acquired and provided </w:t>
      </w:r>
      <w:r w:rsidR="2C9D9E0D">
        <w:t xml:space="preserve">classified information </w:t>
      </w:r>
      <w:r w:rsidR="1A7238DF">
        <w:t xml:space="preserve">to </w:t>
      </w:r>
      <w:r w:rsidR="1A7238DF" w:rsidRPr="06A62122">
        <w:rPr>
          <w:i/>
          <w:iCs/>
        </w:rPr>
        <w:t xml:space="preserve">Jane’s </w:t>
      </w:r>
      <w:proofErr w:type="spellStart"/>
      <w:r w:rsidR="1A7238DF" w:rsidRPr="06A62122">
        <w:rPr>
          <w:i/>
          <w:iCs/>
        </w:rPr>
        <w:t>Defence</w:t>
      </w:r>
      <w:proofErr w:type="spellEnd"/>
      <w:r w:rsidR="1A7238DF" w:rsidRPr="06A62122">
        <w:rPr>
          <w:i/>
          <w:iCs/>
        </w:rPr>
        <w:t xml:space="preserve"> Weekly</w:t>
      </w:r>
      <w:r w:rsidR="6A1D7418" w:rsidRPr="06A62122">
        <w:rPr>
          <w:i/>
          <w:iCs/>
        </w:rPr>
        <w:t>.</w:t>
      </w:r>
      <w:r w:rsidRPr="06A62122">
        <w:rPr>
          <w:rStyle w:val="FootnoteReference"/>
        </w:rPr>
        <w:footnoteReference w:id="104"/>
      </w:r>
      <w:r w:rsidR="6A1D7418" w:rsidRPr="06A62122">
        <w:rPr>
          <w:i/>
          <w:iCs/>
        </w:rPr>
        <w:t xml:space="preserve"> </w:t>
      </w:r>
      <w:r w:rsidR="40A28EA2" w:rsidRPr="06A62122">
        <w:t>Mor</w:t>
      </w:r>
      <w:r w:rsidR="56F3586E" w:rsidRPr="06A62122">
        <w:t>r</w:t>
      </w:r>
      <w:r w:rsidR="40A28EA2" w:rsidRPr="06A62122">
        <w:t>ison</w:t>
      </w:r>
      <w:r w:rsidR="46BC72BE" w:rsidRPr="06A62122">
        <w:t xml:space="preserve"> had</w:t>
      </w:r>
      <w:r w:rsidR="40A28EA2" w:rsidRPr="06A62122">
        <w:t xml:space="preserve"> shared with the magazine </w:t>
      </w:r>
      <w:r w:rsidR="3281ED39">
        <w:t>information regarding explosions at Soviet military bases a</w:t>
      </w:r>
      <w:r w:rsidR="3201BDA7">
        <w:t>s well as</w:t>
      </w:r>
      <w:r w:rsidR="3281ED39">
        <w:t xml:space="preserve"> reconnaissance satellite photographs</w:t>
      </w:r>
      <w:r w:rsidR="452BAAD0">
        <w:t xml:space="preserve">. </w:t>
      </w:r>
      <w:r w:rsidR="695337D2">
        <w:t xml:space="preserve">In </w:t>
      </w:r>
      <w:r w:rsidR="3FF6DFC7">
        <w:t xml:space="preserve">rejecting </w:t>
      </w:r>
      <w:r w:rsidR="095DF33D">
        <w:t>his</w:t>
      </w:r>
      <w:r w:rsidR="3FF6DFC7">
        <w:t xml:space="preserve"> First Amendment-based defenses</w:t>
      </w:r>
      <w:r w:rsidR="695337D2">
        <w:t xml:space="preserve">, </w:t>
      </w:r>
      <w:r w:rsidR="5589DE70">
        <w:t>the court</w:t>
      </w:r>
      <w:r w:rsidR="695337D2">
        <w:t xml:space="preserve"> distinguished precedent </w:t>
      </w:r>
      <w:r w:rsidR="653146CE">
        <w:t>reversing the conviction under the Espionage Act of the author of three pamphlets during World War II.</w:t>
      </w:r>
      <w:r w:rsidRPr="5E6F12CA">
        <w:rPr>
          <w:rStyle w:val="FootnoteReference"/>
        </w:rPr>
        <w:footnoteReference w:id="105"/>
      </w:r>
      <w:r w:rsidR="653146CE">
        <w:t xml:space="preserve">  As</w:t>
      </w:r>
      <w:r w:rsidR="00BA2443">
        <w:t xml:space="preserve"> the Court in </w:t>
      </w:r>
      <w:r w:rsidR="00BA2443" w:rsidRPr="06A62122">
        <w:rPr>
          <w:i/>
          <w:iCs/>
        </w:rPr>
        <w:t>Mor</w:t>
      </w:r>
      <w:r w:rsidR="5BB670CF" w:rsidRPr="06A62122">
        <w:rPr>
          <w:i/>
          <w:iCs/>
        </w:rPr>
        <w:t>r</w:t>
      </w:r>
      <w:r w:rsidR="00BA2443" w:rsidRPr="06A62122">
        <w:rPr>
          <w:i/>
          <w:iCs/>
        </w:rPr>
        <w:t xml:space="preserve">ison </w:t>
      </w:r>
      <w:r w:rsidR="00BA2443">
        <w:t>saw it, the prior case involved “pure speech,” whereas the conduct in which Morison</w:t>
      </w:r>
      <w:r w:rsidR="3E102572">
        <w:t xml:space="preserve"> allegedly</w:t>
      </w:r>
      <w:r w:rsidR="00BA2443">
        <w:t xml:space="preserve"> engaged operated</w:t>
      </w:r>
      <w:r w:rsidR="73E5261B">
        <w:t xml:space="preserve"> only</w:t>
      </w:r>
      <w:r w:rsidR="00BA2443">
        <w:t xml:space="preserve"> “in the shadow of the First Amendment.”</w:t>
      </w:r>
      <w:r w:rsidRPr="5E6F12CA">
        <w:rPr>
          <w:rStyle w:val="FootnoteReference"/>
        </w:rPr>
        <w:footnoteReference w:id="106"/>
      </w:r>
    </w:p>
    <w:p w14:paraId="5CEF1854" w14:textId="1FBEDECF" w:rsidR="00BA2443" w:rsidRDefault="00BA2443" w:rsidP="26888584">
      <w:pPr>
        <w:ind w:firstLine="720"/>
      </w:pPr>
      <w:r>
        <w:lastRenderedPageBreak/>
        <w:t xml:space="preserve">In a concurring opinion, </w:t>
      </w:r>
      <w:r w:rsidR="195AFBAF">
        <w:t xml:space="preserve">Judge Wilkinson addressed the concerns raised by </w:t>
      </w:r>
      <w:r w:rsidR="619ADDA3">
        <w:t>several</w:t>
      </w:r>
      <w:r w:rsidR="195AFBAF">
        <w:t xml:space="preserve"> news media </w:t>
      </w:r>
      <w:proofErr w:type="gramStart"/>
      <w:r w:rsidR="195AFBAF">
        <w:t>organizations</w:t>
      </w:r>
      <w:proofErr w:type="gramEnd"/>
      <w:r w:rsidR="195AFBAF">
        <w:t xml:space="preserve"> as </w:t>
      </w:r>
      <w:r w:rsidR="195AFBAF" w:rsidRPr="06A62122">
        <w:rPr>
          <w:i/>
          <w:iCs/>
        </w:rPr>
        <w:t xml:space="preserve">amici curiae. </w:t>
      </w:r>
      <w:r w:rsidR="3607D076" w:rsidRPr="06A62122">
        <w:rPr>
          <w:i/>
          <w:iCs/>
        </w:rPr>
        <w:t>“</w:t>
      </w:r>
      <w:r w:rsidR="3607D076">
        <w:t xml:space="preserve">I do not think the First Amendment interests here are insignificant,” he wrote. "Criminal restraints on the disclosure of information threaten the ability of the press </w:t>
      </w:r>
      <w:r w:rsidR="530C42CC">
        <w:t>to scrutinize and report on government activity.”</w:t>
      </w:r>
      <w:r w:rsidRPr="5E6F12CA">
        <w:rPr>
          <w:rStyle w:val="FootnoteReference"/>
        </w:rPr>
        <w:footnoteReference w:id="107"/>
      </w:r>
      <w:r w:rsidR="530C42CC">
        <w:t xml:space="preserve"> This is so, Judge Wilkinson recognized, because there “exists the tend</w:t>
      </w:r>
      <w:r w:rsidR="3B802702">
        <w:t>ency, even in a constitutional democracy, for government to withhold reports of disquieting developments and to manage news in a fashion most favorable to itself.”</w:t>
      </w:r>
      <w:r w:rsidRPr="5E6F12CA">
        <w:rPr>
          <w:rStyle w:val="FootnoteReference"/>
        </w:rPr>
        <w:footnoteReference w:id="108"/>
      </w:r>
      <w:r w:rsidR="3B802702">
        <w:t xml:space="preserve"> </w:t>
      </w:r>
      <w:r w:rsidR="4066F3CB">
        <w:t>Still</w:t>
      </w:r>
      <w:r w:rsidR="3630FD3F">
        <w:t xml:space="preserve">, although he rejected the view that the words “national security” automatically require a reviewing court to </w:t>
      </w:r>
      <w:r w:rsidR="3C1217CA">
        <w:t xml:space="preserve">strike the “balance” between “the need for security and the free flow of information” in favor of the </w:t>
      </w:r>
      <w:r w:rsidR="1916C80B">
        <w:t>government</w:t>
      </w:r>
      <w:r w:rsidR="3C1217CA">
        <w:t>, he also declined to engage in</w:t>
      </w:r>
      <w:r w:rsidR="63F037CF">
        <w:t xml:space="preserve"> </w:t>
      </w:r>
      <w:r w:rsidR="447E7E80">
        <w:t xml:space="preserve">an </w:t>
      </w:r>
      <w:r w:rsidR="3C1217CA">
        <w:t xml:space="preserve">”aggressive balancing” </w:t>
      </w:r>
      <w:r w:rsidR="71742FC0">
        <w:t>through which the interests in national security would be weighed against the First Amendment-based interest in newsgathering.</w:t>
      </w:r>
      <w:r w:rsidRPr="5E6F12CA">
        <w:rPr>
          <w:rStyle w:val="FootnoteReference"/>
        </w:rPr>
        <w:footnoteReference w:id="109"/>
      </w:r>
    </w:p>
    <w:p w14:paraId="1EA4F05F" w14:textId="12A1A9EA" w:rsidR="2F423B48" w:rsidRDefault="2F423B48" w:rsidP="26888584">
      <w:pPr>
        <w:ind w:firstLine="720"/>
      </w:pPr>
      <w:r w:rsidRPr="06A62122">
        <w:rPr>
          <w:i/>
          <w:iCs/>
        </w:rPr>
        <w:t>Mo</w:t>
      </w:r>
      <w:r w:rsidR="2B93E72D" w:rsidRPr="06A62122">
        <w:rPr>
          <w:i/>
          <w:iCs/>
        </w:rPr>
        <w:t>r</w:t>
      </w:r>
      <w:r w:rsidRPr="06A62122">
        <w:rPr>
          <w:i/>
          <w:iCs/>
        </w:rPr>
        <w:t xml:space="preserve">rison </w:t>
      </w:r>
      <w:r>
        <w:t xml:space="preserve">set the stage for </w:t>
      </w:r>
      <w:r w:rsidRPr="06A62122">
        <w:rPr>
          <w:i/>
          <w:iCs/>
        </w:rPr>
        <w:t>United States v. Rosen</w:t>
      </w:r>
      <w:r w:rsidR="65F1488C" w:rsidRPr="06A62122">
        <w:rPr>
          <w:i/>
          <w:iCs/>
        </w:rPr>
        <w:t>.</w:t>
      </w:r>
      <w:r w:rsidRPr="06A62122">
        <w:rPr>
          <w:rStyle w:val="FootnoteReference"/>
        </w:rPr>
        <w:footnoteReference w:id="110"/>
      </w:r>
      <w:r w:rsidR="65F1488C" w:rsidRPr="06A62122">
        <w:t xml:space="preserve"> </w:t>
      </w:r>
      <w:r w:rsidR="65F1488C">
        <w:t>I</w:t>
      </w:r>
      <w:r w:rsidR="4550CC8D">
        <w:t>n</w:t>
      </w:r>
      <w:r w:rsidR="65F1488C">
        <w:t xml:space="preserve"> that case,</w:t>
      </w:r>
      <w:r w:rsidRPr="06A62122">
        <w:rPr>
          <w:i/>
          <w:iCs/>
        </w:rPr>
        <w:t xml:space="preserve"> </w:t>
      </w:r>
      <w:r>
        <w:t>a federa</w:t>
      </w:r>
      <w:r w:rsidR="20CD154F">
        <w:t xml:space="preserve">l district court sitting in the Fourth Circuit denied a motion to dismiss an indictment alleging violations of the Espionage Act against two lobbyists charged </w:t>
      </w:r>
      <w:r w:rsidR="0180912A">
        <w:t xml:space="preserve">with unlawfully receiving classified information from a Defense Department official and then passing </w:t>
      </w:r>
      <w:r w:rsidR="32079E47">
        <w:t>it</w:t>
      </w:r>
      <w:r w:rsidR="0180912A">
        <w:t xml:space="preserve"> on</w:t>
      </w:r>
      <w:r w:rsidR="000E74C3">
        <w:t xml:space="preserve"> to</w:t>
      </w:r>
      <w:r w:rsidR="0180912A">
        <w:t xml:space="preserve"> two reporters.</w:t>
      </w:r>
      <w:r w:rsidRPr="5E6F12CA">
        <w:rPr>
          <w:rStyle w:val="FootnoteReference"/>
        </w:rPr>
        <w:footnoteReference w:id="111"/>
      </w:r>
      <w:r w:rsidR="0180912A">
        <w:t xml:space="preserve"> </w:t>
      </w:r>
      <w:r w:rsidR="18123277">
        <w:t xml:space="preserve">Relying largely on </w:t>
      </w:r>
      <w:r w:rsidR="18123277" w:rsidRPr="06A62122">
        <w:rPr>
          <w:i/>
          <w:iCs/>
        </w:rPr>
        <w:t>Mo</w:t>
      </w:r>
      <w:r w:rsidR="0417096D" w:rsidRPr="06A62122">
        <w:rPr>
          <w:i/>
          <w:iCs/>
        </w:rPr>
        <w:t>r</w:t>
      </w:r>
      <w:r w:rsidR="18123277" w:rsidRPr="06A62122">
        <w:rPr>
          <w:i/>
          <w:iCs/>
        </w:rPr>
        <w:t xml:space="preserve">rison </w:t>
      </w:r>
      <w:r w:rsidR="18123277">
        <w:t>and the various</w:t>
      </w:r>
      <w:r w:rsidR="0230F82F">
        <w:t xml:space="preserve"> separate</w:t>
      </w:r>
      <w:r w:rsidR="18123277">
        <w:t xml:space="preserve"> opinions in the </w:t>
      </w:r>
      <w:r w:rsidR="18123277" w:rsidRPr="06A62122">
        <w:rPr>
          <w:i/>
          <w:iCs/>
        </w:rPr>
        <w:t xml:space="preserve">Pentagon Papers </w:t>
      </w:r>
      <w:r w:rsidR="18123277">
        <w:t>case, the court rejected the defendants’ First Amendment</w:t>
      </w:r>
      <w:r w:rsidR="3FBDD137">
        <w:t>-based defenses</w:t>
      </w:r>
      <w:r w:rsidR="602D2B55">
        <w:t xml:space="preserve">, although it did purport to construe the Act in a manner </w:t>
      </w:r>
      <w:r w:rsidR="59F4F8BD">
        <w:t>that saved it from constitutional attack</w:t>
      </w:r>
      <w:r w:rsidR="3FBDD137">
        <w:t xml:space="preserve">. </w:t>
      </w:r>
      <w:r w:rsidR="7FB1E365">
        <w:t>Asserting that</w:t>
      </w:r>
      <w:r w:rsidR="31D6E762">
        <w:t xml:space="preserve"> “the passing of gover</w:t>
      </w:r>
      <w:r w:rsidR="4D27BDEC">
        <w:t xml:space="preserve">nment secrets relating to the national defense to those not entitled to receive them” must be squared with the First Amendment, it </w:t>
      </w:r>
      <w:r w:rsidR="066C39CF">
        <w:t>concluded that a</w:t>
      </w:r>
      <w:r w:rsidR="765AEA1D">
        <w:t xml:space="preserve"> prosecution under</w:t>
      </w:r>
      <w:r w:rsidR="066C39CF">
        <w:t xml:space="preserve"> the Espionage Act</w:t>
      </w:r>
      <w:r w:rsidR="0A3B43D4">
        <w:t xml:space="preserve"> </w:t>
      </w:r>
      <w:r w:rsidR="548E3F08">
        <w:t>in this</w:t>
      </w:r>
      <w:r w:rsidR="2692CF3C">
        <w:t xml:space="preserve"> context</w:t>
      </w:r>
      <w:r w:rsidR="63BCFD0B">
        <w:t xml:space="preserve"> nevertheless</w:t>
      </w:r>
      <w:r w:rsidR="2692CF3C">
        <w:t xml:space="preserve"> survived</w:t>
      </w:r>
      <w:r w:rsidR="0A3B43D4">
        <w:t xml:space="preserve"> </w:t>
      </w:r>
      <w:r w:rsidR="2B93578B">
        <w:t>First Amendment</w:t>
      </w:r>
      <w:r w:rsidR="0A3B43D4">
        <w:t xml:space="preserve"> scrutiny so long as the government carried its burden of proof under th</w:t>
      </w:r>
      <w:r w:rsidR="47709C1A">
        <w:t>e statute as the court had construed it</w:t>
      </w:r>
      <w:r w:rsidR="0A3B43D4">
        <w:t>.</w:t>
      </w:r>
      <w:r w:rsidRPr="5E6F12CA">
        <w:rPr>
          <w:rStyle w:val="FootnoteReference"/>
        </w:rPr>
        <w:footnoteReference w:id="112"/>
      </w:r>
      <w:r w:rsidR="0A3B43D4">
        <w:t xml:space="preserve"> </w:t>
      </w:r>
    </w:p>
    <w:p w14:paraId="1684C0AE" w14:textId="7D2ED7C1" w:rsidR="18123277" w:rsidRDefault="18123277" w:rsidP="26888584">
      <w:pPr>
        <w:ind w:firstLine="720"/>
      </w:pPr>
      <w:r>
        <w:t xml:space="preserve"> </w:t>
      </w:r>
      <w:r w:rsidR="3DF60AFD">
        <w:t xml:space="preserve">The government’s subsequent attempts to secure interlocutory appellate review of the district court’s </w:t>
      </w:r>
      <w:r w:rsidR="6AC6BE5C">
        <w:t xml:space="preserve">narrow </w:t>
      </w:r>
      <w:r w:rsidR="3DF60AFD">
        <w:t>construction of the statute were unsuccessful</w:t>
      </w:r>
      <w:r w:rsidR="43CD10C3">
        <w:t>.</w:t>
      </w:r>
      <w:r w:rsidR="3DF60AFD">
        <w:t xml:space="preserve"> </w:t>
      </w:r>
      <w:r w:rsidR="78DF94F3">
        <w:t>T</w:t>
      </w:r>
      <w:r w:rsidR="3DF60AFD">
        <w:t>he Fourth Circuit nevertheless</w:t>
      </w:r>
      <w:r w:rsidR="50BAA320">
        <w:t xml:space="preserve"> included in its order denying interlocutory review</w:t>
      </w:r>
      <w:r w:rsidR="3DF60AFD">
        <w:t xml:space="preserve"> </w:t>
      </w:r>
      <w:r w:rsidR="786A2FBB">
        <w:t>language suggesting that the district court had overstated the significance of the First Amendment in this context:</w:t>
      </w:r>
    </w:p>
    <w:p w14:paraId="42347743" w14:textId="1635080F" w:rsidR="786A2FBB" w:rsidRDefault="786A2FBB" w:rsidP="26888584">
      <w:pPr>
        <w:ind w:firstLine="720"/>
      </w:pPr>
      <w:r>
        <w:t xml:space="preserve">Although we do not possess jurisdiction to review [its] Order at this juncture, it is </w:t>
      </w:r>
      <w:r>
        <w:tab/>
        <w:t>apparent that the district court worked</w:t>
      </w:r>
      <w:r w:rsidR="61553F80">
        <w:t xml:space="preserve"> tirelessly to balance the competing forces</w:t>
      </w:r>
      <w:r w:rsidR="0A6D3F24">
        <w:t xml:space="preserve"> </w:t>
      </w:r>
      <w:r>
        <w:lastRenderedPageBreak/>
        <w:tab/>
      </w:r>
      <w:r w:rsidR="0A6D3F24">
        <w:t xml:space="preserve">inherent in a prosecution involving classified information, and that its efforts to </w:t>
      </w:r>
      <w:r>
        <w:tab/>
      </w:r>
      <w:r w:rsidR="0A6D3F24">
        <w:t xml:space="preserve">protect the fair trial rights </w:t>
      </w:r>
      <w:r w:rsidR="51C6AD0F">
        <w:t xml:space="preserve">of the defendants were not inappropriate. We are </w:t>
      </w:r>
      <w:r>
        <w:tab/>
      </w:r>
      <w:r>
        <w:tab/>
      </w:r>
      <w:r w:rsidR="51C6AD0F">
        <w:t xml:space="preserve">nevertheless concerned by the potential that the . . . Order imposes an additional </w:t>
      </w:r>
      <w:r>
        <w:tab/>
      </w:r>
      <w:r w:rsidR="51C6AD0F">
        <w:t xml:space="preserve">burden </w:t>
      </w:r>
      <w:r w:rsidR="5A9430D8">
        <w:t>on the prosecution not mandated by the governing statute.</w:t>
      </w:r>
      <w:r w:rsidRPr="5E6F12CA">
        <w:rPr>
          <w:rStyle w:val="FootnoteReference"/>
        </w:rPr>
        <w:footnoteReference w:id="113"/>
      </w:r>
      <w:r w:rsidR="0A6D3F24">
        <w:t xml:space="preserve"> </w:t>
      </w:r>
    </w:p>
    <w:p w14:paraId="6AA6BC2F" w14:textId="4C801AA1" w:rsidR="5AB84508" w:rsidRDefault="0A440DB0" w:rsidP="491C8484">
      <w:pPr>
        <w:jc w:val="center"/>
        <w:rPr>
          <w:b/>
          <w:bCs/>
        </w:rPr>
      </w:pPr>
      <w:r w:rsidRPr="491C8484">
        <w:rPr>
          <w:b/>
          <w:bCs/>
        </w:rPr>
        <w:t>III</w:t>
      </w:r>
    </w:p>
    <w:p w14:paraId="6BD0A036" w14:textId="3CB0A02C" w:rsidR="0A440DB0" w:rsidRDefault="26EFBED2" w:rsidP="5E6F12CA">
      <w:pPr>
        <w:ind w:firstLine="720"/>
      </w:pPr>
      <w:r>
        <w:t>The common theme that runs through these cases is the judicial assumption that, absent</w:t>
      </w:r>
      <w:r w:rsidR="3EACA6E3">
        <w:t xml:space="preserve"> a</w:t>
      </w:r>
      <w:r>
        <w:t xml:space="preserve"> tangible nexus to the publication of </w:t>
      </w:r>
      <w:r w:rsidR="42835CC3">
        <w:t>information</w:t>
      </w:r>
      <w:r w:rsidR="0DC71571">
        <w:t xml:space="preserve"> </w:t>
      </w:r>
      <w:r w:rsidR="42835CC3">
        <w:t>itself protected under the Speech Clause</w:t>
      </w:r>
      <w:r w:rsidR="13E17B71">
        <w:t xml:space="preserve">, the acquisition and possession of information—including newsworthy information about a matter of public </w:t>
      </w:r>
      <w:proofErr w:type="gramStart"/>
      <w:r w:rsidR="13E17B71">
        <w:t>concern</w:t>
      </w:r>
      <w:r w:rsidR="560DCA0D">
        <w:t>—is</w:t>
      </w:r>
      <w:proofErr w:type="gramEnd"/>
      <w:r w:rsidR="560DCA0D">
        <w:t xml:space="preserve"> beyond the scope of the First Amendment. This body of precedent is conspicuously silent about </w:t>
      </w:r>
      <w:r w:rsidR="7757C57B">
        <w:t>the Press Clause and the role it should appropriately play in the constitutional calculus.</w:t>
      </w:r>
    </w:p>
    <w:p w14:paraId="2649B1CD" w14:textId="4165E199" w:rsidR="1402B982" w:rsidRDefault="1402B982" w:rsidP="5E6F12CA">
      <w:pPr>
        <w:ind w:firstLine="720"/>
      </w:pPr>
      <w:r>
        <w:t xml:space="preserve">It is not the purpose of this essay to provide a comprehensive framework for applying the Press Clause to newsgathering-based </w:t>
      </w:r>
      <w:r w:rsidR="1C110033">
        <w:t>criminal prosecutions and civil claims. Rather, it is intended to begin a long-needed discussion of what that framework ou</w:t>
      </w:r>
      <w:r w:rsidR="2961B383">
        <w:t xml:space="preserve">ght to be. After all, the Supreme Court must have meant something when, in </w:t>
      </w:r>
      <w:r w:rsidR="2961B383" w:rsidRPr="06A62122">
        <w:rPr>
          <w:i/>
          <w:iCs/>
        </w:rPr>
        <w:t>Branzburg</w:t>
      </w:r>
      <w:r w:rsidR="2961B383">
        <w:t xml:space="preserve">, it asserted that “without some protection for </w:t>
      </w:r>
      <w:r w:rsidR="0318D2C4">
        <w:t>seeking out the news, freedom of the press would be eviscerated.”</w:t>
      </w:r>
      <w:r w:rsidRPr="5E6F12CA">
        <w:rPr>
          <w:rStyle w:val="FootnoteReference"/>
        </w:rPr>
        <w:footnoteReference w:id="114"/>
      </w:r>
      <w:r w:rsidR="0318D2C4">
        <w:t xml:space="preserve"> It must have meant something when it grounded its holding that </w:t>
      </w:r>
      <w:r w:rsidR="0F93E3C4">
        <w:t>a</w:t>
      </w:r>
      <w:r w:rsidR="0318D2C4">
        <w:t xml:space="preserve"> tax on new</w:t>
      </w:r>
      <w:r w:rsidR="7925B0CA">
        <w:t>spapers critical of public officials</w:t>
      </w:r>
      <w:r w:rsidR="6C84AB48">
        <w:t xml:space="preserve"> violated the First Amendment squarely</w:t>
      </w:r>
      <w:r w:rsidR="7925B0CA">
        <w:t xml:space="preserve"> in the “freedom of the press.”</w:t>
      </w:r>
      <w:r w:rsidRPr="5E6F12CA">
        <w:rPr>
          <w:rStyle w:val="FootnoteReference"/>
        </w:rPr>
        <w:footnoteReference w:id="115"/>
      </w:r>
      <w:r w:rsidR="7925B0CA">
        <w:t xml:space="preserve"> And it must have meant something when, decades later, it went so far as to hold that the</w:t>
      </w:r>
      <w:r w:rsidR="0DC89CA5">
        <w:t xml:space="preserve"> inherent</w:t>
      </w:r>
      <w:r w:rsidR="7925B0CA">
        <w:t xml:space="preserve"> po</w:t>
      </w:r>
      <w:r w:rsidR="03046452">
        <w:t>ssibility</w:t>
      </w:r>
      <w:r w:rsidR="3022130F">
        <w:t xml:space="preserve"> that such a law was enacted in bad faith require</w:t>
      </w:r>
      <w:r w:rsidR="0303C907">
        <w:t>s</w:t>
      </w:r>
      <w:r w:rsidR="3022130F">
        <w:t xml:space="preserve"> a presumption, grounded in the Press Clause, </w:t>
      </w:r>
      <w:r w:rsidR="69858DD9">
        <w:t>that it is unconstitutional.</w:t>
      </w:r>
      <w:r w:rsidRPr="5E6F12CA">
        <w:rPr>
          <w:rStyle w:val="FootnoteReference"/>
        </w:rPr>
        <w:footnoteReference w:id="116"/>
      </w:r>
    </w:p>
    <w:p w14:paraId="0971490D" w14:textId="5E0074E3" w:rsidR="69858DD9" w:rsidRDefault="69858DD9" w:rsidP="26888584">
      <w:pPr>
        <w:ind w:firstLine="720"/>
      </w:pPr>
      <w:r>
        <w:t xml:space="preserve">We can, therefore, proceed from the premise that, Chief Justice Burger’s rejoinder to Justice Stewart notwithstanding, the Press Clause is not a constitutional redundancy </w:t>
      </w:r>
      <w:r w:rsidR="27EBADAD">
        <w:t xml:space="preserve">and that it provides tangible protections to the “press,” however it is ultimately defined. And we can safely build on that </w:t>
      </w:r>
      <w:r w:rsidR="6986112F">
        <w:t xml:space="preserve">premise to conclude that at least one function of the Press Clause is to protect journalists (again, however they are ultimately defined) </w:t>
      </w:r>
      <w:r w:rsidR="12B0F6FB">
        <w:t>when they seek out the news.  And, as I and my colleague Is</w:t>
      </w:r>
      <w:r w:rsidR="5EFD5AFC">
        <w:t>abella Sal</w:t>
      </w:r>
      <w:r w:rsidR="055D352A">
        <w:t>o</w:t>
      </w:r>
      <w:r w:rsidR="5EFD5AFC">
        <w:t>m</w:t>
      </w:r>
      <w:r w:rsidR="66EC1358">
        <w:t>a</w:t>
      </w:r>
      <w:r w:rsidR="5EFD5AFC">
        <w:t xml:space="preserve">o Nascimento have argued elsewhere, it </w:t>
      </w:r>
      <w:r w:rsidR="427CD2B0">
        <w:t>should not be</w:t>
      </w:r>
      <w:r w:rsidR="111FA759">
        <w:t xml:space="preserve"> a</w:t>
      </w:r>
      <w:r w:rsidR="427CD2B0">
        <w:t xml:space="preserve"> stretch to argue that the Press Clause precludes government actions intended</w:t>
      </w:r>
      <w:r w:rsidR="7D09B18E">
        <w:t xml:space="preserve"> to retaliate against reporters and news organizations for speaking truth to power.</w:t>
      </w:r>
      <w:r w:rsidRPr="5E6F12CA">
        <w:rPr>
          <w:rStyle w:val="FootnoteReference"/>
        </w:rPr>
        <w:footnoteReference w:id="117"/>
      </w:r>
    </w:p>
    <w:p w14:paraId="5FDD9A40" w14:textId="71A8855D" w:rsidR="7863889A" w:rsidRDefault="7863889A" w:rsidP="26888584">
      <w:pPr>
        <w:ind w:firstLine="720"/>
      </w:pPr>
      <w:r>
        <w:lastRenderedPageBreak/>
        <w:t xml:space="preserve">In that article, we made the case that, in </w:t>
      </w:r>
      <w:r w:rsidRPr="06A62122">
        <w:rPr>
          <w:i/>
          <w:iCs/>
        </w:rPr>
        <w:t xml:space="preserve">Branzburg </w:t>
      </w:r>
      <w:r>
        <w:t xml:space="preserve">itself, the Court </w:t>
      </w:r>
      <w:r w:rsidR="22E283DC">
        <w:t>not only</w:t>
      </w:r>
      <w:r w:rsidR="34FE8B10">
        <w:t xml:space="preserve"> recognized that</w:t>
      </w:r>
      <w:r w:rsidR="5AEC22BC">
        <w:t xml:space="preserve"> the First Amendment’s Press Clause would necessarily be triggered in the case of</w:t>
      </w:r>
      <w:r w:rsidR="34FE8B10">
        <w:t xml:space="preserve"> </w:t>
      </w:r>
      <w:r w:rsidR="69CC2250">
        <w:t>“[o]</w:t>
      </w:r>
      <w:proofErr w:type="spellStart"/>
      <w:r w:rsidR="69CC2250">
        <w:t>fficial</w:t>
      </w:r>
      <w:proofErr w:type="spellEnd"/>
      <w:r w:rsidR="69CC2250">
        <w:t xml:space="preserve"> harassment of the press, undertaken not for the purposes of law enforcement but to disrupt a reporter’s relationship with his news sources,” </w:t>
      </w:r>
      <w:r w:rsidR="0EC4A0CA">
        <w:t>i</w:t>
      </w:r>
      <w:r w:rsidR="2D7CFE17">
        <w:t xml:space="preserve">t </w:t>
      </w:r>
      <w:r w:rsidR="1375FC65">
        <w:t>effectively held that</w:t>
      </w:r>
      <w:r w:rsidR="6C4B5307">
        <w:t xml:space="preserve"> a </w:t>
      </w:r>
      <w:r w:rsidR="6C4B5307" w:rsidRPr="06A62122">
        <w:rPr>
          <w:i/>
          <w:iCs/>
        </w:rPr>
        <w:t xml:space="preserve">prima facie </w:t>
      </w:r>
      <w:r w:rsidR="6C4B5307">
        <w:t>showing of such “bad faith” must lead</w:t>
      </w:r>
      <w:r w:rsidR="716836D4">
        <w:t xml:space="preserve"> to a constitutionally required balancing of the government interest in law enforcement against the First Amendment interest in a free press.</w:t>
      </w:r>
      <w:r w:rsidRPr="5E6F12CA">
        <w:rPr>
          <w:rStyle w:val="FootnoteReference"/>
        </w:rPr>
        <w:footnoteReference w:id="118"/>
      </w:r>
      <w:r w:rsidR="716836D4">
        <w:t xml:space="preserve"> That balance, we </w:t>
      </w:r>
      <w:r w:rsidR="6C39DC24">
        <w:t>suggested, must be struck, not by</w:t>
      </w:r>
      <w:r w:rsidR="4A3C2EDD">
        <w:t xml:space="preserve"> probing the government’s motive further, but rather by requiring that it demonstrate that </w:t>
      </w:r>
      <w:r w:rsidR="37A34CF7">
        <w:t xml:space="preserve">its </w:t>
      </w:r>
      <w:r w:rsidR="27994B43">
        <w:t xml:space="preserve">exercise of governmental authority </w:t>
      </w:r>
      <w:r w:rsidR="37A34CF7">
        <w:t xml:space="preserve">(in that case issuance of a subpoena to a journalist) served a legitimate law enforcement interest, that the asserted interest was compelling, and that it could not </w:t>
      </w:r>
      <w:r w:rsidR="75CB9D29">
        <w:t>be served by other means.</w:t>
      </w:r>
      <w:r w:rsidRPr="5E6F12CA">
        <w:rPr>
          <w:rStyle w:val="FootnoteReference"/>
        </w:rPr>
        <w:footnoteReference w:id="119"/>
      </w:r>
    </w:p>
    <w:p w14:paraId="552D36F9" w14:textId="429A80E6" w:rsidR="75CB9D29" w:rsidRDefault="75CB9D29" w:rsidP="26888584">
      <w:pPr>
        <w:ind w:firstLine="720"/>
      </w:pPr>
      <w:r>
        <w:t>A similar calculus, I submit, ought to be explored in the context of newsgathering-based liability</w:t>
      </w:r>
      <w:r w:rsidR="308293E8">
        <w:t xml:space="preserve"> more generally</w:t>
      </w:r>
      <w:r>
        <w:t xml:space="preserve">. In </w:t>
      </w:r>
      <w:r w:rsidRPr="06A62122">
        <w:rPr>
          <w:i/>
          <w:iCs/>
        </w:rPr>
        <w:t xml:space="preserve">Cohen </w:t>
      </w:r>
      <w:r>
        <w:t xml:space="preserve">itself, </w:t>
      </w:r>
      <w:r w:rsidR="52BC6D3D">
        <w:t xml:space="preserve">the Court limited its holding that “generally applicable laws do not offend do not offend the First Amendment” when applied to newsgathering to </w:t>
      </w:r>
      <w:r w:rsidR="66454887">
        <w:t xml:space="preserve">those circumstances in which “their enforcement against the press has </w:t>
      </w:r>
      <w:r w:rsidR="66454887" w:rsidRPr="06A62122">
        <w:rPr>
          <w:i/>
          <w:iCs/>
        </w:rPr>
        <w:t xml:space="preserve">incidental </w:t>
      </w:r>
      <w:r w:rsidR="66454887">
        <w:t>effects on its ability to gather and report the news.”</w:t>
      </w:r>
      <w:r w:rsidRPr="5E6F12CA">
        <w:rPr>
          <w:rStyle w:val="FootnoteReference"/>
        </w:rPr>
        <w:footnoteReference w:id="120"/>
      </w:r>
      <w:r w:rsidR="341A61A0">
        <w:t xml:space="preserve"> </w:t>
      </w:r>
      <w:r w:rsidR="789F8669">
        <w:t xml:space="preserve">Beyond its conclusory assertion that </w:t>
      </w:r>
      <w:r w:rsidR="610C9272">
        <w:t>liability for promissory estoppel</w:t>
      </w:r>
      <w:r w:rsidR="789F8669">
        <w:t xml:space="preserve"> “is no more than the incidental, and</w:t>
      </w:r>
      <w:r w:rsidR="66454887">
        <w:t xml:space="preserve"> </w:t>
      </w:r>
      <w:r w:rsidR="078E5FCB">
        <w:t>constitutionally insignificant, consequence of applying to the press a generally applicable law,”</w:t>
      </w:r>
      <w:r w:rsidRPr="5E6F12CA">
        <w:rPr>
          <w:rStyle w:val="FootnoteReference"/>
        </w:rPr>
        <w:footnoteReference w:id="121"/>
      </w:r>
      <w:r w:rsidR="078E5FCB">
        <w:t xml:space="preserve"> </w:t>
      </w:r>
      <w:r w:rsidR="31879081">
        <w:t xml:space="preserve">the Court has offered no further guidance concerning how </w:t>
      </w:r>
      <w:r w:rsidR="29149F7F">
        <w:t xml:space="preserve">to distinguish “incidental” from </w:t>
      </w:r>
      <w:r w:rsidR="4364A145">
        <w:t>constitutionally</w:t>
      </w:r>
      <w:r w:rsidR="2765915C">
        <w:t xml:space="preserve"> significant</w:t>
      </w:r>
      <w:r w:rsidR="29149F7F">
        <w:t xml:space="preserve"> restraints on newsgathering. </w:t>
      </w:r>
      <w:r w:rsidR="2DD1B653">
        <w:t xml:space="preserve"> One possib</w:t>
      </w:r>
      <w:r w:rsidR="25570664">
        <w:t>le line of demarcation</w:t>
      </w:r>
      <w:r w:rsidR="2DD1B653">
        <w:t>, for which there is some support in Justice White’s analys</w:t>
      </w:r>
      <w:r w:rsidR="2385010C">
        <w:t>e</w:t>
      </w:r>
      <w:r w:rsidR="2DD1B653">
        <w:t xml:space="preserve">s in both </w:t>
      </w:r>
      <w:r w:rsidR="2DD1B653" w:rsidRPr="06A62122">
        <w:rPr>
          <w:i/>
          <w:iCs/>
        </w:rPr>
        <w:t xml:space="preserve">Cohen </w:t>
      </w:r>
      <w:r w:rsidR="2DD1B653">
        <w:t xml:space="preserve">and </w:t>
      </w:r>
      <w:r w:rsidR="2DD1B653" w:rsidRPr="06A62122">
        <w:rPr>
          <w:i/>
          <w:iCs/>
        </w:rPr>
        <w:t>Branzburg</w:t>
      </w:r>
      <w:r w:rsidR="2DD1B653">
        <w:t xml:space="preserve">, </w:t>
      </w:r>
      <w:r w:rsidR="75E172FB">
        <w:t xml:space="preserve">would hold </w:t>
      </w:r>
      <w:r w:rsidR="2DD1B653">
        <w:t>that a</w:t>
      </w:r>
      <w:r w:rsidR="39D025CA">
        <w:t>n</w:t>
      </w:r>
      <w:r w:rsidR="2DD1B653">
        <w:t xml:space="preserve"> incidental</w:t>
      </w:r>
      <w:r w:rsidR="2C4BDD57">
        <w:t xml:space="preserve"> and hence constitutional</w:t>
      </w:r>
      <w:r w:rsidR="2DD1B653">
        <w:t xml:space="preserve"> </w:t>
      </w:r>
      <w:r w:rsidR="672EDC14">
        <w:t xml:space="preserve">restraint is one that applies to everyone </w:t>
      </w:r>
      <w:r w:rsidR="35FB6654">
        <w:t xml:space="preserve">while an unconstitutional “direct” restraint is one that on its face targets the press or journalists.  </w:t>
      </w:r>
    </w:p>
    <w:p w14:paraId="2966133A" w14:textId="53DA88D9" w:rsidR="1E9740DE" w:rsidRDefault="1E9740DE" w:rsidP="26888584">
      <w:pPr>
        <w:ind w:firstLine="720"/>
      </w:pPr>
      <w:r>
        <w:t xml:space="preserve">The efficacy of that </w:t>
      </w:r>
      <w:r w:rsidR="02ADAE57">
        <w:t xml:space="preserve">simplistic </w:t>
      </w:r>
      <w:r>
        <w:t>distinction is</w:t>
      </w:r>
      <w:r w:rsidR="0BAAC49F">
        <w:t>, however,</w:t>
      </w:r>
      <w:r>
        <w:t xml:space="preserve"> undercut by the “bad faith” exception to the </w:t>
      </w:r>
      <w:r w:rsidR="206C6C63">
        <w:t xml:space="preserve">enforcement of grand jury subpoenas recognized in </w:t>
      </w:r>
      <w:r w:rsidR="206C6C63" w:rsidRPr="43A42A66">
        <w:rPr>
          <w:i/>
          <w:iCs/>
        </w:rPr>
        <w:t>Branzburg</w:t>
      </w:r>
      <w:r w:rsidR="29EB5690" w:rsidRPr="43A42A66">
        <w:rPr>
          <w:i/>
          <w:iCs/>
        </w:rPr>
        <w:t xml:space="preserve"> </w:t>
      </w:r>
      <w:r w:rsidR="29EB5690" w:rsidRPr="43A42A66">
        <w:t>itself</w:t>
      </w:r>
      <w:r w:rsidR="206C6C63" w:rsidRPr="43A42A66">
        <w:rPr>
          <w:i/>
          <w:iCs/>
        </w:rPr>
        <w:t xml:space="preserve">. </w:t>
      </w:r>
      <w:r w:rsidR="206C6C63">
        <w:t xml:space="preserve">The laws governing the issuance of subpoenas in that </w:t>
      </w:r>
      <w:r w:rsidR="3E0FE358">
        <w:t>context are “generally applicable</w:t>
      </w:r>
      <w:r w:rsidR="5D32D85E">
        <w:t>.</w:t>
      </w:r>
      <w:r w:rsidR="3E0FE358">
        <w:t xml:space="preserve">” </w:t>
      </w:r>
      <w:r w:rsidR="22506701">
        <w:t>T</w:t>
      </w:r>
      <w:r w:rsidR="3E0FE358">
        <w:t xml:space="preserve">hey do not, on their face, single out the press or journalists. They nevertheless implicate the Press Clause when their enforcement against </w:t>
      </w:r>
      <w:r w:rsidR="10FD56CB">
        <w:t>journalists and their employers</w:t>
      </w:r>
      <w:r w:rsidR="0022979C">
        <w:t xml:space="preserve"> </w:t>
      </w:r>
      <w:r w:rsidR="3E0FE358">
        <w:t xml:space="preserve">is </w:t>
      </w:r>
      <w:r w:rsidR="3E0FE358">
        <w:lastRenderedPageBreak/>
        <w:t xml:space="preserve">undertaken for a </w:t>
      </w:r>
      <w:r w:rsidR="625DB37D">
        <w:t>purpose akin to targeting the</w:t>
      </w:r>
      <w:r w:rsidR="20AE33E5">
        <w:t>m. Moreover, such a subpoena violates the Press Clause when</w:t>
      </w:r>
      <w:r w:rsidR="43B238D1">
        <w:t xml:space="preserve">ever the government cannot overcome the presumption of unconstitutionality resulting from a </w:t>
      </w:r>
      <w:r w:rsidR="43B238D1" w:rsidRPr="43A42A66">
        <w:rPr>
          <w:i/>
          <w:iCs/>
        </w:rPr>
        <w:t xml:space="preserve">prima facie </w:t>
      </w:r>
      <w:r w:rsidR="43B238D1">
        <w:t>showing of bad faith by demonst</w:t>
      </w:r>
      <w:r w:rsidR="78D41E34">
        <w:t>rating a compelling governmental need that cannot be fulfilled in some other way.</w:t>
      </w:r>
    </w:p>
    <w:p w14:paraId="462FC0D0" w14:textId="2A79AA07" w:rsidR="3AB7CCD6" w:rsidRDefault="3AB7CCD6" w:rsidP="26888584">
      <w:pPr>
        <w:ind w:firstLine="720"/>
      </w:pPr>
      <w:r>
        <w:t xml:space="preserve">By the same sensible reasoning, an otherwise generally applicable law should </w:t>
      </w:r>
      <w:r w:rsidR="2414FC23">
        <w:t>implicate the Press Clause when</w:t>
      </w:r>
      <w:r w:rsidR="1F0FFEB8">
        <w:t>ever</w:t>
      </w:r>
      <w:r w:rsidR="2414FC23">
        <w:t xml:space="preserve"> its impact on the pre</w:t>
      </w:r>
      <w:r w:rsidR="178E0C9B">
        <w:t xml:space="preserve">ss </w:t>
      </w:r>
      <w:r w:rsidR="2414FC23">
        <w:t>and its journalists</w:t>
      </w:r>
      <w:r w:rsidR="186B3CD4">
        <w:t xml:space="preserve"> </w:t>
      </w:r>
      <w:r w:rsidR="2414FC23">
        <w:t xml:space="preserve">is more than “incidental” in the sense that it has a demonstrable impact on their ability </w:t>
      </w:r>
      <w:r w:rsidR="06069E41">
        <w:t>to gather and report the news.</w:t>
      </w:r>
      <w:r w:rsidR="301BD886">
        <w:t xml:space="preserve"> </w:t>
      </w:r>
      <w:r w:rsidR="7064ABFF">
        <w:t xml:space="preserve">By the same token, application of a generally applicable law should implicate the Press Clause whenever there is </w:t>
      </w:r>
      <w:r w:rsidR="7064ABFF" w:rsidRPr="06A62122">
        <w:rPr>
          <w:i/>
          <w:iCs/>
        </w:rPr>
        <w:t>prima facie</w:t>
      </w:r>
      <w:r w:rsidR="462CE59A" w:rsidRPr="06A62122">
        <w:rPr>
          <w:i/>
          <w:iCs/>
        </w:rPr>
        <w:t xml:space="preserve"> </w:t>
      </w:r>
      <w:r w:rsidR="462CE59A">
        <w:t>evidence that it has been invoked in bad faith</w:t>
      </w:r>
      <w:r w:rsidR="008A1EB1">
        <w:t xml:space="preserve"> or based on the </w:t>
      </w:r>
      <w:r w:rsidR="00916486">
        <w:t>content of previous or anticipated reporting</w:t>
      </w:r>
      <w:r w:rsidR="462CE59A">
        <w:t xml:space="preserve">. In either case, once the requisite initial showing has been made, a court should properly </w:t>
      </w:r>
      <w:r w:rsidR="72201019">
        <w:t xml:space="preserve">balance the competing interests by determining whether the legitimate governmental </w:t>
      </w:r>
      <w:r w:rsidR="65C16DBF">
        <w:t>concern</w:t>
      </w:r>
      <w:r w:rsidR="72201019">
        <w:t xml:space="preserve"> </w:t>
      </w:r>
      <w:proofErr w:type="gramStart"/>
      <w:r w:rsidR="72201019">
        <w:t>undergirding</w:t>
      </w:r>
      <w:proofErr w:type="gramEnd"/>
      <w:r w:rsidR="72201019">
        <w:t xml:space="preserve"> the law is, under the circumstances of </w:t>
      </w:r>
      <w:r w:rsidR="376E82B6">
        <w:t xml:space="preserve">the case before it, a </w:t>
      </w:r>
      <w:r w:rsidR="2EA143A2">
        <w:t xml:space="preserve">legitimate and </w:t>
      </w:r>
      <w:r w:rsidR="376E82B6">
        <w:t>compelling one that cannot be achieved in another way.</w:t>
      </w:r>
    </w:p>
    <w:p w14:paraId="19794B5B" w14:textId="4BA9C82C" w:rsidR="2BAA844B" w:rsidRDefault="2BAA844B" w:rsidP="26888584">
      <w:pPr>
        <w:ind w:firstLine="720"/>
      </w:pPr>
      <w:r>
        <w:t xml:space="preserve">Grounding these arguments in the Press Clause should free courts from the </w:t>
      </w:r>
      <w:r w:rsidR="74263513">
        <w:t xml:space="preserve">perceived </w:t>
      </w:r>
      <w:r>
        <w:t xml:space="preserve">need to </w:t>
      </w:r>
      <w:r w:rsidR="36F3543A">
        <w:t xml:space="preserve">reclassify newsgathering conduct as “speech.” It should also allow them to rule for </w:t>
      </w:r>
      <w:r w:rsidR="510B91EF">
        <w:t>the press and its journalists on a ground that was not before the Supreme Court</w:t>
      </w:r>
      <w:r w:rsidR="36F3543A">
        <w:t xml:space="preserve"> </w:t>
      </w:r>
      <w:r w:rsidR="1DCA11AB">
        <w:t xml:space="preserve">in </w:t>
      </w:r>
      <w:r w:rsidR="1DCA11AB" w:rsidRPr="06A62122">
        <w:rPr>
          <w:i/>
          <w:iCs/>
        </w:rPr>
        <w:t xml:space="preserve">Cohen </w:t>
      </w:r>
      <w:r w:rsidR="1DCA11AB">
        <w:t>or before its lower court progeny in cases like</w:t>
      </w:r>
      <w:r w:rsidR="4E1E912D">
        <w:t xml:space="preserve"> </w:t>
      </w:r>
      <w:r w:rsidR="4E1E912D" w:rsidRPr="06A62122">
        <w:rPr>
          <w:i/>
          <w:iCs/>
        </w:rPr>
        <w:t>Alvarez,</w:t>
      </w:r>
      <w:r w:rsidR="1DCA11AB">
        <w:t xml:space="preserve"> </w:t>
      </w:r>
      <w:r w:rsidR="1DCA11AB" w:rsidRPr="06A62122">
        <w:rPr>
          <w:i/>
          <w:iCs/>
        </w:rPr>
        <w:t>Dahlstrom,</w:t>
      </w:r>
      <w:r w:rsidR="19E13907" w:rsidRPr="06A62122">
        <w:rPr>
          <w:i/>
          <w:iCs/>
        </w:rPr>
        <w:t xml:space="preserve"> Price, Food Lion </w:t>
      </w:r>
      <w:r w:rsidR="19E13907">
        <w:t xml:space="preserve">and </w:t>
      </w:r>
      <w:proofErr w:type="spellStart"/>
      <w:r w:rsidR="19E13907" w:rsidRPr="06A62122">
        <w:rPr>
          <w:i/>
          <w:iCs/>
        </w:rPr>
        <w:t>Vielleux</w:t>
      </w:r>
      <w:proofErr w:type="spellEnd"/>
      <w:r w:rsidR="19E13907" w:rsidRPr="06A62122">
        <w:rPr>
          <w:i/>
          <w:iCs/>
        </w:rPr>
        <w:t xml:space="preserve">. </w:t>
      </w:r>
      <w:r w:rsidR="19E13907">
        <w:t>And it should allow courts comfortab</w:t>
      </w:r>
      <w:r w:rsidR="1BF685DE">
        <w:t xml:space="preserve">ly to consider as applied challenges under the Press Clause </w:t>
      </w:r>
      <w:proofErr w:type="gramStart"/>
      <w:r w:rsidR="1BF685DE">
        <w:t>if and when</w:t>
      </w:r>
      <w:proofErr w:type="gramEnd"/>
      <w:r w:rsidR="1BF685DE">
        <w:t xml:space="preserve"> a journalist or media entity is indicted for violating the Espionage Act based on its acquisitio</w:t>
      </w:r>
      <w:r w:rsidR="2B9D7DAC">
        <w:t>n of classified information about a matter of public concern.</w:t>
      </w:r>
    </w:p>
    <w:p w14:paraId="1CE4BC2F" w14:textId="7ED0DBE5" w:rsidR="5817AA2B" w:rsidRDefault="5817AA2B" w:rsidP="26888584">
      <w:pPr>
        <w:ind w:firstLine="720"/>
      </w:pPr>
      <w:r>
        <w:t>A</w:t>
      </w:r>
      <w:r w:rsidR="2E4F5184">
        <w:t xml:space="preserve">lthough it was not decided under the Press Clause, the Supreme Court’s decision in </w:t>
      </w:r>
      <w:r w:rsidR="2E4F5184" w:rsidRPr="06A62122">
        <w:rPr>
          <w:i/>
          <w:iCs/>
        </w:rPr>
        <w:t xml:space="preserve">Bartnicki </w:t>
      </w:r>
      <w:r w:rsidR="2E4F5184">
        <w:t>supports the proposed framework in</w:t>
      </w:r>
      <w:r w:rsidR="3FEDDC89">
        <w:t xml:space="preserve"> at least two</w:t>
      </w:r>
      <w:r w:rsidR="2E4F5184">
        <w:t xml:space="preserve"> important </w:t>
      </w:r>
      <w:r w:rsidR="3CB0486F">
        <w:t>ways. Most significantly, although the wiretap statutes at issue in that case were laws of general applicability, the Court sensibl</w:t>
      </w:r>
      <w:r w:rsidR="1CFED65E">
        <w:t>y treated the defendants’ First Amendment-based defense to civil liability as an “as applied” challeng</w:t>
      </w:r>
      <w:r w:rsidR="1D76BDB3">
        <w:t>e to the statutes’ constitutionality.</w:t>
      </w:r>
      <w:r w:rsidRPr="5E6F12CA">
        <w:rPr>
          <w:rStyle w:val="FootnoteReference"/>
        </w:rPr>
        <w:footnoteReference w:id="122"/>
      </w:r>
      <w:r w:rsidR="1D76BDB3">
        <w:t xml:space="preserve"> As the Court recognized, holding that the statute raised First Amendment issues when applied to the </w:t>
      </w:r>
      <w:r w:rsidR="7C552136">
        <w:t>use of information about a matter of public concern did not affect the efficacy of the statute’s enforcement, in both criminal and civil</w:t>
      </w:r>
      <w:r w:rsidR="1AA3AE8C">
        <w:t xml:space="preserve"> cases, in other contexts.</w:t>
      </w:r>
      <w:r w:rsidRPr="5E6F12CA">
        <w:rPr>
          <w:rStyle w:val="FootnoteReference"/>
        </w:rPr>
        <w:footnoteReference w:id="123"/>
      </w:r>
      <w:r w:rsidR="2755D455">
        <w:t xml:space="preserve"> Similarly, a holding that, in a given case, civil liability for promissory estoppel or for violation of </w:t>
      </w:r>
      <w:r w:rsidR="11F5BBEB">
        <w:t xml:space="preserve">a statute </w:t>
      </w:r>
      <w:r w:rsidR="05853DAF">
        <w:t xml:space="preserve">regulating </w:t>
      </w:r>
      <w:r w:rsidR="11F5BBEB">
        <w:t>audiovisual recording violates the Press Clause says nothing about the efficacy of such generally applicable laws</w:t>
      </w:r>
      <w:r w:rsidR="00AE1B65">
        <w:t xml:space="preserve"> in other contexts.</w:t>
      </w:r>
    </w:p>
    <w:p w14:paraId="1763E9E2" w14:textId="3BA972ED" w:rsidR="00D1026D" w:rsidRDefault="00D1026D" w:rsidP="26888584">
      <w:pPr>
        <w:ind w:firstLine="720"/>
      </w:pPr>
      <w:r>
        <w:lastRenderedPageBreak/>
        <w:t xml:space="preserve">Second, </w:t>
      </w:r>
      <w:r w:rsidR="507D3E75">
        <w:t xml:space="preserve">in </w:t>
      </w:r>
      <w:r w:rsidR="507D3E75" w:rsidRPr="06A62122">
        <w:rPr>
          <w:i/>
          <w:iCs/>
        </w:rPr>
        <w:t xml:space="preserve">Bartnicki, </w:t>
      </w:r>
      <w:r w:rsidR="507D3E75">
        <w:t>the Court held that the use and dissemination of unlawfully acquired information about a matter of public con</w:t>
      </w:r>
      <w:r w:rsidR="1E9B4CA3">
        <w:t>cern is protected only in the absence of an overriding government interest</w:t>
      </w:r>
      <w:r w:rsidR="37305C79">
        <w:t xml:space="preserve"> of the “highest order</w:t>
      </w:r>
      <w:r w:rsidR="1E9B4CA3">
        <w:t>.</w:t>
      </w:r>
      <w:r w:rsidR="7E39C5AB">
        <w:t>”</w:t>
      </w:r>
      <w:r w:rsidRPr="5E6F12CA">
        <w:rPr>
          <w:rStyle w:val="FootnoteReference"/>
        </w:rPr>
        <w:footnoteReference w:id="124"/>
      </w:r>
      <w:r w:rsidR="1E9B4CA3">
        <w:t xml:space="preserve"> </w:t>
      </w:r>
      <w:r w:rsidR="3990A176">
        <w:t>I</w:t>
      </w:r>
      <w:r w:rsidR="1E9B4CA3">
        <w:t>n his concurring op</w:t>
      </w:r>
      <w:r w:rsidR="6A9CA400">
        <w:t xml:space="preserve">inion, </w:t>
      </w:r>
      <w:r w:rsidR="68A64E13">
        <w:t xml:space="preserve">Justice </w:t>
      </w:r>
      <w:r w:rsidR="7485BEAA">
        <w:t xml:space="preserve">Stephen </w:t>
      </w:r>
      <w:r w:rsidR="68A64E13">
        <w:t xml:space="preserve">Breyer </w:t>
      </w:r>
      <w:r w:rsidR="6A9CA400">
        <w:t>attempted to modify that portion of the Court’s holding by recrafting it as a less rigid balancing test</w:t>
      </w:r>
      <w:r w:rsidR="6DFE1F50">
        <w:t>.</w:t>
      </w:r>
      <w:r w:rsidRPr="5E6F12CA">
        <w:rPr>
          <w:rStyle w:val="FootnoteReference"/>
        </w:rPr>
        <w:footnoteReference w:id="125"/>
      </w:r>
      <w:r w:rsidR="6DFE1F50">
        <w:t xml:space="preserve"> Nevertheless,</w:t>
      </w:r>
      <w:r w:rsidR="6A9CA400">
        <w:t xml:space="preserve"> the fact remains that</w:t>
      </w:r>
      <w:r w:rsidR="44383442">
        <w:t>, in a case involving a close cousin to newsgathering liability in which no Press Clause</w:t>
      </w:r>
      <w:r w:rsidR="0E6EE465">
        <w:t xml:space="preserve">-based argument was made, the Court </w:t>
      </w:r>
      <w:r w:rsidR="234EBFED">
        <w:t xml:space="preserve">not only </w:t>
      </w:r>
      <w:r w:rsidR="25BC3EE7">
        <w:t xml:space="preserve">recognized that application of a generally applicable law implicates the First Amendment when it is applied to news about a matter of public concern, it </w:t>
      </w:r>
      <w:r w:rsidR="2FF0D04D">
        <w:t>demanded that the government overcome a resulting presumption that such an application is unconstitutional.</w:t>
      </w:r>
    </w:p>
    <w:p w14:paraId="0BF1191F" w14:textId="62EC0C4A" w:rsidR="107F428C" w:rsidRDefault="107F428C" w:rsidP="26888584">
      <w:pPr>
        <w:ind w:firstLine="720"/>
      </w:pPr>
      <w:r>
        <w:t xml:space="preserve">Finally, since this essay is part of a symposium addressing freedom of the press from a global perspective, it is worth </w:t>
      </w:r>
      <w:r w:rsidR="42C5C766">
        <w:t>reiterating</w:t>
      </w:r>
      <w:r w:rsidR="3993577C">
        <w:t xml:space="preserve"> that, unburdened by the wording of the First Amendment, courts in other Western democracies have not found it difficult to </w:t>
      </w:r>
      <w:r w:rsidR="6970380A">
        <w:t xml:space="preserve">distinguish between the freedoms of speech and of the press or to afford often robust protection to the latter. It is beyond ironic that, in a nation </w:t>
      </w:r>
      <w:r w:rsidR="63FD3881">
        <w:t xml:space="preserve">forged in response to seditious libel prosecutions of publishers like John Peter Zenger and laws directed at </w:t>
      </w:r>
      <w:r w:rsidR="5E7B59E1">
        <w:t>punishing the revolutionary press like the Stamp Act, the “freedom of the press”</w:t>
      </w:r>
      <w:r w:rsidR="142EF188">
        <w:t xml:space="preserve"> guaranteed by the First Amendment</w:t>
      </w:r>
      <w:r w:rsidR="5E7B59E1">
        <w:t xml:space="preserve"> does not presently </w:t>
      </w:r>
      <w:r w:rsidR="4B720036">
        <w:t>guarantee much of anything</w:t>
      </w:r>
      <w:r w:rsidR="79A3DD1B">
        <w:t xml:space="preserve">. In Europe, </w:t>
      </w:r>
      <w:r w:rsidR="4B0965D2">
        <w:t>where</w:t>
      </w:r>
      <w:r w:rsidR="79A3DD1B">
        <w:t xml:space="preserve"> there is no First Amendment, there is nevertheless a common understanding that press freedom</w:t>
      </w:r>
      <w:r w:rsidR="097D70B3">
        <w:t xml:space="preserve"> must</w:t>
      </w:r>
      <w:r w:rsidR="79A3DD1B">
        <w:t xml:space="preserve"> </w:t>
      </w:r>
      <w:r w:rsidR="1B9D41B2">
        <w:t>encompass journalists’ ability to resist compelled disclosure of their confidential sources unless justified by an “overriding requirement in the pub</w:t>
      </w:r>
      <w:r w:rsidR="3B128D5A">
        <w:t>lic interest.”</w:t>
      </w:r>
      <w:r w:rsidRPr="5E6F12CA">
        <w:rPr>
          <w:rStyle w:val="FootnoteReference"/>
        </w:rPr>
        <w:footnoteReference w:id="126"/>
      </w:r>
      <w:r w:rsidR="3B128D5A">
        <w:t xml:space="preserve"> In Canada, which also has no First Amendment, the freedom of the press requires that “in some situations</w:t>
      </w:r>
      <w:r w:rsidR="7CA1EF2B">
        <w:t xml:space="preserve"> the public interest in protecting the secret source from disclosure outweighs other competing public interests—including criminal investigations” and that, in “these circumstances, the courts</w:t>
      </w:r>
      <w:r w:rsidR="299556D9">
        <w:t xml:space="preserve"> will recognize an immunity against disclosure of sources to whom confidentiality has been promised.”</w:t>
      </w:r>
      <w:r w:rsidRPr="5E6F12CA">
        <w:rPr>
          <w:rStyle w:val="FootnoteReference"/>
        </w:rPr>
        <w:footnoteReference w:id="127"/>
      </w:r>
    </w:p>
    <w:p w14:paraId="0C31227B" w14:textId="10E7A3ED" w:rsidR="1AA3AE8C" w:rsidRDefault="51A2E16A" w:rsidP="26888584">
      <w:pPr>
        <w:ind w:firstLine="720"/>
      </w:pPr>
      <w:r>
        <w:t>T</w:t>
      </w:r>
      <w:r w:rsidR="2FF0D04D">
        <w:t>he Supreme Court’s mixed messages about the viability of the Press Clause ha</w:t>
      </w:r>
      <w:r w:rsidR="12F53D44">
        <w:t>ve</w:t>
      </w:r>
      <w:r w:rsidR="2FF0D04D">
        <w:t xml:space="preserve"> </w:t>
      </w:r>
      <w:r w:rsidR="1A719A5A">
        <w:t xml:space="preserve">understandably </w:t>
      </w:r>
      <w:r w:rsidR="2FF0D04D">
        <w:t xml:space="preserve">caused litigants to shy away </w:t>
      </w:r>
      <w:r w:rsidR="2DDE017B">
        <w:t>from invoking it to protect them from liability, both criminal and civil, for gathering the news.</w:t>
      </w:r>
      <w:r w:rsidR="7B4647B0">
        <w:t xml:space="preserve"> That fact, however, </w:t>
      </w:r>
      <w:r w:rsidR="643A300F">
        <w:t xml:space="preserve">has a silver lining: It </w:t>
      </w:r>
      <w:r w:rsidR="7B4647B0">
        <w:t>opens the door for those same litigants to do so now</w:t>
      </w:r>
      <w:r w:rsidR="11D8C613">
        <w:t>,</w:t>
      </w:r>
      <w:r w:rsidR="7B4647B0">
        <w:t xml:space="preserve"> and </w:t>
      </w:r>
      <w:r w:rsidR="374DB318">
        <w:t xml:space="preserve">it </w:t>
      </w:r>
      <w:r w:rsidR="7B4647B0">
        <w:t>frees courts, includ</w:t>
      </w:r>
      <w:r w:rsidR="378ED9E4">
        <w:t>ing the Supreme Court</w:t>
      </w:r>
      <w:r w:rsidR="1B7E2BD0">
        <w:t xml:space="preserve">, </w:t>
      </w:r>
      <w:r w:rsidR="07DA9186">
        <w:t>to consider the</w:t>
      </w:r>
      <w:r w:rsidR="526D71E1">
        <w:t xml:space="preserve"> Press Clause’s applicability</w:t>
      </w:r>
      <w:r w:rsidR="07DA9186">
        <w:t xml:space="preserve"> afresh.</w:t>
      </w:r>
      <w:r w:rsidR="7F1E5DAB">
        <w:t xml:space="preserve"> When it does, the </w:t>
      </w:r>
      <w:r w:rsidR="7F1E5DAB">
        <w:lastRenderedPageBreak/>
        <w:t xml:space="preserve">Court will be well-served to heed the advice </w:t>
      </w:r>
      <w:r w:rsidR="2F6FE948">
        <w:t xml:space="preserve">offered some ninety years ago by </w:t>
      </w:r>
      <w:r w:rsidR="7F1E5DAB">
        <w:t>Justice Sutherland</w:t>
      </w:r>
      <w:r w:rsidR="5FF1B078">
        <w:t xml:space="preserve"> on behalf of </w:t>
      </w:r>
      <w:r w:rsidR="792AA786">
        <w:t xml:space="preserve">all nine </w:t>
      </w:r>
      <w:r w:rsidR="450D65C0">
        <w:t xml:space="preserve">then- serving </w:t>
      </w:r>
      <w:r w:rsidR="792AA786">
        <w:t>justices (including not only</w:t>
      </w:r>
      <w:r w:rsidR="5B239D16">
        <w:t xml:space="preserve"> the likes of</w:t>
      </w:r>
      <w:r w:rsidR="792AA786">
        <w:t xml:space="preserve"> Brandeis</w:t>
      </w:r>
      <w:r w:rsidR="2223C6E5">
        <w:t xml:space="preserve"> and Cardozo</w:t>
      </w:r>
      <w:r w:rsidR="792AA786">
        <w:t>, but also McReynolds</w:t>
      </w:r>
      <w:r w:rsidR="044B0A9C">
        <w:t>, Van Devanter and Butler)</w:t>
      </w:r>
      <w:r w:rsidR="0FCCE487">
        <w:t xml:space="preserve"> that when the framers included the Press Clause in the Bill of Rights, their “predominant purpose” was</w:t>
      </w:r>
    </w:p>
    <w:p w14:paraId="0B2EF32F" w14:textId="0BE9B0FE" w:rsidR="1AA3AE8C" w:rsidRDefault="0FCCE487" w:rsidP="26888584">
      <w:pPr>
        <w:ind w:firstLine="720"/>
      </w:pPr>
      <w:r>
        <w:t xml:space="preserve">to preserve an untrammeled press as a vital source of public information. The </w:t>
      </w:r>
      <w:r w:rsidR="1AA3AE8C">
        <w:tab/>
      </w:r>
      <w:r>
        <w:t xml:space="preserve">newspapers, magazines, and other journals of the country, it is safe to say, have </w:t>
      </w:r>
      <w:r w:rsidR="1AA3AE8C">
        <w:tab/>
      </w:r>
      <w:r>
        <w:t>shed and continue to shed</w:t>
      </w:r>
      <w:r w:rsidR="3A70BE0D">
        <w:t>,</w:t>
      </w:r>
      <w:r w:rsidR="52912382">
        <w:t xml:space="preserve"> more light on the public and business affairs of the </w:t>
      </w:r>
      <w:r w:rsidR="1AA3AE8C">
        <w:tab/>
      </w:r>
      <w:r w:rsidR="52912382">
        <w:t xml:space="preserve">nation than any other instrumentality of publicity, and, since informed public </w:t>
      </w:r>
      <w:r w:rsidR="1AA3AE8C">
        <w:tab/>
      </w:r>
      <w:r w:rsidR="1AA3AE8C">
        <w:tab/>
      </w:r>
      <w:r w:rsidR="52912382">
        <w:t xml:space="preserve">opinion is the most potent of all restraints upon </w:t>
      </w:r>
      <w:r w:rsidR="3EDB729F">
        <w:t>misgovernment,</w:t>
      </w:r>
      <w:r w:rsidR="52912382">
        <w:t xml:space="preserve"> </w:t>
      </w:r>
      <w:r w:rsidR="6C22CC5D">
        <w:t xml:space="preserve">the suppression or </w:t>
      </w:r>
      <w:r w:rsidR="1AA3AE8C">
        <w:tab/>
      </w:r>
      <w:r w:rsidR="6C22CC5D">
        <w:t xml:space="preserve">abridgement of the publicity afforded by a free press cannot be regarded otherwise </w:t>
      </w:r>
      <w:r w:rsidR="1AA3AE8C">
        <w:tab/>
      </w:r>
      <w:r w:rsidR="6C22CC5D">
        <w:t>than with grave concern</w:t>
      </w:r>
      <w:r w:rsidR="71B1725C">
        <w:t>.</w:t>
      </w:r>
      <w:r w:rsidR="1AA3AE8C" w:rsidRPr="5E6F12CA">
        <w:rPr>
          <w:rStyle w:val="FootnoteReference"/>
        </w:rPr>
        <w:footnoteReference w:id="128"/>
      </w:r>
    </w:p>
    <w:p w14:paraId="135DDA8B" w14:textId="095C50FB" w:rsidR="1AA3AE8C" w:rsidRDefault="5D978DC3" w:rsidP="5E6F12CA">
      <w:pPr>
        <w:ind w:firstLine="720"/>
      </w:pPr>
      <w:r>
        <w:t>What was true in 1936 is equally true today: i</w:t>
      </w:r>
      <w:r w:rsidR="52912382">
        <w:t>t is</w:t>
      </w:r>
      <w:r w:rsidR="2FECDCF0">
        <w:t xml:space="preserve"> </w:t>
      </w:r>
      <w:r w:rsidR="3F2899FD">
        <w:t>not only</w:t>
      </w:r>
      <w:r w:rsidR="2FECDCF0">
        <w:t xml:space="preserve"> “</w:t>
      </w:r>
      <w:r w:rsidR="2CD73AC6">
        <w:t xml:space="preserve">impossible to concede that by the words </w:t>
      </w:r>
      <w:r w:rsidR="77322D25">
        <w:t>‘</w:t>
      </w:r>
      <w:r w:rsidR="2CD73AC6">
        <w:t>freedom of the press,</w:t>
      </w:r>
      <w:r w:rsidR="5B8A1383">
        <w:t>’</w:t>
      </w:r>
      <w:r w:rsidR="2CD73AC6">
        <w:t xml:space="preserve"> the framers</w:t>
      </w:r>
      <w:r w:rsidR="378ED9E4">
        <w:t xml:space="preserve"> </w:t>
      </w:r>
      <w:r w:rsidR="09160E4B">
        <w:t>of the [first] amendment intended to adopt merely the narrow view then reflected in the law of England that such freedom consisted only in im</w:t>
      </w:r>
      <w:r w:rsidR="2FFA1531">
        <w:t>munity from previous censorship</w:t>
      </w:r>
      <w:r w:rsidR="33AECB39">
        <w:t>,</w:t>
      </w:r>
      <w:r w:rsidR="6BA377D2">
        <w:t xml:space="preserve">” </w:t>
      </w:r>
      <w:r w:rsidR="10C684AD">
        <w:t>it is</w:t>
      </w:r>
      <w:r w:rsidR="6BA377D2">
        <w:t xml:space="preserve"> “</w:t>
      </w:r>
      <w:r w:rsidR="6FE4DBFA">
        <w:t xml:space="preserve">equally </w:t>
      </w:r>
      <w:r w:rsidR="5D2A5B76">
        <w:t>i</w:t>
      </w:r>
      <w:r w:rsidR="2FFA1531">
        <w:t xml:space="preserve">mpossible to believe that </w:t>
      </w:r>
      <w:r w:rsidR="627EAC9A">
        <w:t>it was not intended to bring within the reach of these words such modes of restraint</w:t>
      </w:r>
      <w:r w:rsidR="5BEAB535">
        <w:t>” that less directly</w:t>
      </w:r>
      <w:r w:rsidR="26C263BD">
        <w:t xml:space="preserve"> threatened the preservation of “an untrammeled press as a vital source of public information</w:t>
      </w:r>
      <w:r w:rsidR="1B11CD28">
        <w:t>.</w:t>
      </w:r>
      <w:r w:rsidR="19E9786D">
        <w:t>”</w:t>
      </w:r>
      <w:r w:rsidR="1AA3AE8C" w:rsidRPr="5E6F12CA">
        <w:rPr>
          <w:rStyle w:val="FootnoteReference"/>
        </w:rPr>
        <w:footnoteReference w:id="129"/>
      </w:r>
      <w:r w:rsidR="1B11CD28">
        <w:t xml:space="preserve"> </w:t>
      </w:r>
      <w:r w:rsidR="1AA3AE8C">
        <w:t xml:space="preserve"> </w:t>
      </w:r>
    </w:p>
    <w:p w14:paraId="5F89CE78" w14:textId="425C88EC" w:rsidR="1DCA11AB" w:rsidRDefault="1DCA11AB" w:rsidP="26888584">
      <w:pPr>
        <w:ind w:firstLine="720"/>
      </w:pPr>
      <w:r w:rsidRPr="26888584">
        <w:rPr>
          <w:i/>
          <w:iCs/>
        </w:rPr>
        <w:t xml:space="preserve"> </w:t>
      </w:r>
      <w:r w:rsidR="437C1FEE" w:rsidRPr="26888584">
        <w:t xml:space="preserve"> </w:t>
      </w:r>
      <w:r w:rsidR="06069E41" w:rsidRPr="26888584">
        <w:t xml:space="preserve">  </w:t>
      </w:r>
    </w:p>
    <w:p w14:paraId="5C5E67C0" w14:textId="230A48B7" w:rsidR="31879081" w:rsidRDefault="31879081" w:rsidP="26888584">
      <w:pPr>
        <w:ind w:firstLine="720"/>
      </w:pPr>
      <w:r w:rsidRPr="26888584">
        <w:t xml:space="preserve">  </w:t>
      </w:r>
    </w:p>
    <w:p w14:paraId="02831153" w14:textId="78B8FAAF" w:rsidR="45EF5A19" w:rsidRDefault="45EF5A19" w:rsidP="37CB4683">
      <w:r w:rsidRPr="37CB4683">
        <w:t xml:space="preserve"> </w:t>
      </w:r>
    </w:p>
    <w:p w14:paraId="2BDE0204" w14:textId="057CE182" w:rsidR="7330E0C0" w:rsidRDefault="7330E0C0" w:rsidP="37CB4683">
      <w:pPr>
        <w:ind w:left="720" w:firstLine="720"/>
      </w:pPr>
      <w:r w:rsidRPr="37CB4683">
        <w:t xml:space="preserve"> </w:t>
      </w:r>
      <w:r w:rsidR="6970D235" w:rsidRPr="37CB4683">
        <w:t xml:space="preserve"> </w:t>
      </w:r>
    </w:p>
    <w:sectPr w:rsidR="7330E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9A4D" w14:textId="77777777" w:rsidR="00C5070E" w:rsidRDefault="00C5070E">
      <w:pPr>
        <w:spacing w:after="0" w:line="240" w:lineRule="auto"/>
      </w:pPr>
      <w:r>
        <w:separator/>
      </w:r>
    </w:p>
  </w:endnote>
  <w:endnote w:type="continuationSeparator" w:id="0">
    <w:p w14:paraId="31E9037B" w14:textId="77777777" w:rsidR="00C5070E" w:rsidRDefault="00C5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85FC" w14:textId="77777777" w:rsidR="00C5070E" w:rsidRDefault="00C5070E">
      <w:pPr>
        <w:spacing w:after="0" w:line="240" w:lineRule="auto"/>
      </w:pPr>
      <w:r>
        <w:separator/>
      </w:r>
    </w:p>
  </w:footnote>
  <w:footnote w:type="continuationSeparator" w:id="0">
    <w:p w14:paraId="0668C8A2" w14:textId="77777777" w:rsidR="00C5070E" w:rsidRDefault="00C5070E">
      <w:pPr>
        <w:spacing w:after="0" w:line="240" w:lineRule="auto"/>
      </w:pPr>
      <w:r>
        <w:continuationSeparator/>
      </w:r>
    </w:p>
  </w:footnote>
  <w:footnote w:id="1">
    <w:p w14:paraId="6B3F90A8" w14:textId="3D7779B2" w:rsidR="26888584" w:rsidRDefault="26888584" w:rsidP="26888584">
      <w:pPr>
        <w:pStyle w:val="FootnoteText"/>
        <w:rPr>
          <w:rFonts w:ascii="Aptos" w:eastAsia="Aptos" w:hAnsi="Aptos" w:cs="Aptos"/>
        </w:rPr>
      </w:pPr>
      <w:r w:rsidRPr="26888584">
        <w:rPr>
          <w:rStyle w:val="FootnoteReference"/>
        </w:rPr>
        <w:footnoteRef/>
      </w:r>
      <w:r w:rsidR="22369DF4">
        <w:t xml:space="preserve"> </w:t>
      </w:r>
      <w:r w:rsidR="22369DF4" w:rsidRPr="26888584">
        <w:rPr>
          <w:rFonts w:ascii="Aptos" w:eastAsia="Aptos" w:hAnsi="Aptos" w:cs="Aptos"/>
        </w:rPr>
        <w:t xml:space="preserve">Retired practitioner, Levine Sullivan Koch &amp; Schulz, LLP and Ballard Spahr LLP, and adjunct professor of law, Georgetown University Law Center.  This essay relies, in significant part, on my previously published scholarship including </w:t>
      </w:r>
      <w:r w:rsidR="22369DF4" w:rsidRPr="22369DF4">
        <w:rPr>
          <w:rFonts w:ascii="Aptos" w:eastAsia="Aptos" w:hAnsi="Aptos" w:cs="Aptos"/>
          <w:i/>
          <w:iCs/>
        </w:rPr>
        <w:t xml:space="preserve">Newsgathering and the Law </w:t>
      </w:r>
      <w:r w:rsidR="22369DF4" w:rsidRPr="26888584">
        <w:rPr>
          <w:rFonts w:ascii="Aptos" w:eastAsia="Aptos" w:hAnsi="Aptos" w:cs="Aptos"/>
        </w:rPr>
        <w:t xml:space="preserve">(6th ed. 2023), </w:t>
      </w:r>
      <w:r w:rsidR="22369DF4" w:rsidRPr="22369DF4">
        <w:rPr>
          <w:rFonts w:ascii="Aptos" w:eastAsia="Aptos" w:hAnsi="Aptos" w:cs="Aptos"/>
          <w:i/>
          <w:iCs/>
        </w:rPr>
        <w:t xml:space="preserve">The Subpoenas are Coming! The Subpoenas are </w:t>
      </w:r>
      <w:proofErr w:type="gramStart"/>
      <w:r w:rsidR="22369DF4" w:rsidRPr="22369DF4">
        <w:rPr>
          <w:rFonts w:ascii="Aptos" w:eastAsia="Aptos" w:hAnsi="Aptos" w:cs="Aptos"/>
          <w:i/>
          <w:iCs/>
        </w:rPr>
        <w:t>Coming!,</w:t>
      </w:r>
      <w:proofErr w:type="gramEnd"/>
      <w:r w:rsidR="22369DF4" w:rsidRPr="22369DF4">
        <w:rPr>
          <w:rFonts w:ascii="Aptos" w:eastAsia="Aptos" w:hAnsi="Aptos" w:cs="Aptos"/>
          <w:i/>
          <w:iCs/>
        </w:rPr>
        <w:t xml:space="preserve">  </w:t>
      </w:r>
      <w:r w:rsidR="22369DF4" w:rsidRPr="26888584">
        <w:rPr>
          <w:rFonts w:ascii="Aptos" w:eastAsia="Aptos" w:hAnsi="Aptos" w:cs="Aptos"/>
        </w:rPr>
        <w:t xml:space="preserve">41 Comm. Law. 1 (2025); </w:t>
      </w:r>
      <w:r w:rsidR="22369DF4" w:rsidRPr="22369DF4">
        <w:rPr>
          <w:rFonts w:ascii="Aptos" w:eastAsia="Aptos" w:hAnsi="Aptos" w:cs="Aptos"/>
          <w:i/>
          <w:iCs/>
        </w:rPr>
        <w:t xml:space="preserve">The Press Clause: The Forgotten First Amendment, </w:t>
      </w:r>
      <w:r w:rsidR="22369DF4" w:rsidRPr="22369DF4">
        <w:rPr>
          <w:rFonts w:ascii="Aptos" w:eastAsia="Aptos" w:hAnsi="Aptos" w:cs="Aptos"/>
        </w:rPr>
        <w:t xml:space="preserve">5 </w:t>
      </w:r>
      <w:r w:rsidR="22369DF4" w:rsidRPr="22369DF4">
        <w:rPr>
          <w:rFonts w:ascii="Aptos" w:eastAsia="Aptos" w:hAnsi="Aptos" w:cs="Aptos"/>
          <w:i/>
          <w:iCs/>
        </w:rPr>
        <w:t xml:space="preserve">J. of Free Speech L. </w:t>
      </w:r>
      <w:r w:rsidR="22369DF4" w:rsidRPr="26888584">
        <w:rPr>
          <w:rFonts w:ascii="Aptos" w:eastAsia="Aptos" w:hAnsi="Aptos" w:cs="Aptos"/>
        </w:rPr>
        <w:t xml:space="preserve">561 (2024), and </w:t>
      </w:r>
      <w:r w:rsidR="22369DF4" w:rsidRPr="22369DF4">
        <w:rPr>
          <w:rFonts w:ascii="Aptos" w:eastAsia="Aptos" w:hAnsi="Aptos" w:cs="Aptos"/>
          <w:i/>
          <w:iCs/>
        </w:rPr>
        <w:t>Handcuffing the Press: First Amendment Limitations on the Reach of Criminal Statutes as Applied to the Media</w:t>
      </w:r>
      <w:r w:rsidR="22369DF4" w:rsidRPr="26888584">
        <w:rPr>
          <w:rFonts w:ascii="Aptos" w:eastAsia="Aptos" w:hAnsi="Aptos" w:cs="Aptos"/>
        </w:rPr>
        <w:t xml:space="preserve">, 55 </w:t>
      </w:r>
      <w:r w:rsidR="22369DF4" w:rsidRPr="22369DF4">
        <w:rPr>
          <w:rFonts w:ascii="Aptos" w:eastAsia="Aptos" w:hAnsi="Aptos" w:cs="Aptos"/>
        </w:rPr>
        <w:t xml:space="preserve">N.Y. L. Sch. L. Rev. </w:t>
      </w:r>
      <w:r w:rsidR="22369DF4" w:rsidRPr="26888584">
        <w:rPr>
          <w:rFonts w:ascii="Aptos" w:eastAsia="Aptos" w:hAnsi="Aptos" w:cs="Aptos"/>
        </w:rPr>
        <w:t>1015 (2011).</w:t>
      </w:r>
    </w:p>
  </w:footnote>
  <w:footnote w:id="2">
    <w:p w14:paraId="7BD5ADCB" w14:textId="2D9C2E4F" w:rsidR="4D7F4BE1" w:rsidRPr="001A6F2B" w:rsidRDefault="4D7F4BE1" w:rsidP="06A62122">
      <w:pPr>
        <w:pStyle w:val="FootnoteText"/>
      </w:pPr>
      <w:r w:rsidRPr="4D7F4BE1">
        <w:rPr>
          <w:rStyle w:val="FootnoteReference"/>
        </w:rPr>
        <w:footnoteRef/>
      </w:r>
      <w:r w:rsidR="06A62122">
        <w:t xml:space="preserve"> Floyd Abrams, Sandra Baron, Lee Levine, Jacob Schriner-Briggs &amp; Isaac Barnes May, </w:t>
      </w:r>
      <w:r w:rsidR="06A62122" w:rsidRPr="06A62122">
        <w:rPr>
          <w:i/>
          <w:iCs/>
        </w:rPr>
        <w:t>The Press Clause: The Forgotten First Amendment</w:t>
      </w:r>
      <w:r w:rsidR="06A62122" w:rsidRPr="4D7F4BE1">
        <w:t xml:space="preserve">, 5 J. of Free Speech L. 561 (2024).  See also, e.g., Eugene Volokh, </w:t>
      </w:r>
      <w:r w:rsidR="06A62122" w:rsidRPr="06A62122">
        <w:rPr>
          <w:i/>
          <w:iCs/>
        </w:rPr>
        <w:t xml:space="preserve">Freedom of the Press as an Industry or for the Press as a Technology, </w:t>
      </w:r>
      <w:r w:rsidR="06A62122" w:rsidRPr="06A62122">
        <w:t xml:space="preserve">169 U. Pa. L. Rev. 459 (2012); Sonja R. West, </w:t>
      </w:r>
      <w:r w:rsidR="06A62122" w:rsidRPr="06A62122">
        <w:rPr>
          <w:i/>
          <w:iCs/>
        </w:rPr>
        <w:t>Awakening the Press Clause</w:t>
      </w:r>
      <w:r w:rsidR="06A62122" w:rsidRPr="06A62122">
        <w:t xml:space="preserve">, 2012 BYU L Rev. 1953 (2011); </w:t>
      </w:r>
      <w:proofErr w:type="spellStart"/>
      <w:r w:rsidR="06A62122" w:rsidRPr="06A62122">
        <w:t>RonNell</w:t>
      </w:r>
      <w:proofErr w:type="spellEnd"/>
      <w:r w:rsidR="06A62122" w:rsidRPr="06A62122">
        <w:t xml:space="preserve"> Andersen Jones &amp; Lisa Grow Sun, </w:t>
      </w:r>
      <w:r w:rsidR="06A62122" w:rsidRPr="06A62122">
        <w:rPr>
          <w:i/>
          <w:iCs/>
        </w:rPr>
        <w:t>Freedom of the Press in Post-Truism America</w:t>
      </w:r>
      <w:r w:rsidR="06A62122" w:rsidRPr="06A62122">
        <w:t xml:space="preserve">, 98 Wash. U. L. Rev. 419 (2020); Matthew </w:t>
      </w:r>
      <w:r w:rsidR="00513BCC">
        <w:t xml:space="preserve">L. </w:t>
      </w:r>
      <w:r w:rsidR="06A62122" w:rsidRPr="06A62122">
        <w:t xml:space="preserve">Schafer, </w:t>
      </w:r>
      <w:r w:rsidR="06A62122" w:rsidRPr="06A62122">
        <w:rPr>
          <w:i/>
          <w:iCs/>
        </w:rPr>
        <w:t>False Dichotomies and the Original Understanding of Press Freedom</w:t>
      </w:r>
      <w:r w:rsidR="06A62122" w:rsidRPr="06A62122">
        <w:t>, Medium, Mar. 22, 2025</w:t>
      </w:r>
      <w:r w:rsidR="007E0BD0">
        <w:t xml:space="preserve">; Matthew </w:t>
      </w:r>
      <w:r w:rsidR="00513BCC">
        <w:t xml:space="preserve">L. </w:t>
      </w:r>
      <w:r w:rsidR="007E0BD0">
        <w:t xml:space="preserve">Schafer, </w:t>
      </w:r>
      <w:r w:rsidR="001A6F2B">
        <w:rPr>
          <w:i/>
          <w:iCs/>
        </w:rPr>
        <w:t>A Third Possibility: The Press Clause at the Founding</w:t>
      </w:r>
      <w:r w:rsidR="001A6F2B">
        <w:t xml:space="preserve">, 36 Fordham Intel. Prop. Media &amp; Ent. L.J. </w:t>
      </w:r>
      <w:r w:rsidR="001C08CC">
        <w:t>--- (forthcoming 2026).</w:t>
      </w:r>
    </w:p>
  </w:footnote>
  <w:footnote w:id="3">
    <w:p w14:paraId="7DEA96F4" w14:textId="4F24D328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 w:rsidR="06A62122">
        <w:t xml:space="preserve"> See, e.g., Edwards v. </w:t>
      </w:r>
      <w:proofErr w:type="spellStart"/>
      <w:r w:rsidR="06A62122">
        <w:t>Nat’l</w:t>
      </w:r>
      <w:proofErr w:type="spellEnd"/>
      <w:r w:rsidR="06A62122">
        <w:t xml:space="preserve"> </w:t>
      </w:r>
      <w:proofErr w:type="spellStart"/>
      <w:r w:rsidR="06A62122">
        <w:t>Audobon</w:t>
      </w:r>
      <w:proofErr w:type="spellEnd"/>
      <w:r w:rsidR="06A62122">
        <w:t xml:space="preserve"> Soc’y, 556 F.2d 113 (2d Cir. 1977) (recognizing “neutral reportage” privilege and grounding it in the First Amendment); Harte Hanks Commc’ns Inc v. Connaughton, 491 U.S. 657, 694-95 (1989) (Blackmun, J., concurring).</w:t>
      </w:r>
    </w:p>
  </w:footnote>
  <w:footnote w:id="4">
    <w:p w14:paraId="56425C1B" w14:textId="0AF43DD2" w:rsidR="4D7F4BE1" w:rsidRDefault="4D7F4BE1" w:rsidP="06A62122">
      <w:pPr>
        <w:pStyle w:val="FootnoteText"/>
      </w:pPr>
      <w:r w:rsidRPr="4D7F4BE1">
        <w:rPr>
          <w:rStyle w:val="FootnoteReference"/>
        </w:rPr>
        <w:footnoteRef/>
      </w:r>
      <w:r w:rsidR="06A62122">
        <w:t xml:space="preserve"> See, e.g., Branzburg v. Hayes, 408 U.S. 665, 684 (1972) (“It has generally been held that the First Amendment does not guarantee the press a constitutional right of special access to information not available to the press </w:t>
      </w:r>
      <w:proofErr w:type="gramStart"/>
      <w:r w:rsidR="06A62122">
        <w:t>generally.“</w:t>
      </w:r>
      <w:proofErr w:type="gramEnd"/>
      <w:r w:rsidR="06A62122">
        <w:t xml:space="preserve">). See generally, Lee Levine, et al., 1 </w:t>
      </w:r>
      <w:r w:rsidR="06A62122" w:rsidRPr="06A62122">
        <w:rPr>
          <w:i/>
          <w:iCs/>
        </w:rPr>
        <w:t>Newsgathering and the Law C</w:t>
      </w:r>
      <w:r w:rsidR="06A62122" w:rsidRPr="06A62122">
        <w:t>hap.12 (4th ed. 2018).</w:t>
      </w:r>
    </w:p>
  </w:footnote>
  <w:footnote w:id="5">
    <w:p w14:paraId="26AB1251" w14:textId="077B6623" w:rsidR="4D7F4BE1" w:rsidRDefault="4D7F4BE1" w:rsidP="06A62122">
      <w:pPr>
        <w:pStyle w:val="FootnoteText"/>
        <w:rPr>
          <w:i/>
          <w:iCs/>
        </w:rPr>
      </w:pPr>
      <w:r w:rsidRPr="4D7F4BE1">
        <w:rPr>
          <w:rStyle w:val="FootnoteReference"/>
        </w:rPr>
        <w:footnoteRef/>
      </w:r>
      <w:r w:rsidR="06A62122">
        <w:t xml:space="preserve"> See Branzburg v. Hayes, 408 U.S. </w:t>
      </w:r>
      <w:r w:rsidR="06A62122" w:rsidRPr="4D7F4BE1">
        <w:t>at 682 (“</w:t>
      </w:r>
      <w:proofErr w:type="gramStart"/>
      <w:r w:rsidR="06A62122" w:rsidRPr="4D7F4BE1">
        <w:t>It is clear that the</w:t>
      </w:r>
      <w:proofErr w:type="gramEnd"/>
      <w:r w:rsidR="06A62122" w:rsidRPr="4D7F4BE1">
        <w:t xml:space="preserve"> First Amendment does not invalidate every incidental burdening of the press that may result from the enforcement of civil or criminal statutes of general applicability</w:t>
      </w:r>
      <w:proofErr w:type="gramStart"/>
      <w:r w:rsidR="06A62122" w:rsidRPr="4D7F4BE1">
        <w:t>. . . .</w:t>
      </w:r>
      <w:proofErr w:type="gramEnd"/>
      <w:r w:rsidR="06A62122" w:rsidRPr="4D7F4BE1">
        <w:t xml:space="preserve"> [O]</w:t>
      </w:r>
      <w:proofErr w:type="spellStart"/>
      <w:r w:rsidR="06A62122" w:rsidRPr="4D7F4BE1">
        <w:t>therwise</w:t>
      </w:r>
      <w:proofErr w:type="spellEnd"/>
      <w:r w:rsidR="06A62122" w:rsidRPr="4D7F4BE1">
        <w:t xml:space="preserve"> valid laws serving substantial public interests may be enforced against the press as against others, despite the possible burden that may be imposed.”).</w:t>
      </w:r>
      <w:r w:rsidR="06A62122" w:rsidRPr="06A62122">
        <w:rPr>
          <w:i/>
          <w:iCs/>
        </w:rPr>
        <w:t xml:space="preserve"> </w:t>
      </w:r>
    </w:p>
  </w:footnote>
  <w:footnote w:id="6">
    <w:p w14:paraId="78005D3E" w14:textId="0B9C2712" w:rsidR="4D7F4BE1" w:rsidRDefault="4D7F4BE1" w:rsidP="22369DF4">
      <w:pPr>
        <w:pStyle w:val="FootnoteText"/>
      </w:pPr>
      <w:r w:rsidRPr="4D7F4BE1">
        <w:rPr>
          <w:rStyle w:val="FootnoteReference"/>
        </w:rPr>
        <w:footnoteRef/>
      </w:r>
      <w:r w:rsidR="22369DF4">
        <w:t xml:space="preserve"> </w:t>
      </w:r>
      <w:r w:rsidR="22369DF4" w:rsidRPr="22369DF4">
        <w:t>Id.</w:t>
      </w:r>
    </w:p>
  </w:footnote>
  <w:footnote w:id="7">
    <w:p w14:paraId="629DA993" w14:textId="454DB2F7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See Cohen v. Cowles Media Co., 501 U.S. 663 (1991).</w:t>
      </w:r>
    </w:p>
  </w:footnote>
  <w:footnote w:id="8">
    <w:p w14:paraId="0A4A4507" w14:textId="35EE8E9C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See, e.g., Zurcher v. Stanford Daily, 436 U.S. 547 (1978).</w:t>
      </w:r>
    </w:p>
  </w:footnote>
  <w:footnote w:id="9">
    <w:p w14:paraId="666DA19D" w14:textId="00035708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See, e.g., United St</w:t>
      </w:r>
      <w:r w:rsidR="00625D83">
        <w:t>ates v. Rosen</w:t>
      </w:r>
      <w:r w:rsidR="00A430C6">
        <w:t xml:space="preserve">, </w:t>
      </w:r>
      <w:r w:rsidR="009D07CD">
        <w:t>445 F. Supp. 2d 602 (E.D. Va. 2006).</w:t>
      </w:r>
    </w:p>
  </w:footnote>
  <w:footnote w:id="10">
    <w:p w14:paraId="461AB7F8" w14:textId="4AEA6C5A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See, e.g., Peavy v. WFAA-TV, Inc., 221 F.3d 158 (5th Cir. 2000).</w:t>
      </w:r>
    </w:p>
  </w:footnote>
  <w:footnote w:id="11">
    <w:p w14:paraId="07C6473D" w14:textId="1A14FDE5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 w:rsidR="219241E5">
        <w:t xml:space="preserve"> See, e.g., Garcia v. County of Alameda, No. 24-6814 (9th Cir. Sept. 4, 2025).</w:t>
      </w:r>
    </w:p>
  </w:footnote>
  <w:footnote w:id="12">
    <w:p w14:paraId="77F08410" w14:textId="0AFF454D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Ashworth Hosp. Auth. v. MGN Ltd., [2002] 4 All. E.R. 193 (H.L.) at 210, See also Goodwin v. United Kingdom, 22 EHRR 123 (Feb. 22, 1996); Financial Times Ltd. v. United Kingdom, App. No. 821/03, Eur. Ct. H.R. (2009); 2 </w:t>
      </w:r>
      <w:r w:rsidRPr="4D7F4BE1">
        <w:rPr>
          <w:i/>
          <w:iCs/>
        </w:rPr>
        <w:t xml:space="preserve">Newsgathering and the Law </w:t>
      </w:r>
      <w:r w:rsidRPr="4D7F4BE1">
        <w:rPr>
          <w:b/>
          <w:bCs/>
        </w:rPr>
        <w:t>S</w:t>
      </w:r>
      <w:r w:rsidRPr="4D7F4BE1">
        <w:t>19.08, at 19-51 (6th ed. 2023) (citing cases).</w:t>
      </w:r>
      <w:r w:rsidRPr="4D7F4BE1">
        <w:rPr>
          <w:i/>
          <w:iCs/>
          <w:highlight w:val="yellow"/>
        </w:rPr>
        <w:t xml:space="preserve"> </w:t>
      </w:r>
      <w:r>
        <w:t xml:space="preserve"> </w:t>
      </w:r>
    </w:p>
  </w:footnote>
  <w:footnote w:id="13">
    <w:p w14:paraId="7818E37E" w14:textId="6334DA9C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Branzburg v. Hayes, 408 U.S. at 682-83.</w:t>
      </w:r>
    </w:p>
  </w:footnote>
  <w:footnote w:id="14">
    <w:p w14:paraId="4C214359" w14:textId="700198CC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297 U.S. 233 (1936).</w:t>
      </w:r>
    </w:p>
  </w:footnote>
  <w:footnote w:id="15">
    <w:p w14:paraId="0D488E67" w14:textId="2CAFA843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251. </w:t>
      </w:r>
    </w:p>
  </w:footnote>
  <w:footnote w:id="16">
    <w:p w14:paraId="5E67639B" w14:textId="1224C779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 w:rsidR="219241E5">
        <w:t xml:space="preserve"> Minneapolis Star Tribune Co. v. Minnesota Commissioner of Rev., 460 U.S. 575, 579-80 (1983). See generally, Lee Levine &amp; Isabella Salomao Nascimento, </w:t>
      </w:r>
      <w:r w:rsidR="219241E5" w:rsidRPr="219241E5">
        <w:rPr>
          <w:i/>
          <w:iCs/>
        </w:rPr>
        <w:t xml:space="preserve">The Subpoenas Are Coming! The Subpoenas Are </w:t>
      </w:r>
      <w:proofErr w:type="gramStart"/>
      <w:r w:rsidR="219241E5" w:rsidRPr="219241E5">
        <w:rPr>
          <w:i/>
          <w:iCs/>
        </w:rPr>
        <w:t>Coming!,</w:t>
      </w:r>
      <w:proofErr w:type="gramEnd"/>
      <w:r w:rsidR="219241E5" w:rsidRPr="219241E5">
        <w:rPr>
          <w:i/>
          <w:iCs/>
        </w:rPr>
        <w:t xml:space="preserve"> </w:t>
      </w:r>
      <w:r w:rsidR="219241E5" w:rsidRPr="219241E5">
        <w:t>41</w:t>
      </w:r>
      <w:r w:rsidR="219241E5" w:rsidRPr="219241E5">
        <w:rPr>
          <w:b/>
          <w:bCs/>
          <w:i/>
          <w:iCs/>
        </w:rPr>
        <w:t xml:space="preserve"> </w:t>
      </w:r>
      <w:r w:rsidR="219241E5" w:rsidRPr="4D7F4BE1">
        <w:t>Comm. Lawyer 1</w:t>
      </w:r>
      <w:r w:rsidR="219241E5" w:rsidRPr="4D7F4BE1">
        <w:rPr>
          <w:b/>
          <w:bCs/>
        </w:rPr>
        <w:t xml:space="preserve"> </w:t>
      </w:r>
      <w:r w:rsidR="219241E5" w:rsidRPr="4D7F4BE1">
        <w:t xml:space="preserve">(2025). </w:t>
      </w:r>
    </w:p>
  </w:footnote>
  <w:footnote w:id="17">
    <w:p w14:paraId="4C5826E9" w14:textId="5D894D1D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Grosjean v. American Press, 297 U.S. at 251.</w:t>
      </w:r>
    </w:p>
  </w:footnote>
  <w:footnote w:id="18">
    <w:p w14:paraId="0C203519" w14:textId="059585CC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250.</w:t>
      </w:r>
    </w:p>
  </w:footnote>
  <w:footnote w:id="19">
    <w:p w14:paraId="73046120" w14:textId="0FEC5ED8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</w:t>
      </w:r>
    </w:p>
  </w:footnote>
  <w:footnote w:id="20">
    <w:p w14:paraId="5FA34D44" w14:textId="70B2DF3C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 </w:t>
      </w:r>
    </w:p>
  </w:footnote>
  <w:footnote w:id="21">
    <w:p w14:paraId="2ADB303B" w14:textId="0C0DB122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460 U.S. 575 (1983).</w:t>
      </w:r>
    </w:p>
  </w:footnote>
  <w:footnote w:id="22">
    <w:p w14:paraId="21690EC2" w14:textId="4ABA8779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57-80. </w:t>
      </w:r>
    </w:p>
  </w:footnote>
  <w:footnote w:id="23">
    <w:p w14:paraId="665D7535" w14:textId="11742F32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585.</w:t>
      </w:r>
    </w:p>
  </w:footnote>
  <w:footnote w:id="24">
    <w:p w14:paraId="57235267" w14:textId="017DD3EB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 w:rsidR="219241E5">
        <w:t xml:space="preserve"> Id. </w:t>
      </w:r>
    </w:p>
  </w:footnote>
  <w:footnote w:id="25">
    <w:p w14:paraId="74378448" w14:textId="251C64FC" w:rsidR="4D7F4BE1" w:rsidRDefault="4D7F4BE1" w:rsidP="219241E5">
      <w:pPr>
        <w:pStyle w:val="FootnoteText"/>
        <w:rPr>
          <w:i/>
          <w:iCs/>
        </w:rPr>
      </w:pPr>
      <w:r w:rsidRPr="4D7F4BE1">
        <w:rPr>
          <w:rStyle w:val="FootnoteReference"/>
        </w:rPr>
        <w:footnoteRef/>
      </w:r>
      <w:r w:rsidR="219241E5">
        <w:t xml:space="preserve"> Potter Stewart</w:t>
      </w:r>
      <w:proofErr w:type="gramStart"/>
      <w:r w:rsidR="219241E5">
        <w:t xml:space="preserve">, </w:t>
      </w:r>
      <w:r w:rsidR="219241E5" w:rsidRPr="219241E5">
        <w:rPr>
          <w:i/>
          <w:iCs/>
        </w:rPr>
        <w:t>”Or</w:t>
      </w:r>
      <w:proofErr w:type="gramEnd"/>
      <w:r w:rsidR="219241E5" w:rsidRPr="219241E5">
        <w:rPr>
          <w:i/>
          <w:iCs/>
        </w:rPr>
        <w:t xml:space="preserve"> of the Press,”</w:t>
      </w:r>
      <w:r w:rsidR="219241E5">
        <w:t xml:space="preserve"> 26 Hastings L.J. 631, 631 (1975).</w:t>
      </w:r>
    </w:p>
  </w:footnote>
  <w:footnote w:id="26">
    <w:p w14:paraId="7B6BD31A" w14:textId="3E8BEE19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633.</w:t>
      </w:r>
    </w:p>
  </w:footnote>
  <w:footnote w:id="27">
    <w:p w14:paraId="52A07A31" w14:textId="6F3E8BD2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</w:t>
      </w:r>
    </w:p>
  </w:footnote>
  <w:footnote w:id="28">
    <w:p w14:paraId="0C16C6BB" w14:textId="02939C8C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</w:t>
      </w:r>
    </w:p>
  </w:footnote>
  <w:footnote w:id="29">
    <w:p w14:paraId="2F8B834E" w14:textId="2AFBD200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435 U.S. 765, 795 (1978) (Burger, C.J., concurring).</w:t>
      </w:r>
    </w:p>
  </w:footnote>
  <w:footnote w:id="30">
    <w:p w14:paraId="1DB4A5D2" w14:textId="4BD172F6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799-800.</w:t>
      </w:r>
    </w:p>
  </w:footnote>
  <w:footnote w:id="31">
    <w:p w14:paraId="1F74B352" w14:textId="57598A3F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802.</w:t>
      </w:r>
    </w:p>
  </w:footnote>
  <w:footnote w:id="32">
    <w:p w14:paraId="3A2C3402" w14:textId="22F45576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376 U.S. 254 (1964).</w:t>
      </w:r>
    </w:p>
  </w:footnote>
  <w:footnote w:id="33">
    <w:p w14:paraId="3316532C" w14:textId="4CC379ED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See, e.g., Gertz v. Robert Welch, Inc., 418 U.S. 323 (1974); Philadelphia Newspapers, Inc. v. </w:t>
      </w:r>
      <w:proofErr w:type="spellStart"/>
      <w:r>
        <w:t>Hepps</w:t>
      </w:r>
      <w:proofErr w:type="spellEnd"/>
      <w:r>
        <w:t xml:space="preserve">, 475 U.S. 767 (1986). See also Lee Levine &amp; Stephen Wermiel, </w:t>
      </w:r>
      <w:r w:rsidRPr="4D7F4BE1">
        <w:rPr>
          <w:i/>
          <w:iCs/>
        </w:rPr>
        <w:t xml:space="preserve">The Progeny: Justice William J. Brennan </w:t>
      </w:r>
      <w:proofErr w:type="gramStart"/>
      <w:r w:rsidRPr="4D7F4BE1">
        <w:rPr>
          <w:i/>
          <w:iCs/>
        </w:rPr>
        <w:t>Jr.‘</w:t>
      </w:r>
      <w:proofErr w:type="gramEnd"/>
      <w:r w:rsidRPr="4D7F4BE1">
        <w:rPr>
          <w:i/>
          <w:iCs/>
        </w:rPr>
        <w:t xml:space="preserve">s Fight to Preserve the Legacy of New York Times v. Sullivan </w:t>
      </w:r>
      <w:r w:rsidRPr="4D7F4BE1">
        <w:t xml:space="preserve">(2014). </w:t>
      </w:r>
    </w:p>
  </w:footnote>
  <w:footnote w:id="34">
    <w:p w14:paraId="66CB547D" w14:textId="6A0A0EFF" w:rsidR="219241E5" w:rsidRDefault="219241E5" w:rsidP="219241E5">
      <w:pPr>
        <w:pStyle w:val="FootnoteText"/>
      </w:pPr>
      <w:r w:rsidRPr="219241E5">
        <w:rPr>
          <w:rStyle w:val="FootnoteReference"/>
        </w:rPr>
        <w:footnoteRef/>
      </w:r>
      <w:r w:rsidR="22369DF4">
        <w:t xml:space="preserve"> 472 U.S. 749 (1985) (</w:t>
      </w:r>
      <w:proofErr w:type="spellStart"/>
      <w:r w:rsidR="22369DF4">
        <w:t>aff’g</w:t>
      </w:r>
      <w:proofErr w:type="spellEnd"/>
      <w:r w:rsidR="22369DF4">
        <w:t xml:space="preserve"> 461 A.2d 414 (Vt. 1983)).</w:t>
      </w:r>
    </w:p>
  </w:footnote>
  <w:footnote w:id="35">
    <w:p w14:paraId="523B73AE" w14:textId="5CFAD37C" w:rsidR="219241E5" w:rsidRDefault="219241E5" w:rsidP="219241E5">
      <w:pPr>
        <w:pStyle w:val="FootnoteText"/>
      </w:pPr>
      <w:r w:rsidRPr="219241E5">
        <w:rPr>
          <w:rStyle w:val="FootnoteReference"/>
        </w:rPr>
        <w:footnoteRef/>
      </w:r>
      <w:r>
        <w:t xml:space="preserve"> 418 U.S. 323 (1974).</w:t>
      </w:r>
    </w:p>
  </w:footnote>
  <w:footnote w:id="36">
    <w:p w14:paraId="704F5DDE" w14:textId="43F66847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 w:rsidR="219241E5">
        <w:t xml:space="preserve"> Dun &amp; Bradstreet, Inc. v. </w:t>
      </w:r>
      <w:proofErr w:type="spellStart"/>
      <w:r w:rsidR="219241E5">
        <w:t>Greenmoss</w:t>
      </w:r>
      <w:proofErr w:type="spellEnd"/>
      <w:r w:rsidR="219241E5">
        <w:t xml:space="preserve"> Builders, Inc., 472 U.S. at 751 (plurality opinion of Powell, J.).</w:t>
      </w:r>
    </w:p>
  </w:footnote>
  <w:footnote w:id="37">
    <w:p w14:paraId="67222F63" w14:textId="276DD775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 w:rsidR="22369DF4">
        <w:t xml:space="preserve"> Id. at 784 (Brennan, J., dissenting).</w:t>
      </w:r>
    </w:p>
  </w:footnote>
  <w:footnote w:id="38">
    <w:p w14:paraId="5CB88D03" w14:textId="26CEC8FC" w:rsidR="4D7F4BE1" w:rsidRDefault="4D7F4BE1" w:rsidP="4D7F4BE1">
      <w:pPr>
        <w:pStyle w:val="FootnoteText"/>
      </w:pPr>
      <w:r w:rsidRPr="4D7F4BE1">
        <w:rPr>
          <w:rStyle w:val="FootnoteReference"/>
        </w:rPr>
        <w:footnoteRef/>
      </w:r>
      <w:r>
        <w:t xml:space="preserve"> Id. at 783.</w:t>
      </w:r>
    </w:p>
  </w:footnote>
  <w:footnote w:id="39">
    <w:p w14:paraId="55C6D94A" w14:textId="34BD0EFC" w:rsidR="22369DF4" w:rsidRDefault="22369DF4" w:rsidP="22369DF4">
      <w:pPr>
        <w:pStyle w:val="FootnoteText"/>
      </w:pPr>
      <w:r w:rsidRPr="22369DF4">
        <w:rPr>
          <w:rStyle w:val="FootnoteReference"/>
        </w:rPr>
        <w:footnoteRef/>
      </w:r>
      <w:r>
        <w:t xml:space="preserve"> 558 U.S. 310, 352-53</w:t>
      </w:r>
      <w:r w:rsidRPr="22369DF4">
        <w:rPr>
          <w:b/>
          <w:bCs/>
        </w:rPr>
        <w:t xml:space="preserve"> </w:t>
      </w:r>
      <w:r>
        <w:t xml:space="preserve">(2010) (quoting Austin v, Michigan Chamber of Commerce, 494 U.S. 652, 691 (1990) (Scalia, J., dissenting) and citing Dun &amp; Bradstreet, Inc. v. </w:t>
      </w:r>
      <w:proofErr w:type="spellStart"/>
      <w:r>
        <w:t>Greenmoss</w:t>
      </w:r>
      <w:proofErr w:type="spellEnd"/>
      <w:r>
        <w:t xml:space="preserve"> Builders, 472 U.S. at 784 (Brennan, J., dissenting)).</w:t>
      </w:r>
    </w:p>
  </w:footnote>
  <w:footnote w:id="40">
    <w:p w14:paraId="25DCC1FD" w14:textId="67D107F4" w:rsidR="32F21F8D" w:rsidRDefault="32F21F8D" w:rsidP="32F21F8D">
      <w:pPr>
        <w:pStyle w:val="FootnoteText"/>
      </w:pPr>
      <w:r w:rsidRPr="32F21F8D">
        <w:rPr>
          <w:rStyle w:val="FootnoteReference"/>
        </w:rPr>
        <w:footnoteRef/>
      </w:r>
      <w:r>
        <w:t xml:space="preserve"> Branzburg v. Hayes, 408 U.S. 665 (1972).</w:t>
      </w:r>
    </w:p>
  </w:footnote>
  <w:footnote w:id="41">
    <w:p w14:paraId="4AD3ABA5" w14:textId="0213FC49" w:rsidR="32F21F8D" w:rsidRDefault="32F21F8D" w:rsidP="32F21F8D">
      <w:pPr>
        <w:pStyle w:val="FootnoteText"/>
      </w:pPr>
      <w:r w:rsidRPr="32F21F8D">
        <w:rPr>
          <w:rStyle w:val="FootnoteReference"/>
        </w:rPr>
        <w:footnoteRef/>
      </w:r>
      <w:r>
        <w:t xml:space="preserve"> Id. at 681.</w:t>
      </w:r>
    </w:p>
  </w:footnote>
  <w:footnote w:id="42">
    <w:p w14:paraId="6860D9E2" w14:textId="50DA5297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 at 691.</w:t>
      </w:r>
    </w:p>
  </w:footnote>
  <w:footnote w:id="43">
    <w:p w14:paraId="28E67386" w14:textId="6D505D45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 at 682.</w:t>
      </w:r>
    </w:p>
  </w:footnote>
  <w:footnote w:id="44">
    <w:p w14:paraId="297148EB" w14:textId="72D1BE61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436 U.S. 547 (1978).</w:t>
      </w:r>
    </w:p>
  </w:footnote>
  <w:footnote w:id="45">
    <w:p w14:paraId="177A72E6" w14:textId="01B1F54C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563.</w:t>
      </w:r>
    </w:p>
  </w:footnote>
  <w:footnote w:id="46">
    <w:p w14:paraId="0DDDBBE9" w14:textId="67DD63D1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566 (citing Branzburg v. Hayes, 408 U.S. 665).</w:t>
      </w:r>
    </w:p>
  </w:footnote>
  <w:footnote w:id="47">
    <w:p w14:paraId="056BB585" w14:textId="63719085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219241E5">
        <w:t xml:space="preserve"> 441 U.S. 153 (1979).</w:t>
      </w:r>
    </w:p>
  </w:footnote>
  <w:footnote w:id="48">
    <w:p w14:paraId="7F4FF599" w14:textId="4F4DB81D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174.</w:t>
      </w:r>
    </w:p>
  </w:footnote>
  <w:footnote w:id="49">
    <w:p w14:paraId="1C4E310F" w14:textId="5AB1CB57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</w:t>
      </w:r>
    </w:p>
  </w:footnote>
  <w:footnote w:id="50">
    <w:p w14:paraId="54D62CD7" w14:textId="298F36F9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501 U.S. 663 (1991).</w:t>
      </w:r>
    </w:p>
  </w:footnote>
  <w:footnote w:id="51">
    <w:p w14:paraId="4FC32DBE" w14:textId="1FD38980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 at 669.</w:t>
      </w:r>
    </w:p>
  </w:footnote>
  <w:footnote w:id="52">
    <w:p w14:paraId="5815CF63" w14:textId="36FB4C88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 at 672.</w:t>
      </w:r>
    </w:p>
  </w:footnote>
  <w:footnote w:id="53">
    <w:p w14:paraId="13A0237E" w14:textId="12861F25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777 F.3d 937 (7</w:t>
      </w:r>
      <w:r w:rsidRPr="7ABFE48D">
        <w:rPr>
          <w:vertAlign w:val="superscript"/>
        </w:rPr>
        <w:t>th</w:t>
      </w:r>
      <w:r>
        <w:t xml:space="preserve"> Cir. 2015).</w:t>
      </w:r>
    </w:p>
  </w:footnote>
  <w:footnote w:id="54">
    <w:p w14:paraId="7AA06107" w14:textId="3C6ADDEA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940-41.</w:t>
      </w:r>
    </w:p>
  </w:footnote>
  <w:footnote w:id="55">
    <w:p w14:paraId="05D7E447" w14:textId="78040CA8" w:rsidR="7ABFE48D" w:rsidRDefault="7ABFE48D" w:rsidP="7ABFE48D">
      <w:pPr>
        <w:pStyle w:val="FootnoteText"/>
        <w:rPr>
          <w:i/>
          <w:iCs/>
          <w:highlight w:val="yellow"/>
        </w:rPr>
      </w:pPr>
      <w:r w:rsidRPr="7ABFE48D">
        <w:rPr>
          <w:rStyle w:val="FootnoteReference"/>
        </w:rPr>
        <w:footnoteRef/>
      </w:r>
      <w:r>
        <w:t xml:space="preserve"> 18 U.S.C. </w:t>
      </w:r>
      <w:r w:rsidRPr="7ABFE48D">
        <w:rPr>
          <w:highlight w:val="yellow"/>
        </w:rPr>
        <w:t xml:space="preserve">S 2721, </w:t>
      </w:r>
      <w:r w:rsidRPr="7ABFE48D">
        <w:rPr>
          <w:i/>
          <w:iCs/>
          <w:highlight w:val="yellow"/>
        </w:rPr>
        <w:t>et seq.</w:t>
      </w:r>
    </w:p>
  </w:footnote>
  <w:footnote w:id="56">
    <w:p w14:paraId="02E75BD5" w14:textId="20972CBF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</w:t>
      </w:r>
    </w:p>
  </w:footnote>
  <w:footnote w:id="57">
    <w:p w14:paraId="269A7B51" w14:textId="36151CCF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777 F.3d at 948.</w:t>
      </w:r>
    </w:p>
  </w:footnote>
  <w:footnote w:id="58">
    <w:p w14:paraId="2773691C" w14:textId="33CB254B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679 F.3d 583 (7</w:t>
      </w:r>
      <w:r w:rsidRPr="7ABFE48D">
        <w:rPr>
          <w:vertAlign w:val="superscript"/>
        </w:rPr>
        <w:t>th</w:t>
      </w:r>
      <w:r>
        <w:t xml:space="preserve"> Cir. 2012).</w:t>
      </w:r>
    </w:p>
  </w:footnote>
  <w:footnote w:id="59">
    <w:p w14:paraId="13E06A2B" w14:textId="4F1F60FF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595 (citing ILL. Comp. Stat. 5/14-2(a)(1)).</w:t>
      </w:r>
    </w:p>
  </w:footnote>
  <w:footnote w:id="60">
    <w:p w14:paraId="578855B8" w14:textId="358C9DD1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219241E5">
        <w:t xml:space="preserve"> 679 F.3d at 595.</w:t>
      </w:r>
    </w:p>
  </w:footnote>
  <w:footnote w:id="61">
    <w:p w14:paraId="0829790C" w14:textId="1A10BE62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 (quoting Joseph Burstyn, Inc. v. Wilson, 343 U.S. 495, 502 (1952)). </w:t>
      </w:r>
    </w:p>
  </w:footnote>
  <w:footnote w:id="62">
    <w:p w14:paraId="7F7FEA46" w14:textId="2A39D3DF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679 F.3d at 595-96.</w:t>
      </w:r>
    </w:p>
  </w:footnote>
  <w:footnote w:id="63">
    <w:p w14:paraId="3B5B1E87" w14:textId="12BABEFB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596 (emphasis added).</w:t>
      </w:r>
    </w:p>
  </w:footnote>
  <w:footnote w:id="64">
    <w:p w14:paraId="786466E2" w14:textId="5E778AE6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</w:t>
      </w:r>
    </w:p>
  </w:footnote>
  <w:footnote w:id="65">
    <w:p w14:paraId="7EA01239" w14:textId="2A472E37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600.</w:t>
      </w:r>
    </w:p>
  </w:footnote>
  <w:footnote w:id="66">
    <w:p w14:paraId="49BF78A7" w14:textId="06F14097" w:rsidR="7ABFE48D" w:rsidRDefault="7ABFE48D" w:rsidP="7ABFE48D">
      <w:pPr>
        <w:pStyle w:val="FootnoteText"/>
        <w:rPr>
          <w:i/>
          <w:iCs/>
        </w:rPr>
      </w:pPr>
      <w:r w:rsidRPr="7ABFE48D">
        <w:rPr>
          <w:rStyle w:val="FootnoteReference"/>
        </w:rPr>
        <w:footnoteRef/>
      </w:r>
      <w:r>
        <w:t xml:space="preserve"> Id. at 602. </w:t>
      </w:r>
    </w:p>
  </w:footnote>
  <w:footnote w:id="67">
    <w:p w14:paraId="66DD6275" w14:textId="4852CC1B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777 F.3d at 947-48.</w:t>
      </w:r>
    </w:p>
  </w:footnote>
  <w:footnote w:id="68">
    <w:p w14:paraId="3D7793B9" w14:textId="4C7B1BFF" w:rsidR="219241E5" w:rsidRDefault="219241E5" w:rsidP="219241E5">
      <w:pPr>
        <w:pStyle w:val="FootnoteText"/>
      </w:pPr>
      <w:r w:rsidRPr="219241E5">
        <w:rPr>
          <w:rStyle w:val="FootnoteReference"/>
        </w:rPr>
        <w:footnoteRef/>
      </w:r>
      <w:r>
        <w:t xml:space="preserve"> Id.</w:t>
      </w:r>
    </w:p>
  </w:footnote>
  <w:footnote w:id="69">
    <w:p w14:paraId="58107D4B" w14:textId="78D61B2E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No. 24-6814 (9</w:t>
      </w:r>
      <w:r w:rsidRPr="7ABFE48D">
        <w:rPr>
          <w:vertAlign w:val="superscript"/>
        </w:rPr>
        <w:t>th</w:t>
      </w:r>
      <w:r>
        <w:t xml:space="preserve"> Cir. Sept. 4, 2025).</w:t>
      </w:r>
    </w:p>
  </w:footnote>
  <w:footnote w:id="70">
    <w:p w14:paraId="797C645B" w14:textId="2FFAD18A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Id., slip op. at 5.</w:t>
      </w:r>
    </w:p>
  </w:footnote>
  <w:footnote w:id="71">
    <w:p w14:paraId="2196BD38" w14:textId="7C2857B7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</w:t>
      </w:r>
    </w:p>
  </w:footnote>
  <w:footnote w:id="72">
    <w:p w14:paraId="10466983" w14:textId="3DCCF478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 at 10 (emphasis added).</w:t>
      </w:r>
    </w:p>
  </w:footnote>
  <w:footnote w:id="73">
    <w:p w14:paraId="7AEF7E74" w14:textId="5023B20A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11-12.</w:t>
      </w:r>
    </w:p>
  </w:footnote>
  <w:footnote w:id="74">
    <w:p w14:paraId="7DA8CDDE" w14:textId="2CA34FFF" w:rsidR="7ABFE48D" w:rsidRDefault="7ABFE48D" w:rsidP="06A62122">
      <w:pPr>
        <w:pStyle w:val="FootnoteText"/>
        <w:rPr>
          <w:i/>
          <w:iCs/>
        </w:rPr>
      </w:pPr>
      <w:r w:rsidRPr="7ABFE48D">
        <w:rPr>
          <w:rStyle w:val="FootnoteReference"/>
        </w:rPr>
        <w:footnoteRef/>
      </w:r>
      <w:r w:rsidR="06A62122">
        <w:t xml:space="preserve"> Id. at 13 (quoting ACLU v. Alvarez, 679 at 603).</w:t>
      </w:r>
    </w:p>
  </w:footnote>
  <w:footnote w:id="75">
    <w:p w14:paraId="7EDF7AFD" w14:textId="4137B4AA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45 F.4th 1059 (D.C. Cir. 2022).</w:t>
      </w:r>
    </w:p>
  </w:footnote>
  <w:footnote w:id="76">
    <w:p w14:paraId="0D4B551F" w14:textId="13531A4E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 at 1064 (quoting 43 C.F.R. </w:t>
      </w:r>
      <w:r w:rsidR="32F21F8D" w:rsidRPr="7ABFE48D">
        <w:rPr>
          <w:highlight w:val="yellow"/>
        </w:rPr>
        <w:t>S</w:t>
      </w:r>
      <w:r w:rsidR="32F21F8D">
        <w:t xml:space="preserve"> 5.12 (2020)).</w:t>
      </w:r>
    </w:p>
  </w:footnote>
  <w:footnote w:id="77">
    <w:p w14:paraId="769DC6ED" w14:textId="0103F51E" w:rsidR="7ABFE48D" w:rsidRDefault="7ABFE48D" w:rsidP="7ABFE48D">
      <w:pPr>
        <w:pStyle w:val="FootnoteText"/>
        <w:rPr>
          <w:vertAlign w:val="superscript"/>
        </w:rPr>
      </w:pPr>
      <w:r w:rsidRPr="7ABFE48D">
        <w:rPr>
          <w:rStyle w:val="FootnoteReference"/>
        </w:rPr>
        <w:footnoteRef/>
      </w:r>
      <w:r>
        <w:t xml:space="preserve"> 45 F.4th at 1064. </w:t>
      </w:r>
    </w:p>
  </w:footnote>
  <w:footnote w:id="78">
    <w:p w14:paraId="7E12187A" w14:textId="2768DD12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1068.</w:t>
      </w:r>
    </w:p>
  </w:footnote>
  <w:footnote w:id="79">
    <w:p w14:paraId="0D86562A" w14:textId="726D9952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194 F.3d 505 (4th Cir. 1999).</w:t>
      </w:r>
    </w:p>
  </w:footnote>
  <w:footnote w:id="80">
    <w:p w14:paraId="6C9C5EAA" w14:textId="7FFB9ABA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Id. at 510.</w:t>
      </w:r>
    </w:p>
  </w:footnote>
  <w:footnote w:id="81">
    <w:p w14:paraId="3B6E6201" w14:textId="2468B5FD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32F21F8D">
        <w:t xml:space="preserve"> Id. (citing Hustler Magazine, Inc. v. Falwell, 485 U.S. 46 (1988)).</w:t>
      </w:r>
    </w:p>
  </w:footnote>
  <w:footnote w:id="82">
    <w:p w14:paraId="3C653D43" w14:textId="17DCD846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 w:rsidR="219241E5">
        <w:t xml:space="preserve"> 194 F.3d at 522-23 (quoting Cohen v. Cowles Media Co., 501 U.S. at 671).</w:t>
      </w:r>
    </w:p>
  </w:footnote>
  <w:footnote w:id="83">
    <w:p w14:paraId="20AA7ECC" w14:textId="67336354" w:rsidR="7ABFE48D" w:rsidRDefault="7ABFE48D" w:rsidP="7ABFE48D">
      <w:pPr>
        <w:pStyle w:val="FootnoteText"/>
      </w:pPr>
      <w:r w:rsidRPr="7ABFE48D">
        <w:rPr>
          <w:rStyle w:val="FootnoteReference"/>
        </w:rPr>
        <w:footnoteRef/>
      </w:r>
      <w:r>
        <w:t xml:space="preserve"> 194 F.3d at 522.</w:t>
      </w:r>
    </w:p>
  </w:footnote>
  <w:footnote w:id="84">
    <w:p w14:paraId="5BEF02B5" w14:textId="1EE1C39E" w:rsidR="06A62122" w:rsidRDefault="06A62122" w:rsidP="06A62122">
      <w:pPr>
        <w:pStyle w:val="FootnoteText"/>
      </w:pPr>
      <w:r w:rsidRPr="06A62122">
        <w:rPr>
          <w:rStyle w:val="FootnoteReference"/>
        </w:rPr>
        <w:footnoteRef/>
      </w:r>
      <w:r>
        <w:t xml:space="preserve"> Id.</w:t>
      </w:r>
    </w:p>
  </w:footnote>
  <w:footnote w:id="85">
    <w:p w14:paraId="0D599AEA" w14:textId="4A14FDBF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219241E5">
        <w:t xml:space="preserve"> 206 F.3d 92 (1st Cir. 2000).</w:t>
      </w:r>
    </w:p>
  </w:footnote>
  <w:footnote w:id="86">
    <w:p w14:paraId="7B4332EF" w14:textId="0923C1EB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219241E5">
        <w:t xml:space="preserve"> Id. at 128 (citing Cohen v. Cowles Media Co., 501 U.S. 663 (1991)).</w:t>
      </w:r>
    </w:p>
  </w:footnote>
  <w:footnote w:id="87">
    <w:p w14:paraId="7CC28AAD" w14:textId="1B28599B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206 F.3d at 129.</w:t>
      </w:r>
    </w:p>
  </w:footnote>
  <w:footnote w:id="88">
    <w:p w14:paraId="6B020F8F" w14:textId="3F77AE57" w:rsidR="219241E5" w:rsidRDefault="219241E5" w:rsidP="219241E5">
      <w:pPr>
        <w:pStyle w:val="FootnoteText"/>
      </w:pPr>
      <w:r w:rsidRPr="219241E5">
        <w:rPr>
          <w:rStyle w:val="FootnoteReference"/>
        </w:rPr>
        <w:footnoteRef/>
      </w:r>
      <w:r>
        <w:t xml:space="preserve"> 376 U.S. 254 (1964).</w:t>
      </w:r>
    </w:p>
  </w:footnote>
  <w:footnote w:id="89">
    <w:p w14:paraId="3C99F2EE" w14:textId="314DE25B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219241E5">
        <w:t xml:space="preserve"> 206 F.3d at 129. </w:t>
      </w:r>
    </w:p>
  </w:footnote>
  <w:footnote w:id="90">
    <w:p w14:paraId="285ABBAB" w14:textId="1991A7E4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532 U.S. 514 (2001).</w:t>
      </w:r>
    </w:p>
  </w:footnote>
  <w:footnote w:id="91">
    <w:p w14:paraId="34AEBB23" w14:textId="75070603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521.</w:t>
      </w:r>
    </w:p>
  </w:footnote>
  <w:footnote w:id="92">
    <w:p w14:paraId="7AC7F5A2" w14:textId="5985CB61" w:rsidR="5E6F12CA" w:rsidRDefault="5E6F12CA" w:rsidP="5E6F12CA">
      <w:pPr>
        <w:pStyle w:val="FootnoteText"/>
        <w:rPr>
          <w:lang w:val="fr-FR"/>
        </w:rPr>
      </w:pPr>
      <w:r w:rsidRPr="5E6F12CA">
        <w:rPr>
          <w:rStyle w:val="FootnoteReference"/>
          <w:lang w:val="fr-FR"/>
        </w:rPr>
        <w:footnoteRef/>
      </w:r>
      <w:r w:rsidRPr="5E6F12CA">
        <w:rPr>
          <w:lang w:val="fr-FR"/>
        </w:rPr>
        <w:t xml:space="preserve"> </w:t>
      </w:r>
      <w:proofErr w:type="spellStart"/>
      <w:r w:rsidRPr="5E6F12CA">
        <w:rPr>
          <w:lang w:val="fr-FR"/>
        </w:rPr>
        <w:t>Bartnicki</w:t>
      </w:r>
      <w:proofErr w:type="spellEnd"/>
      <w:r w:rsidRPr="5E6F12CA">
        <w:rPr>
          <w:lang w:val="fr-FR"/>
        </w:rPr>
        <w:t xml:space="preserve"> v. </w:t>
      </w:r>
      <w:proofErr w:type="spellStart"/>
      <w:r w:rsidRPr="5E6F12CA">
        <w:rPr>
          <w:lang w:val="fr-FR"/>
        </w:rPr>
        <w:t>Vopper</w:t>
      </w:r>
      <w:proofErr w:type="spellEnd"/>
      <w:r w:rsidRPr="5E6F12CA">
        <w:rPr>
          <w:lang w:val="fr-FR"/>
        </w:rPr>
        <w:t xml:space="preserve">, 200 F.3d 109 (3d </w:t>
      </w:r>
      <w:proofErr w:type="spellStart"/>
      <w:r w:rsidRPr="5E6F12CA">
        <w:rPr>
          <w:lang w:val="fr-FR"/>
        </w:rPr>
        <w:t>Cir</w:t>
      </w:r>
      <w:proofErr w:type="spellEnd"/>
      <w:r w:rsidRPr="5E6F12CA">
        <w:rPr>
          <w:lang w:val="fr-FR"/>
        </w:rPr>
        <w:t xml:space="preserve">. 1999), </w:t>
      </w:r>
      <w:proofErr w:type="spellStart"/>
      <w:r w:rsidRPr="5E6F12CA">
        <w:rPr>
          <w:i/>
          <w:iCs/>
          <w:lang w:val="fr-FR"/>
        </w:rPr>
        <w:t>aff’d</w:t>
      </w:r>
      <w:proofErr w:type="spellEnd"/>
      <w:r w:rsidRPr="5E6F12CA">
        <w:rPr>
          <w:lang w:val="fr-FR"/>
        </w:rPr>
        <w:t>, 532 U.S. 514 (2001)).</w:t>
      </w:r>
    </w:p>
  </w:footnote>
  <w:footnote w:id="93">
    <w:p w14:paraId="3CCD0E70" w14:textId="730BAD89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532 U.S. at 527-28 (quoting Smith v. Daily Mail Publ’g Co., 443 U.S. 97. 103 (1979)).</w:t>
      </w:r>
    </w:p>
  </w:footnote>
  <w:footnote w:id="94">
    <w:p w14:paraId="4D7FF19A" w14:textId="1C49B696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532 U.S. at 526.</w:t>
      </w:r>
    </w:p>
  </w:footnote>
  <w:footnote w:id="95">
    <w:p w14:paraId="2DD76910" w14:textId="75630061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</w:t>
      </w:r>
    </w:p>
  </w:footnote>
  <w:footnote w:id="96">
    <w:p w14:paraId="3C5EAEBB" w14:textId="2BF53FA1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535.</w:t>
      </w:r>
    </w:p>
  </w:footnote>
  <w:footnote w:id="97">
    <w:p w14:paraId="4AA25D59" w14:textId="0CE8F514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526-27.</w:t>
      </w:r>
    </w:p>
  </w:footnote>
  <w:footnote w:id="98">
    <w:p w14:paraId="6F62C154" w14:textId="5023AFCF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18 U.S.C. </w:t>
      </w:r>
      <w:r w:rsidRPr="5E6F12CA">
        <w:rPr>
          <w:highlight w:val="yellow"/>
        </w:rPr>
        <w:t>S</w:t>
      </w:r>
      <w:r>
        <w:t xml:space="preserve"> 2511(1)(d).</w:t>
      </w:r>
    </w:p>
  </w:footnote>
  <w:footnote w:id="99">
    <w:p w14:paraId="28B96E0E" w14:textId="37196B0E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532 U.S. at 527.</w:t>
      </w:r>
    </w:p>
  </w:footnote>
  <w:footnote w:id="100">
    <w:p w14:paraId="47301CAC" w14:textId="3B1500F7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219241E5">
        <w:t xml:space="preserve"> See also 532 U.S. at 532 n. 19 </w:t>
      </w:r>
      <w:proofErr w:type="gramStart"/>
      <w:r w:rsidR="219241E5">
        <w:t>(”Our</w:t>
      </w:r>
      <w:proofErr w:type="gramEnd"/>
      <w:r w:rsidR="219241E5">
        <w:t xml:space="preserve"> holding, of course, does not apply to punishing parties for obtaining the relevant information unlawfully.”).</w:t>
      </w:r>
    </w:p>
  </w:footnote>
  <w:footnote w:id="101">
    <w:p w14:paraId="7113E267" w14:textId="0E4C7ACF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New York Times Co v. United States, 403 U.S. 713 (1971).</w:t>
      </w:r>
    </w:p>
  </w:footnote>
  <w:footnote w:id="102">
    <w:p w14:paraId="32DC7DDA" w14:textId="032DED34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219241E5">
        <w:t xml:space="preserve"> Id. at 733 (White, J., concurring); id. at 730 (Stewart, J., concurring); id sat 748 (Marshall, J., concurring); id. at 754 (Harlan, J., concurring).</w:t>
      </w:r>
    </w:p>
  </w:footnote>
  <w:footnote w:id="103">
    <w:p w14:paraId="2D4DFB37" w14:textId="235D8B9C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43A42A66">
        <w:t xml:space="preserve"> Id. at 733 (White, J., concurring).</w:t>
      </w:r>
    </w:p>
  </w:footnote>
  <w:footnote w:id="104">
    <w:p w14:paraId="7C276440" w14:textId="7C876B18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844 U.S. 1057 (4th Cir. 1988).</w:t>
      </w:r>
    </w:p>
  </w:footnote>
  <w:footnote w:id="105">
    <w:p w14:paraId="2310F738" w14:textId="720A3353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See Hartzel v. United States, 322 U.S. 680 (1944).</w:t>
      </w:r>
    </w:p>
  </w:footnote>
  <w:footnote w:id="106">
    <w:p w14:paraId="416238E6" w14:textId="2E54BBA8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844 F.2d at 1073.</w:t>
      </w:r>
    </w:p>
  </w:footnote>
  <w:footnote w:id="107">
    <w:p w14:paraId="6412E73F" w14:textId="193428F3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1081 (Wilkinson, J., concurring).</w:t>
      </w:r>
    </w:p>
  </w:footnote>
  <w:footnote w:id="108">
    <w:p w14:paraId="6FD8D907" w14:textId="4F1EB891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</w:t>
      </w:r>
    </w:p>
  </w:footnote>
  <w:footnote w:id="109">
    <w:p w14:paraId="2194C771" w14:textId="50513367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1082.</w:t>
      </w:r>
    </w:p>
  </w:footnote>
  <w:footnote w:id="110">
    <w:p w14:paraId="6DE9A731" w14:textId="7CEE25D8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445 F. Supp. 2d 602 (E.D. Va. 2006).</w:t>
      </w:r>
    </w:p>
  </w:footnote>
  <w:footnote w:id="111">
    <w:p w14:paraId="200E588A" w14:textId="3BDECA75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 at 613-16.</w:t>
      </w:r>
    </w:p>
  </w:footnote>
  <w:footnote w:id="112">
    <w:p w14:paraId="0143875D" w14:textId="11667ED9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625-43 (construing 18 U.S.C. </w:t>
      </w:r>
      <w:r w:rsidRPr="5E6F12CA">
        <w:rPr>
          <w:highlight w:val="yellow"/>
        </w:rPr>
        <w:t>S</w:t>
      </w:r>
      <w:r>
        <w:t xml:space="preserve"> 793).</w:t>
      </w:r>
    </w:p>
  </w:footnote>
  <w:footnote w:id="113">
    <w:p w14:paraId="05B204DA" w14:textId="233EC709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United States v. Rosen, 557 F.3d 182, 199 n.8 (4th Cir. 2009).</w:t>
      </w:r>
    </w:p>
  </w:footnote>
  <w:footnote w:id="114">
    <w:p w14:paraId="43372B77" w14:textId="3984711A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408 U.S. at 681.</w:t>
      </w:r>
    </w:p>
  </w:footnote>
  <w:footnote w:id="115">
    <w:p w14:paraId="179F1723" w14:textId="1C382F2C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Grosjean v. American Press Co., 297 U.S. at 250.</w:t>
      </w:r>
    </w:p>
  </w:footnote>
  <w:footnote w:id="116">
    <w:p w14:paraId="6D60DC08" w14:textId="6D2708E1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43A42A66">
        <w:t xml:space="preserve"> Minneapolis Star &amp; Tribune co. V. Minnesota Commissioner of Rev., 460 U.S. at 582-83.</w:t>
      </w:r>
    </w:p>
  </w:footnote>
  <w:footnote w:id="117">
    <w:p w14:paraId="21018562" w14:textId="226721A6" w:rsidR="5E6F12CA" w:rsidRDefault="5E6F12CA" w:rsidP="22369DF4">
      <w:pPr>
        <w:pStyle w:val="FootnoteText"/>
      </w:pPr>
      <w:r w:rsidRPr="5E6F12CA">
        <w:rPr>
          <w:rStyle w:val="FootnoteReference"/>
        </w:rPr>
        <w:footnoteRef/>
      </w:r>
      <w:r w:rsidR="22369DF4">
        <w:t xml:space="preserve"> Lee Levine &amp; Isabella Salomao Nascimento, </w:t>
      </w:r>
      <w:r w:rsidR="22369DF4" w:rsidRPr="22369DF4">
        <w:rPr>
          <w:i/>
          <w:iCs/>
        </w:rPr>
        <w:t xml:space="preserve">The Subpoenas are Coming! The Subpoenas are </w:t>
      </w:r>
      <w:proofErr w:type="gramStart"/>
      <w:r w:rsidR="22369DF4" w:rsidRPr="22369DF4">
        <w:rPr>
          <w:i/>
          <w:iCs/>
        </w:rPr>
        <w:t>Coming!</w:t>
      </w:r>
      <w:r w:rsidR="22369DF4" w:rsidRPr="22369DF4">
        <w:t>,</w:t>
      </w:r>
      <w:proofErr w:type="gramEnd"/>
      <w:r w:rsidR="22369DF4" w:rsidRPr="22369DF4">
        <w:t xml:space="preserve"> 41</w:t>
      </w:r>
      <w:r w:rsidR="22369DF4" w:rsidRPr="22369DF4">
        <w:rPr>
          <w:b/>
          <w:bCs/>
          <w:highlight w:val="yellow"/>
        </w:rPr>
        <w:t xml:space="preserve"> </w:t>
      </w:r>
      <w:r w:rsidR="22369DF4" w:rsidRPr="22369DF4">
        <w:t>Comm. Lawyer 1 (2025).</w:t>
      </w:r>
    </w:p>
  </w:footnote>
  <w:footnote w:id="118">
    <w:p w14:paraId="622BC9CD" w14:textId="1B878532" w:rsidR="5E6F12CA" w:rsidRPr="007652FD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219241E5">
        <w:t xml:space="preserve"> Id. (discussing and quoting Branzburg v. Hayes, 408 U.S. at 681).</w:t>
      </w:r>
      <w:r w:rsidR="00F87DA0">
        <w:t xml:space="preserve"> </w:t>
      </w:r>
      <w:r w:rsidR="007652FD">
        <w:t>There is, however, a substantial argument—made largely in the context of a proposed privilege grounded in federal common law</w:t>
      </w:r>
      <w:r w:rsidR="00DB62D8">
        <w:t>—</w:t>
      </w:r>
      <w:r w:rsidR="007652FD">
        <w:t xml:space="preserve">that the </w:t>
      </w:r>
      <w:r w:rsidR="007652FD">
        <w:rPr>
          <w:i/>
          <w:iCs/>
        </w:rPr>
        <w:t xml:space="preserve">Branzburg </w:t>
      </w:r>
      <w:r w:rsidR="007652FD">
        <w:t xml:space="preserve">formulation </w:t>
      </w:r>
      <w:r w:rsidR="00327B1E">
        <w:t>provides insufficient protection</w:t>
      </w:r>
      <w:r w:rsidR="00DB62D8">
        <w:t xml:space="preserve">. According to this </w:t>
      </w:r>
      <w:proofErr w:type="gramStart"/>
      <w:r w:rsidR="00DB62D8">
        <w:t xml:space="preserve">view, </w:t>
      </w:r>
      <w:r w:rsidR="00327B1E">
        <w:t xml:space="preserve"> </w:t>
      </w:r>
      <w:r w:rsidR="00350F17">
        <w:t>to</w:t>
      </w:r>
      <w:proofErr w:type="gramEnd"/>
      <w:r w:rsidR="00350F17">
        <w:t xml:space="preserve"> overcome the presumptive privilege, the government must also satisfy a</w:t>
      </w:r>
      <w:r w:rsidR="00327B1E">
        <w:t xml:space="preserve"> fourth </w:t>
      </w:r>
      <w:r w:rsidR="00350F17">
        <w:t xml:space="preserve">“prong” that </w:t>
      </w:r>
      <w:proofErr w:type="gramStart"/>
      <w:r w:rsidR="00350F17">
        <w:t xml:space="preserve">would </w:t>
      </w:r>
      <w:r w:rsidR="00327B1E">
        <w:t xml:space="preserve"> requir</w:t>
      </w:r>
      <w:r w:rsidR="00350F17">
        <w:t>e</w:t>
      </w:r>
      <w:proofErr w:type="gramEnd"/>
      <w:r w:rsidR="00350F17">
        <w:t xml:space="preserve"> the court to balance its need for the subpoenaed testimony or materials against the public interest in the </w:t>
      </w:r>
      <w:r w:rsidR="002053C5">
        <w:t xml:space="preserve">journalism at issue.  See, e.g., </w:t>
      </w:r>
      <w:r w:rsidR="00381064">
        <w:t xml:space="preserve">In re </w:t>
      </w:r>
      <w:r w:rsidR="00732A5A">
        <w:t xml:space="preserve">Grand Jury Subpoena, Judith Miller, </w:t>
      </w:r>
      <w:r w:rsidR="002E463F">
        <w:t>397</w:t>
      </w:r>
      <w:r w:rsidR="00732A5A">
        <w:t xml:space="preserve"> F.3d </w:t>
      </w:r>
      <w:r w:rsidR="002E463F">
        <w:t>964</w:t>
      </w:r>
      <w:r w:rsidR="00732A5A">
        <w:t xml:space="preserve"> (D.C. Cir. 200</w:t>
      </w:r>
      <w:r w:rsidR="002E463F">
        <w:t>5</w:t>
      </w:r>
      <w:r w:rsidR="00732A5A">
        <w:t>) (Tatel, j., concurring</w:t>
      </w:r>
      <w:r w:rsidR="007F7924">
        <w:t xml:space="preserve"> in judgment</w:t>
      </w:r>
      <w:r w:rsidR="00732A5A">
        <w:t>).</w:t>
      </w:r>
      <w:r w:rsidR="00327B1E">
        <w:t xml:space="preserve"> </w:t>
      </w:r>
    </w:p>
  </w:footnote>
  <w:footnote w:id="119">
    <w:p w14:paraId="5B7C9C26" w14:textId="096F0C94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</w:t>
      </w:r>
    </w:p>
  </w:footnote>
  <w:footnote w:id="120">
    <w:p w14:paraId="65C998F1" w14:textId="735513AB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43A42A66">
        <w:t xml:space="preserve"> Cohen v. Cowles Media Co., 501 U.S. at 669 (emphasis added).</w:t>
      </w:r>
    </w:p>
  </w:footnote>
  <w:footnote w:id="121">
    <w:p w14:paraId="49EBE53F" w14:textId="72F8401D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672.</w:t>
      </w:r>
    </w:p>
  </w:footnote>
  <w:footnote w:id="122">
    <w:p w14:paraId="167C36BC" w14:textId="4A0FB240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532 U.S. at 524.</w:t>
      </w:r>
    </w:p>
  </w:footnote>
  <w:footnote w:id="123">
    <w:p w14:paraId="04001918" w14:textId="24264AE2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 at 533.</w:t>
      </w:r>
    </w:p>
  </w:footnote>
  <w:footnote w:id="124">
    <w:p w14:paraId="2FDF1741" w14:textId="0D343C72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43A42A66">
        <w:t xml:space="preserve"> Id. at 528 (quoting Smith v. Daily Mail Publ’g Co., 443 U.S. at 103).</w:t>
      </w:r>
    </w:p>
  </w:footnote>
  <w:footnote w:id="125">
    <w:p w14:paraId="118701A8" w14:textId="3A07D99E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532 U.S. at 536 (Breyer, J., concurring).</w:t>
      </w:r>
    </w:p>
  </w:footnote>
  <w:footnote w:id="126">
    <w:p w14:paraId="3BC57FC5" w14:textId="56611DDA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 w:rsidR="43A42A66">
        <w:t xml:space="preserve"> Goodwin v. United Kingdom, 22 EHRR 123 (Feb. 22, 1996); see Financial Times Ltd. V. United Kingdom, App. No. 821/03. Eur. Ct. H.R. (2009).</w:t>
      </w:r>
    </w:p>
  </w:footnote>
  <w:footnote w:id="127">
    <w:p w14:paraId="2F664F09" w14:textId="1C37716D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R. V. National Post, [2010] 1 S.C.R. 477, 210 SCC 16 (Can.); see also Globe &amp; Mail v. Canada, 2010 SCC 41 (Can.).</w:t>
      </w:r>
    </w:p>
  </w:footnote>
  <w:footnote w:id="128">
    <w:p w14:paraId="2A8527F9" w14:textId="16FBC1B5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Grosjean v. American Press Co., 297 U.S. at 250. </w:t>
      </w:r>
    </w:p>
  </w:footnote>
  <w:footnote w:id="129">
    <w:p w14:paraId="7C89436D" w14:textId="71721802" w:rsidR="5E6F12CA" w:rsidRDefault="5E6F12CA" w:rsidP="5E6F12CA">
      <w:pPr>
        <w:pStyle w:val="FootnoteText"/>
      </w:pPr>
      <w:r w:rsidRPr="5E6F12CA">
        <w:rPr>
          <w:rStyle w:val="FootnoteReference"/>
        </w:rPr>
        <w:footnoteRef/>
      </w:r>
      <w:r>
        <w:t xml:space="preserve"> Id.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AkUVvbE14+3gW" int2:id="d9DiqOlW">
      <int2:state int2:value="Rejected" int2:type="spell"/>
    </int2:textHash>
    <int2:textHash int2:hashCode="K6+VKXgqkDlz+i" int2:id="VoSnIvIU">
      <int2:state int2:value="Rejected" int2:type="spell"/>
    </int2:textHash>
    <int2:textHash int2:hashCode="n53+19uCt6nzuf" int2:id="0QPsHmc6">
      <int2:state int2:value="Rejected" int2:type="spell"/>
    </int2:textHash>
    <int2:textHash int2:hashCode="pcwT9NyJWtchrl" int2:id="IP9wmkL2">
      <int2:state int2:value="Rejected" int2:type="spell"/>
    </int2:textHash>
    <int2:textHash int2:hashCode="ye8+R3dd552vea" int2:id="a2qk0dKu">
      <int2:state int2:value="Rejected" int2:type="spell"/>
    </int2:textHash>
    <int2:textHash int2:hashCode="9Z7MqwsW0+Os2c" int2:id="Os32ILWw">
      <int2:state int2:value="Rejected" int2:type="spell"/>
    </int2:textHash>
    <int2:textHash int2:hashCode="l95ORvzoGMRsSy" int2:id="6xnNoJvk">
      <int2:state int2:value="Rejected" int2:type="spell"/>
    </int2:textHash>
    <int2:textHash int2:hashCode="BQtJ016GrZBRtA" int2:id="lPgsllwS">
      <int2:state int2:value="Rejected" int2:type="spell"/>
    </int2:textHash>
    <int2:textHash int2:hashCode="FJHmQHsQSyOlzQ" int2:id="66Zt3Yi3">
      <int2:state int2:value="Rejected" int2:type="spell"/>
    </int2:textHash>
    <int2:bookmark int2:bookmarkName="_Int_0P2qw8lJ" int2:invalidationBookmarkName="" int2:hashCode="X8elFc+EPa9tbB" int2:id="gIUzY01U">
      <int2:state int2:value="Rejected" int2:type="gram"/>
    </int2:bookmark>
    <int2:bookmark int2:bookmarkName="_Int_2KGyyXL2" int2:invalidationBookmarkName="" int2:hashCode="7n6EYUI7RorlJ+" int2:id="5mxJqbH5">
      <int2:state int2:value="Rejected" int2:type="gram"/>
    </int2:bookmark>
    <int2:bookmark int2:bookmarkName="_Int_zMqcP81W" int2:invalidationBookmarkName="" int2:hashCode="JP71kAIvC0dWk3" int2:id="nwLTjghJ">
      <int2:state int2:value="Rejected" int2:type="gram"/>
    </int2:bookmark>
    <int2:bookmark int2:bookmarkName="_Int_WCEQCsDJ" int2:invalidationBookmarkName="" int2:hashCode="7YJmxwrbj0dtwT" int2:id="bSDUpcaZ">
      <int2:state int2:value="Rejected" int2:type="gram"/>
    </int2:bookmark>
    <int2:bookmark int2:bookmarkName="_Int_zF1pKdRb" int2:invalidationBookmarkName="" int2:hashCode="M7giAQgex8Q4y1" int2:id="01wPhQu7">
      <int2:state int2:value="Rejected" int2:type="gram"/>
    </int2:bookmark>
    <int2:bookmark int2:bookmarkName="_Int_K01whXpQ" int2:invalidationBookmarkName="" int2:hashCode="FFlp8TkNPKELHX" int2:id="E1Hefhng">
      <int2:state int2:value="Rejected" int2:type="gram"/>
    </int2:bookmark>
    <int2:bookmark int2:bookmarkName="_Int_Hd0OFytg" int2:invalidationBookmarkName="" int2:hashCode="pNPECIBecehzy4" int2:id="rwXUB23t">
      <int2:state int2:value="Rejected" int2:type="gram"/>
    </int2:bookmark>
    <int2:bookmark int2:bookmarkName="_Int_4YDkKJOk" int2:invalidationBookmarkName="" int2:hashCode="YMsH2VGp2FtwIk" int2:id="1hkJqbl9">
      <int2:state int2:value="Rejected" int2:type="gram"/>
    </int2:bookmark>
    <int2:bookmark int2:bookmarkName="_Int_sEShkrPM" int2:invalidationBookmarkName="" int2:hashCode="1LjumZMNGXzPgt" int2:id="oNcPZIz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E253E"/>
    <w:multiLevelType w:val="hybridMultilevel"/>
    <w:tmpl w:val="025A9430"/>
    <w:lvl w:ilvl="0" w:tplc="6458E9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1A801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2802E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8F62FC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DAC75E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82AD09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8786D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4BC07C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746EE3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2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61ABD3"/>
    <w:rsid w:val="0000957D"/>
    <w:rsid w:val="000297A8"/>
    <w:rsid w:val="000E74C3"/>
    <w:rsid w:val="0017639C"/>
    <w:rsid w:val="001A6F2B"/>
    <w:rsid w:val="001C08CC"/>
    <w:rsid w:val="002053C5"/>
    <w:rsid w:val="0022979C"/>
    <w:rsid w:val="002E463F"/>
    <w:rsid w:val="00327B1E"/>
    <w:rsid w:val="00336859"/>
    <w:rsid w:val="00337F85"/>
    <w:rsid w:val="00350F17"/>
    <w:rsid w:val="003785AF"/>
    <w:rsid w:val="00381064"/>
    <w:rsid w:val="0047B795"/>
    <w:rsid w:val="004905D7"/>
    <w:rsid w:val="004B4BFC"/>
    <w:rsid w:val="00513BCC"/>
    <w:rsid w:val="005950AB"/>
    <w:rsid w:val="006208A1"/>
    <w:rsid w:val="0062500C"/>
    <w:rsid w:val="00625D83"/>
    <w:rsid w:val="00660CF1"/>
    <w:rsid w:val="006F210D"/>
    <w:rsid w:val="00732A5A"/>
    <w:rsid w:val="0073A3BD"/>
    <w:rsid w:val="007652FD"/>
    <w:rsid w:val="007E0BD0"/>
    <w:rsid w:val="007F7924"/>
    <w:rsid w:val="008023D0"/>
    <w:rsid w:val="008A1EB1"/>
    <w:rsid w:val="0090EC3C"/>
    <w:rsid w:val="00916486"/>
    <w:rsid w:val="0097F874"/>
    <w:rsid w:val="009D07CD"/>
    <w:rsid w:val="00A1423F"/>
    <w:rsid w:val="00A17651"/>
    <w:rsid w:val="00A430C6"/>
    <w:rsid w:val="00A85D57"/>
    <w:rsid w:val="00AE1B65"/>
    <w:rsid w:val="00B271A2"/>
    <w:rsid w:val="00BA2443"/>
    <w:rsid w:val="00BA35B4"/>
    <w:rsid w:val="00C04939"/>
    <w:rsid w:val="00C5070E"/>
    <w:rsid w:val="00D1026D"/>
    <w:rsid w:val="00D56451"/>
    <w:rsid w:val="00DB62D8"/>
    <w:rsid w:val="00E38F6F"/>
    <w:rsid w:val="00E72E03"/>
    <w:rsid w:val="00E80865"/>
    <w:rsid w:val="00F60C41"/>
    <w:rsid w:val="00F87DA0"/>
    <w:rsid w:val="00FA1E4D"/>
    <w:rsid w:val="00FA51FB"/>
    <w:rsid w:val="00FB10B4"/>
    <w:rsid w:val="00FF4184"/>
    <w:rsid w:val="0105D04B"/>
    <w:rsid w:val="0114AE96"/>
    <w:rsid w:val="01283D1D"/>
    <w:rsid w:val="0128C644"/>
    <w:rsid w:val="01324624"/>
    <w:rsid w:val="01382F42"/>
    <w:rsid w:val="0141D39A"/>
    <w:rsid w:val="01523EDB"/>
    <w:rsid w:val="01544233"/>
    <w:rsid w:val="0156D585"/>
    <w:rsid w:val="015CC876"/>
    <w:rsid w:val="016095A5"/>
    <w:rsid w:val="016114F5"/>
    <w:rsid w:val="01688F07"/>
    <w:rsid w:val="0180912A"/>
    <w:rsid w:val="01825D99"/>
    <w:rsid w:val="0183F3F0"/>
    <w:rsid w:val="01860AA0"/>
    <w:rsid w:val="0187F801"/>
    <w:rsid w:val="01984FC3"/>
    <w:rsid w:val="01C71387"/>
    <w:rsid w:val="01C94906"/>
    <w:rsid w:val="01E710BE"/>
    <w:rsid w:val="01F29EE8"/>
    <w:rsid w:val="01F3BE70"/>
    <w:rsid w:val="0210EE55"/>
    <w:rsid w:val="02145166"/>
    <w:rsid w:val="0220AC74"/>
    <w:rsid w:val="0226B61F"/>
    <w:rsid w:val="0230F82F"/>
    <w:rsid w:val="02320511"/>
    <w:rsid w:val="023ACEFF"/>
    <w:rsid w:val="024EA2BB"/>
    <w:rsid w:val="025AB39B"/>
    <w:rsid w:val="0286CF07"/>
    <w:rsid w:val="02ADAE57"/>
    <w:rsid w:val="02B14997"/>
    <w:rsid w:val="02CC8BFE"/>
    <w:rsid w:val="02E63D19"/>
    <w:rsid w:val="02EE930A"/>
    <w:rsid w:val="0303C907"/>
    <w:rsid w:val="03046452"/>
    <w:rsid w:val="030A0033"/>
    <w:rsid w:val="0318D2C4"/>
    <w:rsid w:val="0319594F"/>
    <w:rsid w:val="0321B591"/>
    <w:rsid w:val="034F43E6"/>
    <w:rsid w:val="034F51B1"/>
    <w:rsid w:val="035810BA"/>
    <w:rsid w:val="035A2BAF"/>
    <w:rsid w:val="038D9EE0"/>
    <w:rsid w:val="03A394CA"/>
    <w:rsid w:val="03B05F7B"/>
    <w:rsid w:val="03C5CFCC"/>
    <w:rsid w:val="03DE336E"/>
    <w:rsid w:val="03F221F1"/>
    <w:rsid w:val="0404B17F"/>
    <w:rsid w:val="040FB79A"/>
    <w:rsid w:val="041121F7"/>
    <w:rsid w:val="0417096D"/>
    <w:rsid w:val="042A0A8E"/>
    <w:rsid w:val="04312C7A"/>
    <w:rsid w:val="04314E1A"/>
    <w:rsid w:val="0446F0CE"/>
    <w:rsid w:val="044B0A9C"/>
    <w:rsid w:val="0454214C"/>
    <w:rsid w:val="0455CDB2"/>
    <w:rsid w:val="045E7634"/>
    <w:rsid w:val="04608FB0"/>
    <w:rsid w:val="04681BD3"/>
    <w:rsid w:val="0475283A"/>
    <w:rsid w:val="047A7EE9"/>
    <w:rsid w:val="048069AB"/>
    <w:rsid w:val="048FC2A7"/>
    <w:rsid w:val="04C3D60B"/>
    <w:rsid w:val="04D2B78F"/>
    <w:rsid w:val="04D45509"/>
    <w:rsid w:val="04DDC25C"/>
    <w:rsid w:val="04E67D1B"/>
    <w:rsid w:val="04ED738A"/>
    <w:rsid w:val="04F32DF6"/>
    <w:rsid w:val="04FC7085"/>
    <w:rsid w:val="04FDB39B"/>
    <w:rsid w:val="0506D56A"/>
    <w:rsid w:val="0534A964"/>
    <w:rsid w:val="0539647A"/>
    <w:rsid w:val="05447D6D"/>
    <w:rsid w:val="055D352A"/>
    <w:rsid w:val="0575B866"/>
    <w:rsid w:val="05853DAF"/>
    <w:rsid w:val="05A453CC"/>
    <w:rsid w:val="05BBD615"/>
    <w:rsid w:val="05C93AC9"/>
    <w:rsid w:val="05E2C764"/>
    <w:rsid w:val="05E92E22"/>
    <w:rsid w:val="05F8700B"/>
    <w:rsid w:val="05FD2B0E"/>
    <w:rsid w:val="06069E41"/>
    <w:rsid w:val="060E5193"/>
    <w:rsid w:val="060F75DE"/>
    <w:rsid w:val="06267B3F"/>
    <w:rsid w:val="06311E5E"/>
    <w:rsid w:val="063D5B68"/>
    <w:rsid w:val="063FE22B"/>
    <w:rsid w:val="0659ED89"/>
    <w:rsid w:val="066C39CF"/>
    <w:rsid w:val="067BA0E3"/>
    <w:rsid w:val="06829BC6"/>
    <w:rsid w:val="06912AF8"/>
    <w:rsid w:val="069438EE"/>
    <w:rsid w:val="069DBAE6"/>
    <w:rsid w:val="06A62122"/>
    <w:rsid w:val="06BD0E6C"/>
    <w:rsid w:val="06C15AD7"/>
    <w:rsid w:val="06C7008C"/>
    <w:rsid w:val="06C75C60"/>
    <w:rsid w:val="06C8503F"/>
    <w:rsid w:val="06E23C1D"/>
    <w:rsid w:val="06E9EA37"/>
    <w:rsid w:val="06ECBDD6"/>
    <w:rsid w:val="07013301"/>
    <w:rsid w:val="070AEE77"/>
    <w:rsid w:val="07119483"/>
    <w:rsid w:val="07143F76"/>
    <w:rsid w:val="07381C8C"/>
    <w:rsid w:val="073E3FAF"/>
    <w:rsid w:val="07468ADC"/>
    <w:rsid w:val="074AF426"/>
    <w:rsid w:val="075428BD"/>
    <w:rsid w:val="07642C96"/>
    <w:rsid w:val="076553CB"/>
    <w:rsid w:val="078E5FCB"/>
    <w:rsid w:val="07B03AC5"/>
    <w:rsid w:val="07B41D0A"/>
    <w:rsid w:val="07BF52BC"/>
    <w:rsid w:val="07D990D0"/>
    <w:rsid w:val="07DA9186"/>
    <w:rsid w:val="07DF70FF"/>
    <w:rsid w:val="07F5588D"/>
    <w:rsid w:val="080DBD7E"/>
    <w:rsid w:val="08145A43"/>
    <w:rsid w:val="08168513"/>
    <w:rsid w:val="08179C35"/>
    <w:rsid w:val="081EC62E"/>
    <w:rsid w:val="082CC680"/>
    <w:rsid w:val="08375A9B"/>
    <w:rsid w:val="083BC0A6"/>
    <w:rsid w:val="083C8555"/>
    <w:rsid w:val="0848A798"/>
    <w:rsid w:val="086EAA62"/>
    <w:rsid w:val="08C60CEF"/>
    <w:rsid w:val="08D20B07"/>
    <w:rsid w:val="08EE0582"/>
    <w:rsid w:val="0904FD57"/>
    <w:rsid w:val="09160E4B"/>
    <w:rsid w:val="0918C61C"/>
    <w:rsid w:val="092CE9F9"/>
    <w:rsid w:val="0942699A"/>
    <w:rsid w:val="09546A13"/>
    <w:rsid w:val="095BA1DC"/>
    <w:rsid w:val="095DF33D"/>
    <w:rsid w:val="096D9493"/>
    <w:rsid w:val="096FA3D1"/>
    <w:rsid w:val="0972773F"/>
    <w:rsid w:val="0973C63E"/>
    <w:rsid w:val="097780D5"/>
    <w:rsid w:val="097D70B3"/>
    <w:rsid w:val="09803D38"/>
    <w:rsid w:val="09B504EF"/>
    <w:rsid w:val="09B7BF38"/>
    <w:rsid w:val="09CA783A"/>
    <w:rsid w:val="09D41B60"/>
    <w:rsid w:val="09D921B4"/>
    <w:rsid w:val="0A272812"/>
    <w:rsid w:val="0A27697F"/>
    <w:rsid w:val="0A3B43D4"/>
    <w:rsid w:val="0A440DB0"/>
    <w:rsid w:val="0A6D3F24"/>
    <w:rsid w:val="0A7030E4"/>
    <w:rsid w:val="0A7BBB23"/>
    <w:rsid w:val="0A87301A"/>
    <w:rsid w:val="0AA4A263"/>
    <w:rsid w:val="0AAF1BCE"/>
    <w:rsid w:val="0AD421CF"/>
    <w:rsid w:val="0AD50B96"/>
    <w:rsid w:val="0AE3C9E3"/>
    <w:rsid w:val="0AE56C60"/>
    <w:rsid w:val="0B170572"/>
    <w:rsid w:val="0B6FAD3A"/>
    <w:rsid w:val="0B8ADD11"/>
    <w:rsid w:val="0B8C1687"/>
    <w:rsid w:val="0B9EF674"/>
    <w:rsid w:val="0BA3C755"/>
    <w:rsid w:val="0BAAC49F"/>
    <w:rsid w:val="0BB20815"/>
    <w:rsid w:val="0BC8D14A"/>
    <w:rsid w:val="0BD5CA9F"/>
    <w:rsid w:val="0BDB4F05"/>
    <w:rsid w:val="0BE82D1D"/>
    <w:rsid w:val="0BEC95F0"/>
    <w:rsid w:val="0BECF9EF"/>
    <w:rsid w:val="0BFAD98C"/>
    <w:rsid w:val="0C04CE38"/>
    <w:rsid w:val="0C0AA773"/>
    <w:rsid w:val="0C18EECD"/>
    <w:rsid w:val="0C202F79"/>
    <w:rsid w:val="0C2688F0"/>
    <w:rsid w:val="0C27095E"/>
    <w:rsid w:val="0C2E46ED"/>
    <w:rsid w:val="0C73DFF4"/>
    <w:rsid w:val="0C74C9D4"/>
    <w:rsid w:val="0C7A415C"/>
    <w:rsid w:val="0C860F2A"/>
    <w:rsid w:val="0C889BB3"/>
    <w:rsid w:val="0C91F857"/>
    <w:rsid w:val="0C946A33"/>
    <w:rsid w:val="0CAC6DF2"/>
    <w:rsid w:val="0CACB2E0"/>
    <w:rsid w:val="0CB29499"/>
    <w:rsid w:val="0CC04EDC"/>
    <w:rsid w:val="0CF6ABE8"/>
    <w:rsid w:val="0D095B9C"/>
    <w:rsid w:val="0D0DB449"/>
    <w:rsid w:val="0D4782AA"/>
    <w:rsid w:val="0D574EA6"/>
    <w:rsid w:val="0D5A3A1D"/>
    <w:rsid w:val="0D628DB8"/>
    <w:rsid w:val="0D682C2F"/>
    <w:rsid w:val="0D6B747C"/>
    <w:rsid w:val="0D6F6C06"/>
    <w:rsid w:val="0D86CABC"/>
    <w:rsid w:val="0D94B54D"/>
    <w:rsid w:val="0DA13AF1"/>
    <w:rsid w:val="0DA6F7E4"/>
    <w:rsid w:val="0DAB31E9"/>
    <w:rsid w:val="0DAD8679"/>
    <w:rsid w:val="0DC07167"/>
    <w:rsid w:val="0DC5C69F"/>
    <w:rsid w:val="0DC71571"/>
    <w:rsid w:val="0DC89CA5"/>
    <w:rsid w:val="0DCB2540"/>
    <w:rsid w:val="0DD6F51A"/>
    <w:rsid w:val="0DDAC0D8"/>
    <w:rsid w:val="0DE8CAAE"/>
    <w:rsid w:val="0DE98705"/>
    <w:rsid w:val="0DEB4E3E"/>
    <w:rsid w:val="0DF81A63"/>
    <w:rsid w:val="0DFC821E"/>
    <w:rsid w:val="0DFCE704"/>
    <w:rsid w:val="0E1AB604"/>
    <w:rsid w:val="0E1FBD0F"/>
    <w:rsid w:val="0E35BF28"/>
    <w:rsid w:val="0E6EE465"/>
    <w:rsid w:val="0EB8D16E"/>
    <w:rsid w:val="0EC4A0CA"/>
    <w:rsid w:val="0ED4CD58"/>
    <w:rsid w:val="0ED5F2D0"/>
    <w:rsid w:val="0ED799FB"/>
    <w:rsid w:val="0EE59F8E"/>
    <w:rsid w:val="0EEAE6C9"/>
    <w:rsid w:val="0EF48C93"/>
    <w:rsid w:val="0EFE6901"/>
    <w:rsid w:val="0F022158"/>
    <w:rsid w:val="0F050015"/>
    <w:rsid w:val="0F0E9335"/>
    <w:rsid w:val="0F16E586"/>
    <w:rsid w:val="0F3E5169"/>
    <w:rsid w:val="0F4303DD"/>
    <w:rsid w:val="0F58C33E"/>
    <w:rsid w:val="0F5E8549"/>
    <w:rsid w:val="0F77BA6E"/>
    <w:rsid w:val="0F79F4BE"/>
    <w:rsid w:val="0F83F21F"/>
    <w:rsid w:val="0F93E3C4"/>
    <w:rsid w:val="0F9ABD05"/>
    <w:rsid w:val="0F9F9C27"/>
    <w:rsid w:val="0FB5C5A7"/>
    <w:rsid w:val="0FC0341D"/>
    <w:rsid w:val="0FCB3070"/>
    <w:rsid w:val="0FCCCD30"/>
    <w:rsid w:val="0FCCE487"/>
    <w:rsid w:val="0FD0C0F3"/>
    <w:rsid w:val="0FE9CA33"/>
    <w:rsid w:val="0FEDF727"/>
    <w:rsid w:val="0FF3032B"/>
    <w:rsid w:val="0FFCB54C"/>
    <w:rsid w:val="10016D5C"/>
    <w:rsid w:val="1005AF69"/>
    <w:rsid w:val="101070CE"/>
    <w:rsid w:val="1019C252"/>
    <w:rsid w:val="10417282"/>
    <w:rsid w:val="10562A56"/>
    <w:rsid w:val="1057106B"/>
    <w:rsid w:val="106B6D4F"/>
    <w:rsid w:val="106E1C97"/>
    <w:rsid w:val="1074B4F3"/>
    <w:rsid w:val="107F428C"/>
    <w:rsid w:val="1086E90A"/>
    <w:rsid w:val="10AC19B0"/>
    <w:rsid w:val="10C684AD"/>
    <w:rsid w:val="10E74E65"/>
    <w:rsid w:val="10FD56CB"/>
    <w:rsid w:val="111FA759"/>
    <w:rsid w:val="112A93AC"/>
    <w:rsid w:val="113C9132"/>
    <w:rsid w:val="1165FB52"/>
    <w:rsid w:val="1171CBFB"/>
    <w:rsid w:val="1178540E"/>
    <w:rsid w:val="11898492"/>
    <w:rsid w:val="119A0507"/>
    <w:rsid w:val="119D5988"/>
    <w:rsid w:val="11AE6137"/>
    <w:rsid w:val="11B88D0F"/>
    <w:rsid w:val="11BE1C4A"/>
    <w:rsid w:val="11C2FD70"/>
    <w:rsid w:val="11D8C613"/>
    <w:rsid w:val="11E92393"/>
    <w:rsid w:val="11E9B32E"/>
    <w:rsid w:val="11F5BBEB"/>
    <w:rsid w:val="12173F13"/>
    <w:rsid w:val="12304666"/>
    <w:rsid w:val="1236377E"/>
    <w:rsid w:val="12436E0C"/>
    <w:rsid w:val="124D3D57"/>
    <w:rsid w:val="125E8290"/>
    <w:rsid w:val="1267B832"/>
    <w:rsid w:val="126CFA29"/>
    <w:rsid w:val="126FE0F9"/>
    <w:rsid w:val="1275B2F9"/>
    <w:rsid w:val="127F50F3"/>
    <w:rsid w:val="128F4B92"/>
    <w:rsid w:val="12998473"/>
    <w:rsid w:val="12A25358"/>
    <w:rsid w:val="12B0F6FB"/>
    <w:rsid w:val="12CEF5C1"/>
    <w:rsid w:val="12D7770B"/>
    <w:rsid w:val="12D87ABA"/>
    <w:rsid w:val="12F53D44"/>
    <w:rsid w:val="1305D945"/>
    <w:rsid w:val="13065C37"/>
    <w:rsid w:val="131C3675"/>
    <w:rsid w:val="131DE3B6"/>
    <w:rsid w:val="131E83A4"/>
    <w:rsid w:val="131F7273"/>
    <w:rsid w:val="13251901"/>
    <w:rsid w:val="13284CF5"/>
    <w:rsid w:val="132B13C8"/>
    <w:rsid w:val="134152D6"/>
    <w:rsid w:val="1343C01E"/>
    <w:rsid w:val="134916EE"/>
    <w:rsid w:val="13575DC0"/>
    <w:rsid w:val="13616B01"/>
    <w:rsid w:val="136E9F8A"/>
    <w:rsid w:val="1371EB53"/>
    <w:rsid w:val="137446AE"/>
    <w:rsid w:val="1375FC65"/>
    <w:rsid w:val="13790092"/>
    <w:rsid w:val="137BDA72"/>
    <w:rsid w:val="1394846C"/>
    <w:rsid w:val="139B156D"/>
    <w:rsid w:val="13A50CB1"/>
    <w:rsid w:val="13B16741"/>
    <w:rsid w:val="13B83031"/>
    <w:rsid w:val="13C5198D"/>
    <w:rsid w:val="13C61B4C"/>
    <w:rsid w:val="13DF6893"/>
    <w:rsid w:val="13E04A68"/>
    <w:rsid w:val="13E17B71"/>
    <w:rsid w:val="13E8DE38"/>
    <w:rsid w:val="1402B982"/>
    <w:rsid w:val="1404D377"/>
    <w:rsid w:val="1405BD74"/>
    <w:rsid w:val="1405F962"/>
    <w:rsid w:val="140E191C"/>
    <w:rsid w:val="140EA52C"/>
    <w:rsid w:val="141DA6A6"/>
    <w:rsid w:val="141E7EBB"/>
    <w:rsid w:val="142EF188"/>
    <w:rsid w:val="144107FA"/>
    <w:rsid w:val="145702D0"/>
    <w:rsid w:val="145877D3"/>
    <w:rsid w:val="1462DA49"/>
    <w:rsid w:val="14720116"/>
    <w:rsid w:val="14B870C7"/>
    <w:rsid w:val="14C77F1F"/>
    <w:rsid w:val="14C78B8F"/>
    <w:rsid w:val="14C87336"/>
    <w:rsid w:val="14DD08C1"/>
    <w:rsid w:val="1514636C"/>
    <w:rsid w:val="15231FD8"/>
    <w:rsid w:val="152ACAB1"/>
    <w:rsid w:val="153E2CEB"/>
    <w:rsid w:val="156A7C21"/>
    <w:rsid w:val="156D87A9"/>
    <w:rsid w:val="15793BE1"/>
    <w:rsid w:val="1580B88A"/>
    <w:rsid w:val="15864979"/>
    <w:rsid w:val="159772D8"/>
    <w:rsid w:val="159BC3B6"/>
    <w:rsid w:val="15A4B2FD"/>
    <w:rsid w:val="15A9BDB4"/>
    <w:rsid w:val="15B4F2E3"/>
    <w:rsid w:val="15BEB4D8"/>
    <w:rsid w:val="15D52CCD"/>
    <w:rsid w:val="15F2706E"/>
    <w:rsid w:val="15F4C65B"/>
    <w:rsid w:val="15F9EBEE"/>
    <w:rsid w:val="162C616F"/>
    <w:rsid w:val="163CA571"/>
    <w:rsid w:val="164264A0"/>
    <w:rsid w:val="16444FB0"/>
    <w:rsid w:val="165B690D"/>
    <w:rsid w:val="165CB7CA"/>
    <w:rsid w:val="165EC3E5"/>
    <w:rsid w:val="1661921A"/>
    <w:rsid w:val="166D1C32"/>
    <w:rsid w:val="167D56B4"/>
    <w:rsid w:val="1682BC19"/>
    <w:rsid w:val="168440D0"/>
    <w:rsid w:val="169CC6BD"/>
    <w:rsid w:val="16B61E2C"/>
    <w:rsid w:val="16C860E6"/>
    <w:rsid w:val="16DDEEFB"/>
    <w:rsid w:val="16E5388A"/>
    <w:rsid w:val="16E57CDF"/>
    <w:rsid w:val="16F14C70"/>
    <w:rsid w:val="16F846CD"/>
    <w:rsid w:val="1704F864"/>
    <w:rsid w:val="174D9BED"/>
    <w:rsid w:val="17859AD7"/>
    <w:rsid w:val="178AC79A"/>
    <w:rsid w:val="178E0C9B"/>
    <w:rsid w:val="17945A4B"/>
    <w:rsid w:val="1798E8E8"/>
    <w:rsid w:val="17A68870"/>
    <w:rsid w:val="17AD3E5A"/>
    <w:rsid w:val="17B1FFCA"/>
    <w:rsid w:val="17B2E0E1"/>
    <w:rsid w:val="17C38616"/>
    <w:rsid w:val="17E4FB43"/>
    <w:rsid w:val="17E6D505"/>
    <w:rsid w:val="180B7D6E"/>
    <w:rsid w:val="18123277"/>
    <w:rsid w:val="181B40C5"/>
    <w:rsid w:val="18299EFE"/>
    <w:rsid w:val="1836BF90"/>
    <w:rsid w:val="183D0174"/>
    <w:rsid w:val="18596E53"/>
    <w:rsid w:val="1865F1A3"/>
    <w:rsid w:val="186B3CD4"/>
    <w:rsid w:val="186D6F2F"/>
    <w:rsid w:val="187A4954"/>
    <w:rsid w:val="18B61D7A"/>
    <w:rsid w:val="18BE1454"/>
    <w:rsid w:val="18E9DA71"/>
    <w:rsid w:val="18ED4A4D"/>
    <w:rsid w:val="1916C80B"/>
    <w:rsid w:val="191BABB0"/>
    <w:rsid w:val="1935DE4B"/>
    <w:rsid w:val="19480145"/>
    <w:rsid w:val="194E0305"/>
    <w:rsid w:val="1951D1BD"/>
    <w:rsid w:val="19533379"/>
    <w:rsid w:val="19557247"/>
    <w:rsid w:val="195AFBAF"/>
    <w:rsid w:val="1960178E"/>
    <w:rsid w:val="19744633"/>
    <w:rsid w:val="1991E72A"/>
    <w:rsid w:val="19926A10"/>
    <w:rsid w:val="19C08AC7"/>
    <w:rsid w:val="19DB88EB"/>
    <w:rsid w:val="19E13907"/>
    <w:rsid w:val="19E14364"/>
    <w:rsid w:val="19E9786D"/>
    <w:rsid w:val="19F74B67"/>
    <w:rsid w:val="19FCA547"/>
    <w:rsid w:val="19FD67A1"/>
    <w:rsid w:val="1A0F7C1A"/>
    <w:rsid w:val="1A1104EC"/>
    <w:rsid w:val="1A1619C5"/>
    <w:rsid w:val="1A1B899C"/>
    <w:rsid w:val="1A22FC17"/>
    <w:rsid w:val="1A493A0B"/>
    <w:rsid w:val="1A4C6EC1"/>
    <w:rsid w:val="1A569610"/>
    <w:rsid w:val="1A719A5A"/>
    <w:rsid w:val="1A7238DF"/>
    <w:rsid w:val="1A88559A"/>
    <w:rsid w:val="1A8C9BAC"/>
    <w:rsid w:val="1A95EEDB"/>
    <w:rsid w:val="1AA3AE8C"/>
    <w:rsid w:val="1AADDFD4"/>
    <w:rsid w:val="1AC11965"/>
    <w:rsid w:val="1ACD5AA9"/>
    <w:rsid w:val="1AD546AA"/>
    <w:rsid w:val="1AE66D58"/>
    <w:rsid w:val="1B02D034"/>
    <w:rsid w:val="1B0AFDE7"/>
    <w:rsid w:val="1B11CD28"/>
    <w:rsid w:val="1B2BAECF"/>
    <w:rsid w:val="1B3C12C7"/>
    <w:rsid w:val="1B4770ED"/>
    <w:rsid w:val="1B490A20"/>
    <w:rsid w:val="1B556E5D"/>
    <w:rsid w:val="1B7B8C44"/>
    <w:rsid w:val="1B7CB614"/>
    <w:rsid w:val="1B7E2BD0"/>
    <w:rsid w:val="1B846DC9"/>
    <w:rsid w:val="1B993A02"/>
    <w:rsid w:val="1B9D41B2"/>
    <w:rsid w:val="1BA8DAE9"/>
    <w:rsid w:val="1BE0FEC9"/>
    <w:rsid w:val="1BF685DE"/>
    <w:rsid w:val="1BFABF32"/>
    <w:rsid w:val="1BFB4D02"/>
    <w:rsid w:val="1BFEC358"/>
    <w:rsid w:val="1BFEC457"/>
    <w:rsid w:val="1C092F4A"/>
    <w:rsid w:val="1C110033"/>
    <w:rsid w:val="1C13B14D"/>
    <w:rsid w:val="1C2423D1"/>
    <w:rsid w:val="1C3CBBAA"/>
    <w:rsid w:val="1C4734A0"/>
    <w:rsid w:val="1C5E0EDB"/>
    <w:rsid w:val="1C676135"/>
    <w:rsid w:val="1C71F3DC"/>
    <w:rsid w:val="1CA28853"/>
    <w:rsid w:val="1CA4B82C"/>
    <w:rsid w:val="1CEAE282"/>
    <w:rsid w:val="1CEFE7B3"/>
    <w:rsid w:val="1CFED65E"/>
    <w:rsid w:val="1D09AFF3"/>
    <w:rsid w:val="1D15D1D9"/>
    <w:rsid w:val="1D2BA672"/>
    <w:rsid w:val="1D50B5FC"/>
    <w:rsid w:val="1D52D834"/>
    <w:rsid w:val="1D5C0B4C"/>
    <w:rsid w:val="1D5EECB4"/>
    <w:rsid w:val="1D624DC1"/>
    <w:rsid w:val="1D76188B"/>
    <w:rsid w:val="1D76BDB3"/>
    <w:rsid w:val="1D770E30"/>
    <w:rsid w:val="1D772583"/>
    <w:rsid w:val="1D7C1C8E"/>
    <w:rsid w:val="1DB2A87D"/>
    <w:rsid w:val="1DC4F45B"/>
    <w:rsid w:val="1DCA11AB"/>
    <w:rsid w:val="1DD5EBE6"/>
    <w:rsid w:val="1E00B955"/>
    <w:rsid w:val="1E190155"/>
    <w:rsid w:val="1E23E46F"/>
    <w:rsid w:val="1E437EF5"/>
    <w:rsid w:val="1E48AC4A"/>
    <w:rsid w:val="1E4BB8C7"/>
    <w:rsid w:val="1E577899"/>
    <w:rsid w:val="1E59EA42"/>
    <w:rsid w:val="1E5F9F31"/>
    <w:rsid w:val="1E844C98"/>
    <w:rsid w:val="1E8D13E9"/>
    <w:rsid w:val="1E9740DE"/>
    <w:rsid w:val="1E9B4CA3"/>
    <w:rsid w:val="1EA50DF2"/>
    <w:rsid w:val="1EA80C6A"/>
    <w:rsid w:val="1EC3B416"/>
    <w:rsid w:val="1EF05B0A"/>
    <w:rsid w:val="1F0FFEB8"/>
    <w:rsid w:val="1F16E7A4"/>
    <w:rsid w:val="1F2B4323"/>
    <w:rsid w:val="1F3BDB2F"/>
    <w:rsid w:val="1F427987"/>
    <w:rsid w:val="1F625516"/>
    <w:rsid w:val="1F87D3A2"/>
    <w:rsid w:val="1F89431C"/>
    <w:rsid w:val="1F8B75CA"/>
    <w:rsid w:val="1F92A8AC"/>
    <w:rsid w:val="1F9CA44B"/>
    <w:rsid w:val="1F9EB5A4"/>
    <w:rsid w:val="1FA39890"/>
    <w:rsid w:val="1FBF1F9A"/>
    <w:rsid w:val="1FC7197C"/>
    <w:rsid w:val="1FD85CF1"/>
    <w:rsid w:val="1FE2E45E"/>
    <w:rsid w:val="1FE754E5"/>
    <w:rsid w:val="2003E587"/>
    <w:rsid w:val="200DE2F6"/>
    <w:rsid w:val="20125F74"/>
    <w:rsid w:val="2015E636"/>
    <w:rsid w:val="201E6837"/>
    <w:rsid w:val="20201C8F"/>
    <w:rsid w:val="2031CBC3"/>
    <w:rsid w:val="20427CBD"/>
    <w:rsid w:val="206C6C63"/>
    <w:rsid w:val="20827C0B"/>
    <w:rsid w:val="208A3DD1"/>
    <w:rsid w:val="209633E5"/>
    <w:rsid w:val="209A37CB"/>
    <w:rsid w:val="20AE33E5"/>
    <w:rsid w:val="20AE51D0"/>
    <w:rsid w:val="20CD154F"/>
    <w:rsid w:val="20D6A897"/>
    <w:rsid w:val="20DC58C6"/>
    <w:rsid w:val="20DCAA8E"/>
    <w:rsid w:val="20E33F1A"/>
    <w:rsid w:val="20F1E984"/>
    <w:rsid w:val="2106B83D"/>
    <w:rsid w:val="210DC4E7"/>
    <w:rsid w:val="210EDCA5"/>
    <w:rsid w:val="2110B798"/>
    <w:rsid w:val="21130C40"/>
    <w:rsid w:val="211D5320"/>
    <w:rsid w:val="212E7F4B"/>
    <w:rsid w:val="2139C7F5"/>
    <w:rsid w:val="21552B0C"/>
    <w:rsid w:val="21584B7E"/>
    <w:rsid w:val="217BD02D"/>
    <w:rsid w:val="217DE988"/>
    <w:rsid w:val="219241E5"/>
    <w:rsid w:val="2196F466"/>
    <w:rsid w:val="2197F9A6"/>
    <w:rsid w:val="21BBF98F"/>
    <w:rsid w:val="21D92E76"/>
    <w:rsid w:val="21EBBDC9"/>
    <w:rsid w:val="21F96456"/>
    <w:rsid w:val="2216820D"/>
    <w:rsid w:val="221940F8"/>
    <w:rsid w:val="221EFE8F"/>
    <w:rsid w:val="2223C6E5"/>
    <w:rsid w:val="2228BA03"/>
    <w:rsid w:val="22369DF4"/>
    <w:rsid w:val="223BF45D"/>
    <w:rsid w:val="224036C1"/>
    <w:rsid w:val="224762A5"/>
    <w:rsid w:val="22506701"/>
    <w:rsid w:val="226B254D"/>
    <w:rsid w:val="2272157C"/>
    <w:rsid w:val="22727C6A"/>
    <w:rsid w:val="227C0603"/>
    <w:rsid w:val="2290A9E6"/>
    <w:rsid w:val="22A7EB9F"/>
    <w:rsid w:val="22D8CEF4"/>
    <w:rsid w:val="22DE9FFF"/>
    <w:rsid w:val="22E283DC"/>
    <w:rsid w:val="22E5933C"/>
    <w:rsid w:val="22E9565C"/>
    <w:rsid w:val="2308D414"/>
    <w:rsid w:val="2309A71C"/>
    <w:rsid w:val="2314661F"/>
    <w:rsid w:val="23167B45"/>
    <w:rsid w:val="231899F2"/>
    <w:rsid w:val="2319A9B1"/>
    <w:rsid w:val="231A8657"/>
    <w:rsid w:val="2322CDBE"/>
    <w:rsid w:val="23441028"/>
    <w:rsid w:val="234A05B8"/>
    <w:rsid w:val="234EBFED"/>
    <w:rsid w:val="234ED35F"/>
    <w:rsid w:val="2367DB65"/>
    <w:rsid w:val="23756E3C"/>
    <w:rsid w:val="2385010C"/>
    <w:rsid w:val="23993B85"/>
    <w:rsid w:val="23ED07EF"/>
    <w:rsid w:val="2405995B"/>
    <w:rsid w:val="240B2D8C"/>
    <w:rsid w:val="2414FC23"/>
    <w:rsid w:val="241CE17D"/>
    <w:rsid w:val="241FEE63"/>
    <w:rsid w:val="24281D14"/>
    <w:rsid w:val="242964AB"/>
    <w:rsid w:val="242EF43F"/>
    <w:rsid w:val="2435914A"/>
    <w:rsid w:val="243FC3F5"/>
    <w:rsid w:val="24515CE5"/>
    <w:rsid w:val="246DB8AD"/>
    <w:rsid w:val="2474C80A"/>
    <w:rsid w:val="248D84B6"/>
    <w:rsid w:val="249B6D65"/>
    <w:rsid w:val="24B12F08"/>
    <w:rsid w:val="24B79FFE"/>
    <w:rsid w:val="24BE5F0A"/>
    <w:rsid w:val="24C82B13"/>
    <w:rsid w:val="24D512AA"/>
    <w:rsid w:val="2509DD0A"/>
    <w:rsid w:val="2510D3E6"/>
    <w:rsid w:val="251997E4"/>
    <w:rsid w:val="251A4D78"/>
    <w:rsid w:val="251DA831"/>
    <w:rsid w:val="2529DB9F"/>
    <w:rsid w:val="25424EA0"/>
    <w:rsid w:val="2542BE82"/>
    <w:rsid w:val="254E9003"/>
    <w:rsid w:val="25570664"/>
    <w:rsid w:val="255B978A"/>
    <w:rsid w:val="255FE33E"/>
    <w:rsid w:val="25759931"/>
    <w:rsid w:val="2579727B"/>
    <w:rsid w:val="257B1334"/>
    <w:rsid w:val="257CBE38"/>
    <w:rsid w:val="2587AD84"/>
    <w:rsid w:val="25BC3EE7"/>
    <w:rsid w:val="25C3492E"/>
    <w:rsid w:val="25C3A883"/>
    <w:rsid w:val="25CDECBD"/>
    <w:rsid w:val="25D8E609"/>
    <w:rsid w:val="25E795CC"/>
    <w:rsid w:val="25EFD394"/>
    <w:rsid w:val="25F90F5A"/>
    <w:rsid w:val="26096993"/>
    <w:rsid w:val="2612241F"/>
    <w:rsid w:val="2617F708"/>
    <w:rsid w:val="2647154A"/>
    <w:rsid w:val="265276F6"/>
    <w:rsid w:val="265F7EAD"/>
    <w:rsid w:val="26631CA7"/>
    <w:rsid w:val="2664A15E"/>
    <w:rsid w:val="266E9259"/>
    <w:rsid w:val="26772903"/>
    <w:rsid w:val="26776A57"/>
    <w:rsid w:val="2680A788"/>
    <w:rsid w:val="2682DF47"/>
    <w:rsid w:val="26888584"/>
    <w:rsid w:val="268F86B8"/>
    <w:rsid w:val="2692CF3C"/>
    <w:rsid w:val="26A49057"/>
    <w:rsid w:val="26AE622F"/>
    <w:rsid w:val="26C263BD"/>
    <w:rsid w:val="26C5F57D"/>
    <w:rsid w:val="26D49F67"/>
    <w:rsid w:val="26D7FB4F"/>
    <w:rsid w:val="26E1EE32"/>
    <w:rsid w:val="26EBA57A"/>
    <w:rsid w:val="26EFBED2"/>
    <w:rsid w:val="270BAB79"/>
    <w:rsid w:val="270F1BBD"/>
    <w:rsid w:val="271904BE"/>
    <w:rsid w:val="272E666D"/>
    <w:rsid w:val="27455117"/>
    <w:rsid w:val="274DE5D2"/>
    <w:rsid w:val="2755D455"/>
    <w:rsid w:val="27598553"/>
    <w:rsid w:val="2761486F"/>
    <w:rsid w:val="2765915C"/>
    <w:rsid w:val="277E39D9"/>
    <w:rsid w:val="27802FC7"/>
    <w:rsid w:val="27828EAF"/>
    <w:rsid w:val="27994B43"/>
    <w:rsid w:val="27C869B7"/>
    <w:rsid w:val="27CE3A19"/>
    <w:rsid w:val="27EAFE5C"/>
    <w:rsid w:val="27EBADAD"/>
    <w:rsid w:val="27ED0FB3"/>
    <w:rsid w:val="27FA38FB"/>
    <w:rsid w:val="280EDCA9"/>
    <w:rsid w:val="280F96FA"/>
    <w:rsid w:val="2817A21E"/>
    <w:rsid w:val="28350CCC"/>
    <w:rsid w:val="2840959D"/>
    <w:rsid w:val="284AC958"/>
    <w:rsid w:val="28503CF5"/>
    <w:rsid w:val="28606703"/>
    <w:rsid w:val="2861ABD3"/>
    <w:rsid w:val="2865281F"/>
    <w:rsid w:val="2877F300"/>
    <w:rsid w:val="28887328"/>
    <w:rsid w:val="2893D132"/>
    <w:rsid w:val="289967FF"/>
    <w:rsid w:val="2899E1DB"/>
    <w:rsid w:val="28AABF84"/>
    <w:rsid w:val="28B084B1"/>
    <w:rsid w:val="28BA165E"/>
    <w:rsid w:val="28BDBABA"/>
    <w:rsid w:val="28D87F5E"/>
    <w:rsid w:val="29149F7F"/>
    <w:rsid w:val="291669E8"/>
    <w:rsid w:val="2920C20D"/>
    <w:rsid w:val="292838CA"/>
    <w:rsid w:val="292C651E"/>
    <w:rsid w:val="294058D6"/>
    <w:rsid w:val="294621A1"/>
    <w:rsid w:val="29606AFE"/>
    <w:rsid w:val="2961B383"/>
    <w:rsid w:val="299252E2"/>
    <w:rsid w:val="2993C87E"/>
    <w:rsid w:val="29950971"/>
    <w:rsid w:val="299556D9"/>
    <w:rsid w:val="29997DF0"/>
    <w:rsid w:val="29AED1C7"/>
    <w:rsid w:val="29B594BB"/>
    <w:rsid w:val="29CBCE37"/>
    <w:rsid w:val="29CFCDCD"/>
    <w:rsid w:val="29DAD661"/>
    <w:rsid w:val="29DD51DB"/>
    <w:rsid w:val="29E06FD2"/>
    <w:rsid w:val="29E5D677"/>
    <w:rsid w:val="29EB5690"/>
    <w:rsid w:val="2A0063B8"/>
    <w:rsid w:val="2A274CAD"/>
    <w:rsid w:val="2A44BF46"/>
    <w:rsid w:val="2A4EBFCE"/>
    <w:rsid w:val="2A5350FE"/>
    <w:rsid w:val="2A539473"/>
    <w:rsid w:val="2A6C5525"/>
    <w:rsid w:val="2A7278F2"/>
    <w:rsid w:val="2A886E08"/>
    <w:rsid w:val="2A8E0B9F"/>
    <w:rsid w:val="2AA591EB"/>
    <w:rsid w:val="2AC2DD37"/>
    <w:rsid w:val="2AC8266F"/>
    <w:rsid w:val="2AF31B52"/>
    <w:rsid w:val="2AF4A5FC"/>
    <w:rsid w:val="2AFDD6F0"/>
    <w:rsid w:val="2B097E09"/>
    <w:rsid w:val="2B49E1BF"/>
    <w:rsid w:val="2B4BA420"/>
    <w:rsid w:val="2B4E00BA"/>
    <w:rsid w:val="2B53DC61"/>
    <w:rsid w:val="2B8C678A"/>
    <w:rsid w:val="2B93578B"/>
    <w:rsid w:val="2B93E72D"/>
    <w:rsid w:val="2B9D7DAC"/>
    <w:rsid w:val="2BA23AC2"/>
    <w:rsid w:val="2BAA844B"/>
    <w:rsid w:val="2BB59797"/>
    <w:rsid w:val="2BB6C958"/>
    <w:rsid w:val="2BC76A69"/>
    <w:rsid w:val="2BDAEBD7"/>
    <w:rsid w:val="2BE81659"/>
    <w:rsid w:val="2BFC54BB"/>
    <w:rsid w:val="2C0E610A"/>
    <w:rsid w:val="2C216BD2"/>
    <w:rsid w:val="2C2CCB7F"/>
    <w:rsid w:val="2C3A233A"/>
    <w:rsid w:val="2C40386A"/>
    <w:rsid w:val="2C4BDD57"/>
    <w:rsid w:val="2C7C5941"/>
    <w:rsid w:val="2C905914"/>
    <w:rsid w:val="2C9D9E0D"/>
    <w:rsid w:val="2CA4FB35"/>
    <w:rsid w:val="2CC56BB0"/>
    <w:rsid w:val="2CC78F3E"/>
    <w:rsid w:val="2CCB00AA"/>
    <w:rsid w:val="2CD35CFA"/>
    <w:rsid w:val="2CD73AC6"/>
    <w:rsid w:val="2CDE8D64"/>
    <w:rsid w:val="2CEE4143"/>
    <w:rsid w:val="2CF0C98D"/>
    <w:rsid w:val="2CF895CC"/>
    <w:rsid w:val="2D124D64"/>
    <w:rsid w:val="2D23AE3F"/>
    <w:rsid w:val="2D5A76D5"/>
    <w:rsid w:val="2D75901E"/>
    <w:rsid w:val="2D7CFE17"/>
    <w:rsid w:val="2D88A49D"/>
    <w:rsid w:val="2D920108"/>
    <w:rsid w:val="2DA75651"/>
    <w:rsid w:val="2DB33F33"/>
    <w:rsid w:val="2DC2E5D5"/>
    <w:rsid w:val="2DC7761C"/>
    <w:rsid w:val="2DD1B653"/>
    <w:rsid w:val="2DD1F863"/>
    <w:rsid w:val="2DDE017B"/>
    <w:rsid w:val="2DDE045D"/>
    <w:rsid w:val="2DEFDF8C"/>
    <w:rsid w:val="2DFC00BB"/>
    <w:rsid w:val="2E179B07"/>
    <w:rsid w:val="2E266DD5"/>
    <w:rsid w:val="2E282657"/>
    <w:rsid w:val="2E30C1B8"/>
    <w:rsid w:val="2E30DA60"/>
    <w:rsid w:val="2E3D68E3"/>
    <w:rsid w:val="2E4F5184"/>
    <w:rsid w:val="2E78661C"/>
    <w:rsid w:val="2E819333"/>
    <w:rsid w:val="2E87B6FF"/>
    <w:rsid w:val="2EA143A2"/>
    <w:rsid w:val="2EE0D21B"/>
    <w:rsid w:val="2EEDBA82"/>
    <w:rsid w:val="2EF256AD"/>
    <w:rsid w:val="2EFBA451"/>
    <w:rsid w:val="2F09BB0C"/>
    <w:rsid w:val="2F26B771"/>
    <w:rsid w:val="2F366C39"/>
    <w:rsid w:val="2F377B1F"/>
    <w:rsid w:val="2F399BFB"/>
    <w:rsid w:val="2F423B48"/>
    <w:rsid w:val="2F443CD5"/>
    <w:rsid w:val="2F550DA4"/>
    <w:rsid w:val="2F6FE948"/>
    <w:rsid w:val="2F713577"/>
    <w:rsid w:val="2F9191A9"/>
    <w:rsid w:val="2F940BB2"/>
    <w:rsid w:val="2FCFE4C1"/>
    <w:rsid w:val="2FECDCF0"/>
    <w:rsid w:val="2FF0D04D"/>
    <w:rsid w:val="2FFA1531"/>
    <w:rsid w:val="300280BD"/>
    <w:rsid w:val="301BD886"/>
    <w:rsid w:val="301DADEB"/>
    <w:rsid w:val="3021FC81"/>
    <w:rsid w:val="3022130F"/>
    <w:rsid w:val="304549CA"/>
    <w:rsid w:val="30594702"/>
    <w:rsid w:val="3072BA6D"/>
    <w:rsid w:val="307A0FD1"/>
    <w:rsid w:val="307AFE16"/>
    <w:rsid w:val="308293E8"/>
    <w:rsid w:val="309134D3"/>
    <w:rsid w:val="309BC345"/>
    <w:rsid w:val="30C4009F"/>
    <w:rsid w:val="30F81CA7"/>
    <w:rsid w:val="3106FF83"/>
    <w:rsid w:val="312A128F"/>
    <w:rsid w:val="313F7E12"/>
    <w:rsid w:val="31542932"/>
    <w:rsid w:val="317D1701"/>
    <w:rsid w:val="31879081"/>
    <w:rsid w:val="318E4727"/>
    <w:rsid w:val="319DBC78"/>
    <w:rsid w:val="31C76076"/>
    <w:rsid w:val="31D3F265"/>
    <w:rsid w:val="31D6E762"/>
    <w:rsid w:val="31E8E430"/>
    <w:rsid w:val="31F029D4"/>
    <w:rsid w:val="31FB6DBC"/>
    <w:rsid w:val="3201BDA7"/>
    <w:rsid w:val="32079E47"/>
    <w:rsid w:val="321206E9"/>
    <w:rsid w:val="321E532D"/>
    <w:rsid w:val="3231B13E"/>
    <w:rsid w:val="32360E42"/>
    <w:rsid w:val="323753CB"/>
    <w:rsid w:val="324510BF"/>
    <w:rsid w:val="32735459"/>
    <w:rsid w:val="3281ED39"/>
    <w:rsid w:val="329DA06C"/>
    <w:rsid w:val="32B2CD25"/>
    <w:rsid w:val="32C6B0C9"/>
    <w:rsid w:val="32CA7A7E"/>
    <w:rsid w:val="32DEA81D"/>
    <w:rsid w:val="32F21F8D"/>
    <w:rsid w:val="331B1B50"/>
    <w:rsid w:val="333A6051"/>
    <w:rsid w:val="334E404C"/>
    <w:rsid w:val="334EC48E"/>
    <w:rsid w:val="335C93B9"/>
    <w:rsid w:val="335E1CC0"/>
    <w:rsid w:val="336A65E9"/>
    <w:rsid w:val="336BED64"/>
    <w:rsid w:val="33751D42"/>
    <w:rsid w:val="337D6BD7"/>
    <w:rsid w:val="33865786"/>
    <w:rsid w:val="339F5C70"/>
    <w:rsid w:val="33AECB39"/>
    <w:rsid w:val="33B20F25"/>
    <w:rsid w:val="33BC17AF"/>
    <w:rsid w:val="33BC1A16"/>
    <w:rsid w:val="33DE35E9"/>
    <w:rsid w:val="33E077A7"/>
    <w:rsid w:val="33E72107"/>
    <w:rsid w:val="33EAB3EB"/>
    <w:rsid w:val="34015356"/>
    <w:rsid w:val="3404C463"/>
    <w:rsid w:val="340A09BA"/>
    <w:rsid w:val="34113E8A"/>
    <w:rsid w:val="3415D0D3"/>
    <w:rsid w:val="341A61A0"/>
    <w:rsid w:val="3435E868"/>
    <w:rsid w:val="344C6599"/>
    <w:rsid w:val="345846DE"/>
    <w:rsid w:val="347DA17E"/>
    <w:rsid w:val="34827DEC"/>
    <w:rsid w:val="349D133C"/>
    <w:rsid w:val="34A2B4EB"/>
    <w:rsid w:val="34A363A3"/>
    <w:rsid w:val="34A71C94"/>
    <w:rsid w:val="34C1ABC1"/>
    <w:rsid w:val="34DDFFF4"/>
    <w:rsid w:val="34DF467B"/>
    <w:rsid w:val="34E2C705"/>
    <w:rsid w:val="34F4EA60"/>
    <w:rsid w:val="34F5BCA6"/>
    <w:rsid w:val="34FE8B10"/>
    <w:rsid w:val="350E0C13"/>
    <w:rsid w:val="352904CE"/>
    <w:rsid w:val="3537A3A6"/>
    <w:rsid w:val="353F391C"/>
    <w:rsid w:val="35426B29"/>
    <w:rsid w:val="35451293"/>
    <w:rsid w:val="35465CA0"/>
    <w:rsid w:val="35560F99"/>
    <w:rsid w:val="356A5A13"/>
    <w:rsid w:val="356DECEC"/>
    <w:rsid w:val="3573D0C7"/>
    <w:rsid w:val="3580E384"/>
    <w:rsid w:val="359DA547"/>
    <w:rsid w:val="35B59574"/>
    <w:rsid w:val="35BA9D31"/>
    <w:rsid w:val="35D6B3FD"/>
    <w:rsid w:val="35E61EDE"/>
    <w:rsid w:val="35E8FD63"/>
    <w:rsid w:val="35F30FFB"/>
    <w:rsid w:val="35F92CB9"/>
    <w:rsid w:val="35FB6654"/>
    <w:rsid w:val="3607D076"/>
    <w:rsid w:val="36085C51"/>
    <w:rsid w:val="360965C0"/>
    <w:rsid w:val="3630FD3F"/>
    <w:rsid w:val="3644973F"/>
    <w:rsid w:val="36492051"/>
    <w:rsid w:val="365324EF"/>
    <w:rsid w:val="3664EEBD"/>
    <w:rsid w:val="36716A84"/>
    <w:rsid w:val="367640AA"/>
    <w:rsid w:val="36945917"/>
    <w:rsid w:val="36A80E99"/>
    <w:rsid w:val="36BF30A7"/>
    <w:rsid w:val="36C97EA4"/>
    <w:rsid w:val="36E99634"/>
    <w:rsid w:val="36F3543A"/>
    <w:rsid w:val="370DB679"/>
    <w:rsid w:val="372A2882"/>
    <w:rsid w:val="372C0662"/>
    <w:rsid w:val="37305C79"/>
    <w:rsid w:val="373A1120"/>
    <w:rsid w:val="374DB318"/>
    <w:rsid w:val="3758F3AE"/>
    <w:rsid w:val="37651627"/>
    <w:rsid w:val="376E82B6"/>
    <w:rsid w:val="378ED9E4"/>
    <w:rsid w:val="37A34CF7"/>
    <w:rsid w:val="37A851D3"/>
    <w:rsid w:val="37AC11D8"/>
    <w:rsid w:val="37B7C3D9"/>
    <w:rsid w:val="37C9262E"/>
    <w:rsid w:val="37CB4683"/>
    <w:rsid w:val="37DA512A"/>
    <w:rsid w:val="37EDC442"/>
    <w:rsid w:val="37F86A4C"/>
    <w:rsid w:val="3820637E"/>
    <w:rsid w:val="38207170"/>
    <w:rsid w:val="383FA1D2"/>
    <w:rsid w:val="38768C15"/>
    <w:rsid w:val="389B20F8"/>
    <w:rsid w:val="38AD34E5"/>
    <w:rsid w:val="38B26677"/>
    <w:rsid w:val="390D6817"/>
    <w:rsid w:val="39394698"/>
    <w:rsid w:val="39420FAF"/>
    <w:rsid w:val="3944B1FE"/>
    <w:rsid w:val="394573E8"/>
    <w:rsid w:val="394688B0"/>
    <w:rsid w:val="3990A176"/>
    <w:rsid w:val="3993577C"/>
    <w:rsid w:val="39965F21"/>
    <w:rsid w:val="39ACA346"/>
    <w:rsid w:val="39D01D4F"/>
    <w:rsid w:val="39D025CA"/>
    <w:rsid w:val="39D47BE5"/>
    <w:rsid w:val="39E5ACFA"/>
    <w:rsid w:val="39F6BA4E"/>
    <w:rsid w:val="3A03E3C9"/>
    <w:rsid w:val="3A0F5EEA"/>
    <w:rsid w:val="3A1A5585"/>
    <w:rsid w:val="3A1C0B4C"/>
    <w:rsid w:val="3A1F4B63"/>
    <w:rsid w:val="3A2DCED4"/>
    <w:rsid w:val="3A3D48F8"/>
    <w:rsid w:val="3A46D4F4"/>
    <w:rsid w:val="3A51D25F"/>
    <w:rsid w:val="3A70BE0D"/>
    <w:rsid w:val="3A7191BE"/>
    <w:rsid w:val="3A99BFC0"/>
    <w:rsid w:val="3AAA8329"/>
    <w:rsid w:val="3AAAFC21"/>
    <w:rsid w:val="3AB7CCD6"/>
    <w:rsid w:val="3ACAAD06"/>
    <w:rsid w:val="3AD682D9"/>
    <w:rsid w:val="3ADACFCF"/>
    <w:rsid w:val="3AF0DF1D"/>
    <w:rsid w:val="3AF7328D"/>
    <w:rsid w:val="3B07C39E"/>
    <w:rsid w:val="3B0D0B1C"/>
    <w:rsid w:val="3B128D5A"/>
    <w:rsid w:val="3B3B8942"/>
    <w:rsid w:val="3B439287"/>
    <w:rsid w:val="3B47FCE7"/>
    <w:rsid w:val="3B4BD763"/>
    <w:rsid w:val="3B52682C"/>
    <w:rsid w:val="3B58B207"/>
    <w:rsid w:val="3B639C5E"/>
    <w:rsid w:val="3B802702"/>
    <w:rsid w:val="3B8DB1E3"/>
    <w:rsid w:val="3B90F593"/>
    <w:rsid w:val="3B945DC0"/>
    <w:rsid w:val="3BA6C8B5"/>
    <w:rsid w:val="3BAC2506"/>
    <w:rsid w:val="3BB5B827"/>
    <w:rsid w:val="3BB62D56"/>
    <w:rsid w:val="3BC217E7"/>
    <w:rsid w:val="3BD3C5CC"/>
    <w:rsid w:val="3BD4D79B"/>
    <w:rsid w:val="3BDA5FEA"/>
    <w:rsid w:val="3BDBB46D"/>
    <w:rsid w:val="3BE4EFBE"/>
    <w:rsid w:val="3C04A0C0"/>
    <w:rsid w:val="3C1217CA"/>
    <w:rsid w:val="3C18811A"/>
    <w:rsid w:val="3C2B3A8E"/>
    <w:rsid w:val="3C2B7D11"/>
    <w:rsid w:val="3C3258E8"/>
    <w:rsid w:val="3C65669A"/>
    <w:rsid w:val="3C66F6C3"/>
    <w:rsid w:val="3C7E58CB"/>
    <w:rsid w:val="3C8F97D5"/>
    <w:rsid w:val="3C93C447"/>
    <w:rsid w:val="3C9A7DD0"/>
    <w:rsid w:val="3CA2F330"/>
    <w:rsid w:val="3CA3637C"/>
    <w:rsid w:val="3CAC4CD5"/>
    <w:rsid w:val="3CB0486F"/>
    <w:rsid w:val="3CBA1614"/>
    <w:rsid w:val="3CD7CE5E"/>
    <w:rsid w:val="3CDA4D60"/>
    <w:rsid w:val="3CE8411E"/>
    <w:rsid w:val="3CED0359"/>
    <w:rsid w:val="3CF20536"/>
    <w:rsid w:val="3CFF4BD3"/>
    <w:rsid w:val="3D2D2FCD"/>
    <w:rsid w:val="3D2DD470"/>
    <w:rsid w:val="3D50FA19"/>
    <w:rsid w:val="3D616ABF"/>
    <w:rsid w:val="3D63A6B3"/>
    <w:rsid w:val="3D6589FB"/>
    <w:rsid w:val="3D8A54F5"/>
    <w:rsid w:val="3D8EA39D"/>
    <w:rsid w:val="3D91236E"/>
    <w:rsid w:val="3DBF9361"/>
    <w:rsid w:val="3DCB0418"/>
    <w:rsid w:val="3DDDB4C9"/>
    <w:rsid w:val="3DE5FC43"/>
    <w:rsid w:val="3DF60AFD"/>
    <w:rsid w:val="3DF86AD6"/>
    <w:rsid w:val="3E019CCC"/>
    <w:rsid w:val="3E075236"/>
    <w:rsid w:val="3E0FE358"/>
    <w:rsid w:val="3E102572"/>
    <w:rsid w:val="3E1D101F"/>
    <w:rsid w:val="3E4E22F4"/>
    <w:rsid w:val="3E4FB034"/>
    <w:rsid w:val="3E5935E7"/>
    <w:rsid w:val="3E64FC77"/>
    <w:rsid w:val="3E687904"/>
    <w:rsid w:val="3E763AFD"/>
    <w:rsid w:val="3E7757BD"/>
    <w:rsid w:val="3E85BA0C"/>
    <w:rsid w:val="3E8F070F"/>
    <w:rsid w:val="3EACA6E3"/>
    <w:rsid w:val="3EDA79BB"/>
    <w:rsid w:val="3EDB729F"/>
    <w:rsid w:val="3EE7F3F0"/>
    <w:rsid w:val="3EEEA368"/>
    <w:rsid w:val="3F11B135"/>
    <w:rsid w:val="3F16866B"/>
    <w:rsid w:val="3F27C510"/>
    <w:rsid w:val="3F2899FD"/>
    <w:rsid w:val="3F31A651"/>
    <w:rsid w:val="3F4161EA"/>
    <w:rsid w:val="3F50CE5D"/>
    <w:rsid w:val="3F641EBD"/>
    <w:rsid w:val="3F6DB2D4"/>
    <w:rsid w:val="3F6DEFC7"/>
    <w:rsid w:val="3F6EB5C4"/>
    <w:rsid w:val="3F700EBD"/>
    <w:rsid w:val="3F7AD1FB"/>
    <w:rsid w:val="3F9EEFB2"/>
    <w:rsid w:val="3FA57177"/>
    <w:rsid w:val="3FB013AD"/>
    <w:rsid w:val="3FBDD137"/>
    <w:rsid w:val="3FC31285"/>
    <w:rsid w:val="3FE609D5"/>
    <w:rsid w:val="3FEDDC89"/>
    <w:rsid w:val="3FF6DFC7"/>
    <w:rsid w:val="40046F24"/>
    <w:rsid w:val="4006E75E"/>
    <w:rsid w:val="4032F0EA"/>
    <w:rsid w:val="404E530A"/>
    <w:rsid w:val="40511698"/>
    <w:rsid w:val="4053996E"/>
    <w:rsid w:val="40600211"/>
    <w:rsid w:val="4066F3CB"/>
    <w:rsid w:val="406E9D9C"/>
    <w:rsid w:val="407DD1C8"/>
    <w:rsid w:val="40800577"/>
    <w:rsid w:val="408441BF"/>
    <w:rsid w:val="40850500"/>
    <w:rsid w:val="4086B8BB"/>
    <w:rsid w:val="4094C20C"/>
    <w:rsid w:val="40A16BE0"/>
    <w:rsid w:val="40A28EA2"/>
    <w:rsid w:val="40A5E199"/>
    <w:rsid w:val="40B89F50"/>
    <w:rsid w:val="40D9E478"/>
    <w:rsid w:val="40F39B41"/>
    <w:rsid w:val="4116594B"/>
    <w:rsid w:val="411DA993"/>
    <w:rsid w:val="41297BC5"/>
    <w:rsid w:val="4159A34F"/>
    <w:rsid w:val="415ABB5C"/>
    <w:rsid w:val="41603E1D"/>
    <w:rsid w:val="41609F5C"/>
    <w:rsid w:val="4185C188"/>
    <w:rsid w:val="4195374B"/>
    <w:rsid w:val="41BE9C88"/>
    <w:rsid w:val="41E76FA0"/>
    <w:rsid w:val="41FF06B5"/>
    <w:rsid w:val="420022FB"/>
    <w:rsid w:val="42070A26"/>
    <w:rsid w:val="4208768F"/>
    <w:rsid w:val="42281ABB"/>
    <w:rsid w:val="42325293"/>
    <w:rsid w:val="423BD773"/>
    <w:rsid w:val="423CA5A5"/>
    <w:rsid w:val="424B013C"/>
    <w:rsid w:val="425B90A5"/>
    <w:rsid w:val="4261FDBB"/>
    <w:rsid w:val="427CD2B0"/>
    <w:rsid w:val="42835CC3"/>
    <w:rsid w:val="428E22D6"/>
    <w:rsid w:val="42916A75"/>
    <w:rsid w:val="42958C3A"/>
    <w:rsid w:val="42A4328E"/>
    <w:rsid w:val="42A76653"/>
    <w:rsid w:val="42B5E8D6"/>
    <w:rsid w:val="42BBFEC7"/>
    <w:rsid w:val="42BD301C"/>
    <w:rsid w:val="42BE4DC4"/>
    <w:rsid w:val="42C32D22"/>
    <w:rsid w:val="42C5C766"/>
    <w:rsid w:val="42D5AF84"/>
    <w:rsid w:val="42D9E8C6"/>
    <w:rsid w:val="42F987AC"/>
    <w:rsid w:val="42FE37F9"/>
    <w:rsid w:val="430266ED"/>
    <w:rsid w:val="43370182"/>
    <w:rsid w:val="435DDEF2"/>
    <w:rsid w:val="4364A145"/>
    <w:rsid w:val="436AE6CE"/>
    <w:rsid w:val="437C1FEE"/>
    <w:rsid w:val="4385D935"/>
    <w:rsid w:val="439C7C93"/>
    <w:rsid w:val="43A42A66"/>
    <w:rsid w:val="43AF501E"/>
    <w:rsid w:val="43B238D1"/>
    <w:rsid w:val="43CD10C3"/>
    <w:rsid w:val="43F905FA"/>
    <w:rsid w:val="440AFA41"/>
    <w:rsid w:val="440C0643"/>
    <w:rsid w:val="4417DBDD"/>
    <w:rsid w:val="4424FEF6"/>
    <w:rsid w:val="442F57A5"/>
    <w:rsid w:val="44368435"/>
    <w:rsid w:val="44383442"/>
    <w:rsid w:val="443DAF32"/>
    <w:rsid w:val="44535748"/>
    <w:rsid w:val="4453730E"/>
    <w:rsid w:val="4458A57E"/>
    <w:rsid w:val="446A203D"/>
    <w:rsid w:val="4471E917"/>
    <w:rsid w:val="447E7E80"/>
    <w:rsid w:val="448D1B70"/>
    <w:rsid w:val="44ABF23F"/>
    <w:rsid w:val="44B008AD"/>
    <w:rsid w:val="44B112B6"/>
    <w:rsid w:val="44B8DA02"/>
    <w:rsid w:val="44DA3BC0"/>
    <w:rsid w:val="44E34FAB"/>
    <w:rsid w:val="44EE3678"/>
    <w:rsid w:val="44EF3249"/>
    <w:rsid w:val="44F36EB9"/>
    <w:rsid w:val="450D65C0"/>
    <w:rsid w:val="450F68FB"/>
    <w:rsid w:val="4510C82F"/>
    <w:rsid w:val="451BFE50"/>
    <w:rsid w:val="451F990F"/>
    <w:rsid w:val="4526EE11"/>
    <w:rsid w:val="452BAAD0"/>
    <w:rsid w:val="45335897"/>
    <w:rsid w:val="453FCD65"/>
    <w:rsid w:val="4550CC8D"/>
    <w:rsid w:val="45533887"/>
    <w:rsid w:val="456D63B0"/>
    <w:rsid w:val="4574DE78"/>
    <w:rsid w:val="459AB5A7"/>
    <w:rsid w:val="459E54D7"/>
    <w:rsid w:val="45A6FC64"/>
    <w:rsid w:val="45B2CE55"/>
    <w:rsid w:val="45B69683"/>
    <w:rsid w:val="45C94A22"/>
    <w:rsid w:val="45E76570"/>
    <w:rsid w:val="45EE823A"/>
    <w:rsid w:val="45EF5A19"/>
    <w:rsid w:val="45F247EC"/>
    <w:rsid w:val="45F75F5B"/>
    <w:rsid w:val="45F8CB80"/>
    <w:rsid w:val="45FB20C8"/>
    <w:rsid w:val="4604D15F"/>
    <w:rsid w:val="46173494"/>
    <w:rsid w:val="461E5F22"/>
    <w:rsid w:val="46270028"/>
    <w:rsid w:val="462CE59A"/>
    <w:rsid w:val="46546731"/>
    <w:rsid w:val="4658280F"/>
    <w:rsid w:val="46616E51"/>
    <w:rsid w:val="466823E9"/>
    <w:rsid w:val="468723D4"/>
    <w:rsid w:val="4687563B"/>
    <w:rsid w:val="469A8590"/>
    <w:rsid w:val="469AC8EB"/>
    <w:rsid w:val="46B3E742"/>
    <w:rsid w:val="46BC72BE"/>
    <w:rsid w:val="46DA0EBB"/>
    <w:rsid w:val="46E16279"/>
    <w:rsid w:val="46E33C15"/>
    <w:rsid w:val="471801F2"/>
    <w:rsid w:val="471C20EF"/>
    <w:rsid w:val="4723D9BC"/>
    <w:rsid w:val="4725B744"/>
    <w:rsid w:val="475F5482"/>
    <w:rsid w:val="47709C1A"/>
    <w:rsid w:val="477BC5DD"/>
    <w:rsid w:val="479343DC"/>
    <w:rsid w:val="47947DFD"/>
    <w:rsid w:val="479740C5"/>
    <w:rsid w:val="47B218E0"/>
    <w:rsid w:val="47B2773D"/>
    <w:rsid w:val="47B89D71"/>
    <w:rsid w:val="47BB772A"/>
    <w:rsid w:val="47BBC9DC"/>
    <w:rsid w:val="47D03FD5"/>
    <w:rsid w:val="47D153D9"/>
    <w:rsid w:val="48156AEA"/>
    <w:rsid w:val="4815B99D"/>
    <w:rsid w:val="481B0B83"/>
    <w:rsid w:val="483B460B"/>
    <w:rsid w:val="48404E76"/>
    <w:rsid w:val="484A0B22"/>
    <w:rsid w:val="4854269F"/>
    <w:rsid w:val="48577F7C"/>
    <w:rsid w:val="48610F54"/>
    <w:rsid w:val="4865BBB3"/>
    <w:rsid w:val="486BB149"/>
    <w:rsid w:val="48814DE2"/>
    <w:rsid w:val="48930A89"/>
    <w:rsid w:val="48B5F63C"/>
    <w:rsid w:val="48CCA1ED"/>
    <w:rsid w:val="48E0839E"/>
    <w:rsid w:val="48F07DE2"/>
    <w:rsid w:val="49053312"/>
    <w:rsid w:val="4908DA26"/>
    <w:rsid w:val="491C8484"/>
    <w:rsid w:val="491E6CD7"/>
    <w:rsid w:val="497E5F03"/>
    <w:rsid w:val="4987B869"/>
    <w:rsid w:val="49925FC4"/>
    <w:rsid w:val="499D7BE0"/>
    <w:rsid w:val="49A3330E"/>
    <w:rsid w:val="49B6AC77"/>
    <w:rsid w:val="49C90C7D"/>
    <w:rsid w:val="49CCFC44"/>
    <w:rsid w:val="49DA6EE0"/>
    <w:rsid w:val="49DD7F19"/>
    <w:rsid w:val="49F79D06"/>
    <w:rsid w:val="4A1DEB52"/>
    <w:rsid w:val="4A3C2EDD"/>
    <w:rsid w:val="4A5BFCE9"/>
    <w:rsid w:val="4A7E14BB"/>
    <w:rsid w:val="4A7F5266"/>
    <w:rsid w:val="4A89B6B0"/>
    <w:rsid w:val="4ABF1136"/>
    <w:rsid w:val="4AC843AC"/>
    <w:rsid w:val="4AD4D80B"/>
    <w:rsid w:val="4B06F974"/>
    <w:rsid w:val="4B0843E8"/>
    <w:rsid w:val="4B0965D2"/>
    <w:rsid w:val="4B2C8220"/>
    <w:rsid w:val="4B474FCE"/>
    <w:rsid w:val="4B4803FB"/>
    <w:rsid w:val="4B5EFC8A"/>
    <w:rsid w:val="4B65F3B6"/>
    <w:rsid w:val="4B6B07CC"/>
    <w:rsid w:val="4B720036"/>
    <w:rsid w:val="4B853F60"/>
    <w:rsid w:val="4B889B27"/>
    <w:rsid w:val="4B93BB94"/>
    <w:rsid w:val="4B9FD4CE"/>
    <w:rsid w:val="4BA49D46"/>
    <w:rsid w:val="4BCEF41E"/>
    <w:rsid w:val="4BD1AE83"/>
    <w:rsid w:val="4BEA40BD"/>
    <w:rsid w:val="4C01FAAD"/>
    <w:rsid w:val="4C134DDD"/>
    <w:rsid w:val="4C13FFEC"/>
    <w:rsid w:val="4C15B566"/>
    <w:rsid w:val="4C22B975"/>
    <w:rsid w:val="4C4B3DAC"/>
    <w:rsid w:val="4C50E02E"/>
    <w:rsid w:val="4C614C4A"/>
    <w:rsid w:val="4C76A0E7"/>
    <w:rsid w:val="4C77E736"/>
    <w:rsid w:val="4CA01046"/>
    <w:rsid w:val="4CBBA4E0"/>
    <w:rsid w:val="4CCEA6C7"/>
    <w:rsid w:val="4CD772E3"/>
    <w:rsid w:val="4CD93CBF"/>
    <w:rsid w:val="4D056E76"/>
    <w:rsid w:val="4D18FF6A"/>
    <w:rsid w:val="4D27BDEC"/>
    <w:rsid w:val="4D28EB08"/>
    <w:rsid w:val="4D7D7B47"/>
    <w:rsid w:val="4D7EBB12"/>
    <w:rsid w:val="4D7F4BE1"/>
    <w:rsid w:val="4D857E9F"/>
    <w:rsid w:val="4D8DA03D"/>
    <w:rsid w:val="4DA7C499"/>
    <w:rsid w:val="4DB22B4A"/>
    <w:rsid w:val="4DBA16D7"/>
    <w:rsid w:val="4DC731F9"/>
    <w:rsid w:val="4DE77B4A"/>
    <w:rsid w:val="4DFB3132"/>
    <w:rsid w:val="4E08F9B2"/>
    <w:rsid w:val="4E0AE865"/>
    <w:rsid w:val="4E12F849"/>
    <w:rsid w:val="4E1E912D"/>
    <w:rsid w:val="4E27F596"/>
    <w:rsid w:val="4E2B539A"/>
    <w:rsid w:val="4E3DB353"/>
    <w:rsid w:val="4E416E94"/>
    <w:rsid w:val="4E695C7D"/>
    <w:rsid w:val="4E70410A"/>
    <w:rsid w:val="4E80B60D"/>
    <w:rsid w:val="4E8E3639"/>
    <w:rsid w:val="4EB950C9"/>
    <w:rsid w:val="4EC052BE"/>
    <w:rsid w:val="4EC97AB5"/>
    <w:rsid w:val="4EE1EF5C"/>
    <w:rsid w:val="4EE95414"/>
    <w:rsid w:val="4EEFB1C4"/>
    <w:rsid w:val="4EF5E398"/>
    <w:rsid w:val="4EF5F771"/>
    <w:rsid w:val="4F150771"/>
    <w:rsid w:val="4F29A6B4"/>
    <w:rsid w:val="4F318E5E"/>
    <w:rsid w:val="4F4F376F"/>
    <w:rsid w:val="4F52E810"/>
    <w:rsid w:val="4F56133D"/>
    <w:rsid w:val="4F6503DA"/>
    <w:rsid w:val="4F721BB8"/>
    <w:rsid w:val="4F7ACA95"/>
    <w:rsid w:val="4F8FCA81"/>
    <w:rsid w:val="4F91B8DF"/>
    <w:rsid w:val="4F9EB8D9"/>
    <w:rsid w:val="4FA6F870"/>
    <w:rsid w:val="4FA9E395"/>
    <w:rsid w:val="4FCF3A8B"/>
    <w:rsid w:val="4FE76AEB"/>
    <w:rsid w:val="5003CF43"/>
    <w:rsid w:val="50050245"/>
    <w:rsid w:val="501D9FEE"/>
    <w:rsid w:val="502ACA00"/>
    <w:rsid w:val="502DB427"/>
    <w:rsid w:val="503CE59E"/>
    <w:rsid w:val="50482EE6"/>
    <w:rsid w:val="5055CB2C"/>
    <w:rsid w:val="505D51B5"/>
    <w:rsid w:val="50656B8F"/>
    <w:rsid w:val="507D3E75"/>
    <w:rsid w:val="5097A1A2"/>
    <w:rsid w:val="509AA99C"/>
    <w:rsid w:val="50A59E35"/>
    <w:rsid w:val="50A79984"/>
    <w:rsid w:val="50BAA320"/>
    <w:rsid w:val="50BF556D"/>
    <w:rsid w:val="50D38F13"/>
    <w:rsid w:val="50D52ED2"/>
    <w:rsid w:val="50D6A581"/>
    <w:rsid w:val="50DAFB26"/>
    <w:rsid w:val="50E81119"/>
    <w:rsid w:val="50EAC5E4"/>
    <w:rsid w:val="50F0441C"/>
    <w:rsid w:val="510B91EF"/>
    <w:rsid w:val="51179BDE"/>
    <w:rsid w:val="511A5CA8"/>
    <w:rsid w:val="51301C3A"/>
    <w:rsid w:val="5132A58A"/>
    <w:rsid w:val="514F4583"/>
    <w:rsid w:val="5154F7B9"/>
    <w:rsid w:val="51578D56"/>
    <w:rsid w:val="515F3040"/>
    <w:rsid w:val="5161B8D8"/>
    <w:rsid w:val="519686AA"/>
    <w:rsid w:val="5199BD22"/>
    <w:rsid w:val="51A2E16A"/>
    <w:rsid w:val="51B5E125"/>
    <w:rsid w:val="51BA08C8"/>
    <w:rsid w:val="51C6AD0F"/>
    <w:rsid w:val="51C8C76E"/>
    <w:rsid w:val="51CE1A2C"/>
    <w:rsid w:val="51D6D955"/>
    <w:rsid w:val="51E75EF1"/>
    <w:rsid w:val="520139B7"/>
    <w:rsid w:val="5204796F"/>
    <w:rsid w:val="5232DEBA"/>
    <w:rsid w:val="524DDFF4"/>
    <w:rsid w:val="5256AF0E"/>
    <w:rsid w:val="5259FC37"/>
    <w:rsid w:val="525BAFF1"/>
    <w:rsid w:val="525EF2D6"/>
    <w:rsid w:val="525F0E9D"/>
    <w:rsid w:val="526D71E1"/>
    <w:rsid w:val="527F6A07"/>
    <w:rsid w:val="52843386"/>
    <w:rsid w:val="52903EE1"/>
    <w:rsid w:val="52912382"/>
    <w:rsid w:val="52A15EF9"/>
    <w:rsid w:val="52B6E01B"/>
    <w:rsid w:val="52BC6D3D"/>
    <w:rsid w:val="52D28A5B"/>
    <w:rsid w:val="52F8F435"/>
    <w:rsid w:val="5301A270"/>
    <w:rsid w:val="530C42CC"/>
    <w:rsid w:val="5319C496"/>
    <w:rsid w:val="5322FB37"/>
    <w:rsid w:val="5328C9BA"/>
    <w:rsid w:val="532D1B11"/>
    <w:rsid w:val="53545308"/>
    <w:rsid w:val="53559A35"/>
    <w:rsid w:val="535F6C27"/>
    <w:rsid w:val="537A4AAF"/>
    <w:rsid w:val="537CFF03"/>
    <w:rsid w:val="53BB2D52"/>
    <w:rsid w:val="53C123AF"/>
    <w:rsid w:val="53C8F040"/>
    <w:rsid w:val="53CB06C2"/>
    <w:rsid w:val="53F972D7"/>
    <w:rsid w:val="53FA08B0"/>
    <w:rsid w:val="541B51E0"/>
    <w:rsid w:val="541B5B8D"/>
    <w:rsid w:val="542743EB"/>
    <w:rsid w:val="542B2DC9"/>
    <w:rsid w:val="543C18E5"/>
    <w:rsid w:val="543D021E"/>
    <w:rsid w:val="54468C4C"/>
    <w:rsid w:val="54491DFF"/>
    <w:rsid w:val="5468CACE"/>
    <w:rsid w:val="54864B58"/>
    <w:rsid w:val="548699A3"/>
    <w:rsid w:val="548E3F08"/>
    <w:rsid w:val="5491344C"/>
    <w:rsid w:val="54A62943"/>
    <w:rsid w:val="54ADB70C"/>
    <w:rsid w:val="54C76E29"/>
    <w:rsid w:val="54D311A0"/>
    <w:rsid w:val="54D48FA3"/>
    <w:rsid w:val="54D81AC2"/>
    <w:rsid w:val="54DBEE6E"/>
    <w:rsid w:val="54F9A548"/>
    <w:rsid w:val="551408C7"/>
    <w:rsid w:val="551DBA22"/>
    <w:rsid w:val="5527B436"/>
    <w:rsid w:val="55481881"/>
    <w:rsid w:val="554A5D06"/>
    <w:rsid w:val="5570FDE3"/>
    <w:rsid w:val="557E90DE"/>
    <w:rsid w:val="55845402"/>
    <w:rsid w:val="55856F11"/>
    <w:rsid w:val="5589DE70"/>
    <w:rsid w:val="559170AA"/>
    <w:rsid w:val="55C9BED8"/>
    <w:rsid w:val="55CC446B"/>
    <w:rsid w:val="55E39228"/>
    <w:rsid w:val="55E73E57"/>
    <w:rsid w:val="55F3D432"/>
    <w:rsid w:val="55F51D63"/>
    <w:rsid w:val="55F8BF1E"/>
    <w:rsid w:val="55FC31D7"/>
    <w:rsid w:val="55FCDF60"/>
    <w:rsid w:val="56006900"/>
    <w:rsid w:val="5602C1B5"/>
    <w:rsid w:val="560A9BDE"/>
    <w:rsid w:val="560DCA0D"/>
    <w:rsid w:val="561EDF9C"/>
    <w:rsid w:val="5645B6BC"/>
    <w:rsid w:val="56691A2C"/>
    <w:rsid w:val="568BE815"/>
    <w:rsid w:val="56955B6C"/>
    <w:rsid w:val="5698C899"/>
    <w:rsid w:val="56AF288F"/>
    <w:rsid w:val="56CE91D5"/>
    <w:rsid w:val="56EE4748"/>
    <w:rsid w:val="56F3586E"/>
    <w:rsid w:val="56F42809"/>
    <w:rsid w:val="5701A5D0"/>
    <w:rsid w:val="5703BF6F"/>
    <w:rsid w:val="571D0FB5"/>
    <w:rsid w:val="5722D141"/>
    <w:rsid w:val="5727139B"/>
    <w:rsid w:val="572721D0"/>
    <w:rsid w:val="572E1411"/>
    <w:rsid w:val="572FD954"/>
    <w:rsid w:val="5733D615"/>
    <w:rsid w:val="57370A71"/>
    <w:rsid w:val="573DC3DA"/>
    <w:rsid w:val="5740FD7C"/>
    <w:rsid w:val="5759481B"/>
    <w:rsid w:val="576351E8"/>
    <w:rsid w:val="5765E596"/>
    <w:rsid w:val="57732C7B"/>
    <w:rsid w:val="578B3985"/>
    <w:rsid w:val="578BD120"/>
    <w:rsid w:val="57A30A39"/>
    <w:rsid w:val="57BAB0D8"/>
    <w:rsid w:val="57C424E6"/>
    <w:rsid w:val="57D7BC95"/>
    <w:rsid w:val="57E04214"/>
    <w:rsid w:val="57ED2098"/>
    <w:rsid w:val="5808CCEE"/>
    <w:rsid w:val="5817AA2B"/>
    <w:rsid w:val="58251A3E"/>
    <w:rsid w:val="58276329"/>
    <w:rsid w:val="583E704A"/>
    <w:rsid w:val="5842E8D3"/>
    <w:rsid w:val="5844866B"/>
    <w:rsid w:val="5846B257"/>
    <w:rsid w:val="5862B601"/>
    <w:rsid w:val="58738989"/>
    <w:rsid w:val="58827DBD"/>
    <w:rsid w:val="58896BF1"/>
    <w:rsid w:val="588CAE79"/>
    <w:rsid w:val="58A24C8B"/>
    <w:rsid w:val="58A4D4E0"/>
    <w:rsid w:val="58B018FF"/>
    <w:rsid w:val="58B7500F"/>
    <w:rsid w:val="58D1C236"/>
    <w:rsid w:val="58E96100"/>
    <w:rsid w:val="58F57234"/>
    <w:rsid w:val="5914B3D5"/>
    <w:rsid w:val="591817D8"/>
    <w:rsid w:val="59239E87"/>
    <w:rsid w:val="594703BF"/>
    <w:rsid w:val="594E3DF3"/>
    <w:rsid w:val="595256F6"/>
    <w:rsid w:val="595AA495"/>
    <w:rsid w:val="59667B23"/>
    <w:rsid w:val="596A10A5"/>
    <w:rsid w:val="5989EFFF"/>
    <w:rsid w:val="599BFA2C"/>
    <w:rsid w:val="59A18064"/>
    <w:rsid w:val="59A577B7"/>
    <w:rsid w:val="59B23055"/>
    <w:rsid w:val="59CC3116"/>
    <w:rsid w:val="59CCBC1B"/>
    <w:rsid w:val="59D081C3"/>
    <w:rsid w:val="59D13126"/>
    <w:rsid w:val="59D63325"/>
    <w:rsid w:val="59E774AA"/>
    <w:rsid w:val="59EC878A"/>
    <w:rsid w:val="59F4F8BD"/>
    <w:rsid w:val="5A01FE0F"/>
    <w:rsid w:val="5A2EADF4"/>
    <w:rsid w:val="5A36D6F5"/>
    <w:rsid w:val="5A409B7E"/>
    <w:rsid w:val="5A444ADF"/>
    <w:rsid w:val="5A482411"/>
    <w:rsid w:val="5A485CF7"/>
    <w:rsid w:val="5A6BFBB3"/>
    <w:rsid w:val="5A785CD9"/>
    <w:rsid w:val="5A7A490E"/>
    <w:rsid w:val="5A83DB0A"/>
    <w:rsid w:val="5A885684"/>
    <w:rsid w:val="5A9430D8"/>
    <w:rsid w:val="5AB54D11"/>
    <w:rsid w:val="5AB84508"/>
    <w:rsid w:val="5ACAF2D8"/>
    <w:rsid w:val="5AD57B8D"/>
    <w:rsid w:val="5ADDA00B"/>
    <w:rsid w:val="5AE67E1F"/>
    <w:rsid w:val="5AEC22BC"/>
    <w:rsid w:val="5B08D6CA"/>
    <w:rsid w:val="5B0B12B0"/>
    <w:rsid w:val="5B1BF48B"/>
    <w:rsid w:val="5B239D16"/>
    <w:rsid w:val="5B31AE55"/>
    <w:rsid w:val="5B3DD13D"/>
    <w:rsid w:val="5B4555BE"/>
    <w:rsid w:val="5B45841B"/>
    <w:rsid w:val="5B5F2334"/>
    <w:rsid w:val="5B7DF8D3"/>
    <w:rsid w:val="5B8A1383"/>
    <w:rsid w:val="5B9387B9"/>
    <w:rsid w:val="5BB670CF"/>
    <w:rsid w:val="5BC53720"/>
    <w:rsid w:val="5BEAB535"/>
    <w:rsid w:val="5BEC4189"/>
    <w:rsid w:val="5BF58AB3"/>
    <w:rsid w:val="5C1BAC82"/>
    <w:rsid w:val="5C2841D9"/>
    <w:rsid w:val="5C2A69EC"/>
    <w:rsid w:val="5C2CDE8F"/>
    <w:rsid w:val="5C354395"/>
    <w:rsid w:val="5C784A49"/>
    <w:rsid w:val="5C914B97"/>
    <w:rsid w:val="5C93962E"/>
    <w:rsid w:val="5C95031C"/>
    <w:rsid w:val="5C9624FE"/>
    <w:rsid w:val="5CB8C856"/>
    <w:rsid w:val="5CD09F59"/>
    <w:rsid w:val="5CD9386E"/>
    <w:rsid w:val="5CED86D4"/>
    <w:rsid w:val="5CF37CFA"/>
    <w:rsid w:val="5CFD7712"/>
    <w:rsid w:val="5D0AD6CA"/>
    <w:rsid w:val="5D0EBDA4"/>
    <w:rsid w:val="5D188378"/>
    <w:rsid w:val="5D22D583"/>
    <w:rsid w:val="5D28872C"/>
    <w:rsid w:val="5D2A5B76"/>
    <w:rsid w:val="5D2B3C37"/>
    <w:rsid w:val="5D32D85E"/>
    <w:rsid w:val="5D68B7C8"/>
    <w:rsid w:val="5D978DC3"/>
    <w:rsid w:val="5DBF3D94"/>
    <w:rsid w:val="5DDB9A29"/>
    <w:rsid w:val="5E00AE73"/>
    <w:rsid w:val="5E09BE83"/>
    <w:rsid w:val="5E647CFC"/>
    <w:rsid w:val="5E6F12CA"/>
    <w:rsid w:val="5E7B59E1"/>
    <w:rsid w:val="5E8CFDA6"/>
    <w:rsid w:val="5EB39D89"/>
    <w:rsid w:val="5EC89796"/>
    <w:rsid w:val="5EE89214"/>
    <w:rsid w:val="5EF0EE76"/>
    <w:rsid w:val="5EF93B32"/>
    <w:rsid w:val="5EFD5AFC"/>
    <w:rsid w:val="5F09E707"/>
    <w:rsid w:val="5F1A72CC"/>
    <w:rsid w:val="5F216925"/>
    <w:rsid w:val="5F22E299"/>
    <w:rsid w:val="5F3553B5"/>
    <w:rsid w:val="5F51484B"/>
    <w:rsid w:val="5F64BDEF"/>
    <w:rsid w:val="5F70869D"/>
    <w:rsid w:val="5F885CCC"/>
    <w:rsid w:val="5F89BBD7"/>
    <w:rsid w:val="5F91DF5C"/>
    <w:rsid w:val="5F96CC89"/>
    <w:rsid w:val="5FAA71DD"/>
    <w:rsid w:val="5FBC651F"/>
    <w:rsid w:val="5FC061B5"/>
    <w:rsid w:val="5FCB3686"/>
    <w:rsid w:val="5FED4F45"/>
    <w:rsid w:val="5FF1B078"/>
    <w:rsid w:val="600026D6"/>
    <w:rsid w:val="600D1105"/>
    <w:rsid w:val="601AEE68"/>
    <w:rsid w:val="601CC320"/>
    <w:rsid w:val="602D2B55"/>
    <w:rsid w:val="6048B285"/>
    <w:rsid w:val="6063CEF0"/>
    <w:rsid w:val="6068A11D"/>
    <w:rsid w:val="60834F36"/>
    <w:rsid w:val="60841966"/>
    <w:rsid w:val="60A17D91"/>
    <w:rsid w:val="60ABC6F3"/>
    <w:rsid w:val="60C829A8"/>
    <w:rsid w:val="60D3D21E"/>
    <w:rsid w:val="60F8C6F0"/>
    <w:rsid w:val="60FCCEF2"/>
    <w:rsid w:val="610C9272"/>
    <w:rsid w:val="61175F1E"/>
    <w:rsid w:val="61222CA0"/>
    <w:rsid w:val="6136D3AD"/>
    <w:rsid w:val="613CC5A3"/>
    <w:rsid w:val="61553F80"/>
    <w:rsid w:val="617BA27F"/>
    <w:rsid w:val="6186921A"/>
    <w:rsid w:val="61894F36"/>
    <w:rsid w:val="619ADDA3"/>
    <w:rsid w:val="61A695EB"/>
    <w:rsid w:val="61B8227C"/>
    <w:rsid w:val="61BCA523"/>
    <w:rsid w:val="61D44B92"/>
    <w:rsid w:val="6209BA62"/>
    <w:rsid w:val="620DAC08"/>
    <w:rsid w:val="6211A854"/>
    <w:rsid w:val="621A1D01"/>
    <w:rsid w:val="6247609B"/>
    <w:rsid w:val="624B4991"/>
    <w:rsid w:val="62522FC8"/>
    <w:rsid w:val="62563C6F"/>
    <w:rsid w:val="6258B771"/>
    <w:rsid w:val="625A5E27"/>
    <w:rsid w:val="625DB37D"/>
    <w:rsid w:val="626C04E1"/>
    <w:rsid w:val="627EAC9A"/>
    <w:rsid w:val="6282EC8E"/>
    <w:rsid w:val="62835085"/>
    <w:rsid w:val="62923018"/>
    <w:rsid w:val="6293B558"/>
    <w:rsid w:val="62998CF9"/>
    <w:rsid w:val="62AB9738"/>
    <w:rsid w:val="62AE8CAD"/>
    <w:rsid w:val="62B14533"/>
    <w:rsid w:val="62DA416D"/>
    <w:rsid w:val="62E54A3F"/>
    <w:rsid w:val="62EF6546"/>
    <w:rsid w:val="630B0015"/>
    <w:rsid w:val="632A554A"/>
    <w:rsid w:val="632CC664"/>
    <w:rsid w:val="633DCB3C"/>
    <w:rsid w:val="633EEDB3"/>
    <w:rsid w:val="633F81EE"/>
    <w:rsid w:val="6341AD8D"/>
    <w:rsid w:val="6372DD8C"/>
    <w:rsid w:val="63749E86"/>
    <w:rsid w:val="6386273A"/>
    <w:rsid w:val="63876300"/>
    <w:rsid w:val="6392DCA8"/>
    <w:rsid w:val="63BCFD0B"/>
    <w:rsid w:val="63C56A09"/>
    <w:rsid w:val="63CE100D"/>
    <w:rsid w:val="63D0C785"/>
    <w:rsid w:val="63E848F0"/>
    <w:rsid w:val="63E97BB3"/>
    <w:rsid w:val="63E9CBB8"/>
    <w:rsid w:val="63F037CF"/>
    <w:rsid w:val="63F98E69"/>
    <w:rsid w:val="63FD3881"/>
    <w:rsid w:val="6418C376"/>
    <w:rsid w:val="64234DD9"/>
    <w:rsid w:val="6423D63C"/>
    <w:rsid w:val="643A300F"/>
    <w:rsid w:val="643BBB70"/>
    <w:rsid w:val="6453B1FA"/>
    <w:rsid w:val="646B196B"/>
    <w:rsid w:val="64797551"/>
    <w:rsid w:val="64938F0F"/>
    <w:rsid w:val="6498A734"/>
    <w:rsid w:val="64A7E4F5"/>
    <w:rsid w:val="64D200BC"/>
    <w:rsid w:val="64EE6836"/>
    <w:rsid w:val="6511863B"/>
    <w:rsid w:val="651D4C22"/>
    <w:rsid w:val="65209D3D"/>
    <w:rsid w:val="652BF799"/>
    <w:rsid w:val="653146CE"/>
    <w:rsid w:val="6534ABA5"/>
    <w:rsid w:val="654118FB"/>
    <w:rsid w:val="6551B68F"/>
    <w:rsid w:val="6558AAF1"/>
    <w:rsid w:val="6572C220"/>
    <w:rsid w:val="657407C6"/>
    <w:rsid w:val="65A4AF22"/>
    <w:rsid w:val="65AC1C3F"/>
    <w:rsid w:val="65B4A63D"/>
    <w:rsid w:val="65BBF8AF"/>
    <w:rsid w:val="65C16DBF"/>
    <w:rsid w:val="65C3119F"/>
    <w:rsid w:val="65CB9D9E"/>
    <w:rsid w:val="65CC87DA"/>
    <w:rsid w:val="65CFC3A6"/>
    <w:rsid w:val="65E8BDCC"/>
    <w:rsid w:val="65F0E5DC"/>
    <w:rsid w:val="65F1488C"/>
    <w:rsid w:val="65F1ED72"/>
    <w:rsid w:val="65F4BBC7"/>
    <w:rsid w:val="65FFB302"/>
    <w:rsid w:val="661C62ED"/>
    <w:rsid w:val="663872E3"/>
    <w:rsid w:val="66454887"/>
    <w:rsid w:val="66465C6B"/>
    <w:rsid w:val="665922C4"/>
    <w:rsid w:val="66653A41"/>
    <w:rsid w:val="66705870"/>
    <w:rsid w:val="6674AEE4"/>
    <w:rsid w:val="6679650C"/>
    <w:rsid w:val="66807918"/>
    <w:rsid w:val="6683BAF4"/>
    <w:rsid w:val="66857C7F"/>
    <w:rsid w:val="6687B652"/>
    <w:rsid w:val="668B6841"/>
    <w:rsid w:val="66A4E96F"/>
    <w:rsid w:val="66ADA691"/>
    <w:rsid w:val="66B129FA"/>
    <w:rsid w:val="66CBCEC8"/>
    <w:rsid w:val="66D18D4F"/>
    <w:rsid w:val="66EC1358"/>
    <w:rsid w:val="6703EA28"/>
    <w:rsid w:val="671E8337"/>
    <w:rsid w:val="67201CD0"/>
    <w:rsid w:val="672C42A1"/>
    <w:rsid w:val="672E3476"/>
    <w:rsid w:val="672EDC14"/>
    <w:rsid w:val="673DD2C1"/>
    <w:rsid w:val="674C5347"/>
    <w:rsid w:val="6760B927"/>
    <w:rsid w:val="6791C187"/>
    <w:rsid w:val="67A34C97"/>
    <w:rsid w:val="67B133D8"/>
    <w:rsid w:val="67B88C16"/>
    <w:rsid w:val="67BDCE4C"/>
    <w:rsid w:val="67DCE8A0"/>
    <w:rsid w:val="67DEB621"/>
    <w:rsid w:val="67EDEB1C"/>
    <w:rsid w:val="67F1F0AB"/>
    <w:rsid w:val="67F34285"/>
    <w:rsid w:val="680F8DAF"/>
    <w:rsid w:val="6849084B"/>
    <w:rsid w:val="685E3E9B"/>
    <w:rsid w:val="685FDEA6"/>
    <w:rsid w:val="686D2704"/>
    <w:rsid w:val="689AEABE"/>
    <w:rsid w:val="68A64E13"/>
    <w:rsid w:val="68D9A291"/>
    <w:rsid w:val="68D9DA6B"/>
    <w:rsid w:val="68E2A0F7"/>
    <w:rsid w:val="69140290"/>
    <w:rsid w:val="692BE237"/>
    <w:rsid w:val="692C8C50"/>
    <w:rsid w:val="693E98AB"/>
    <w:rsid w:val="694D12F6"/>
    <w:rsid w:val="695337D2"/>
    <w:rsid w:val="695D4BEC"/>
    <w:rsid w:val="696B0F2D"/>
    <w:rsid w:val="6970380A"/>
    <w:rsid w:val="6970D235"/>
    <w:rsid w:val="6976B5DC"/>
    <w:rsid w:val="6981BD2A"/>
    <w:rsid w:val="69858DD9"/>
    <w:rsid w:val="6986112F"/>
    <w:rsid w:val="698DA241"/>
    <w:rsid w:val="699218FF"/>
    <w:rsid w:val="69A2AFFC"/>
    <w:rsid w:val="69AC2B6F"/>
    <w:rsid w:val="69B9AD0F"/>
    <w:rsid w:val="69BE6523"/>
    <w:rsid w:val="69CC2250"/>
    <w:rsid w:val="69D341CB"/>
    <w:rsid w:val="69ED6ABD"/>
    <w:rsid w:val="6A042A6D"/>
    <w:rsid w:val="6A0FC2A9"/>
    <w:rsid w:val="6A1D7418"/>
    <w:rsid w:val="6A27DE58"/>
    <w:rsid w:val="6A2E095E"/>
    <w:rsid w:val="6A5BC5B6"/>
    <w:rsid w:val="6A5ED320"/>
    <w:rsid w:val="6A6E35F5"/>
    <w:rsid w:val="6A84ED8B"/>
    <w:rsid w:val="6A98647E"/>
    <w:rsid w:val="6A9CA400"/>
    <w:rsid w:val="6AB859D6"/>
    <w:rsid w:val="6AC5D8DB"/>
    <w:rsid w:val="6AC6BE5C"/>
    <w:rsid w:val="6ACAB856"/>
    <w:rsid w:val="6AE93A3C"/>
    <w:rsid w:val="6AF39F9A"/>
    <w:rsid w:val="6AF51AE5"/>
    <w:rsid w:val="6AFCDF56"/>
    <w:rsid w:val="6AFD2046"/>
    <w:rsid w:val="6B175B22"/>
    <w:rsid w:val="6B2FDA92"/>
    <w:rsid w:val="6B3026E4"/>
    <w:rsid w:val="6B32D26F"/>
    <w:rsid w:val="6B591C37"/>
    <w:rsid w:val="6B63A5B9"/>
    <w:rsid w:val="6B65F4C9"/>
    <w:rsid w:val="6B6AC405"/>
    <w:rsid w:val="6B76851B"/>
    <w:rsid w:val="6BA377D2"/>
    <w:rsid w:val="6BD602F2"/>
    <w:rsid w:val="6C05ECD1"/>
    <w:rsid w:val="6C07DF1D"/>
    <w:rsid w:val="6C08F3F5"/>
    <w:rsid w:val="6C0CCC05"/>
    <w:rsid w:val="6C1B634F"/>
    <w:rsid w:val="6C22CC5D"/>
    <w:rsid w:val="6C2C6610"/>
    <w:rsid w:val="6C2CFD63"/>
    <w:rsid w:val="6C333D00"/>
    <w:rsid w:val="6C373F3A"/>
    <w:rsid w:val="6C39DC24"/>
    <w:rsid w:val="6C4625BB"/>
    <w:rsid w:val="6C4B5307"/>
    <w:rsid w:val="6C576117"/>
    <w:rsid w:val="6C576BCD"/>
    <w:rsid w:val="6C60E900"/>
    <w:rsid w:val="6C7F273C"/>
    <w:rsid w:val="6C84AB48"/>
    <w:rsid w:val="6CA2E561"/>
    <w:rsid w:val="6CC9E6F3"/>
    <w:rsid w:val="6CCA4F95"/>
    <w:rsid w:val="6CD9DC35"/>
    <w:rsid w:val="6CF42CC9"/>
    <w:rsid w:val="6CF4FE38"/>
    <w:rsid w:val="6CF70DB0"/>
    <w:rsid w:val="6CFB02A8"/>
    <w:rsid w:val="6D29DF80"/>
    <w:rsid w:val="6D2F30D5"/>
    <w:rsid w:val="6D3BC9D6"/>
    <w:rsid w:val="6D3F782D"/>
    <w:rsid w:val="6D49BC42"/>
    <w:rsid w:val="6D56C5E2"/>
    <w:rsid w:val="6D5D94B1"/>
    <w:rsid w:val="6D72BD41"/>
    <w:rsid w:val="6D79FDCA"/>
    <w:rsid w:val="6D7CAC59"/>
    <w:rsid w:val="6D93F4A6"/>
    <w:rsid w:val="6D94D360"/>
    <w:rsid w:val="6D9A76A8"/>
    <w:rsid w:val="6DA5988F"/>
    <w:rsid w:val="6DB8E2BD"/>
    <w:rsid w:val="6DDB9197"/>
    <w:rsid w:val="6DE1431F"/>
    <w:rsid w:val="6DF4212C"/>
    <w:rsid w:val="6DF80F06"/>
    <w:rsid w:val="6DFE1F50"/>
    <w:rsid w:val="6E177ED9"/>
    <w:rsid w:val="6E1EAD1B"/>
    <w:rsid w:val="6E1F3AD8"/>
    <w:rsid w:val="6E25C35A"/>
    <w:rsid w:val="6E355E18"/>
    <w:rsid w:val="6E38C353"/>
    <w:rsid w:val="6E40532D"/>
    <w:rsid w:val="6E4B729A"/>
    <w:rsid w:val="6E6BB28D"/>
    <w:rsid w:val="6E6E5265"/>
    <w:rsid w:val="6E741588"/>
    <w:rsid w:val="6E78F376"/>
    <w:rsid w:val="6E7C46C8"/>
    <w:rsid w:val="6E7EF5FE"/>
    <w:rsid w:val="6E81615C"/>
    <w:rsid w:val="6E9AC82F"/>
    <w:rsid w:val="6EA3E92D"/>
    <w:rsid w:val="6EA6573D"/>
    <w:rsid w:val="6EBF0DD5"/>
    <w:rsid w:val="6EC0104F"/>
    <w:rsid w:val="6EC65068"/>
    <w:rsid w:val="6ED89A04"/>
    <w:rsid w:val="6EF2EE0C"/>
    <w:rsid w:val="6EF4179B"/>
    <w:rsid w:val="6F05FDFE"/>
    <w:rsid w:val="6F14D682"/>
    <w:rsid w:val="6F36771E"/>
    <w:rsid w:val="6F461F54"/>
    <w:rsid w:val="6F588804"/>
    <w:rsid w:val="6F6B8114"/>
    <w:rsid w:val="6F802E92"/>
    <w:rsid w:val="6F8E4372"/>
    <w:rsid w:val="6F9D7CAC"/>
    <w:rsid w:val="6FB19A8E"/>
    <w:rsid w:val="6FB2E5DD"/>
    <w:rsid w:val="6FBEC8A0"/>
    <w:rsid w:val="6FD1A444"/>
    <w:rsid w:val="6FD35B84"/>
    <w:rsid w:val="6FD75EA1"/>
    <w:rsid w:val="6FE0578F"/>
    <w:rsid w:val="6FE2F859"/>
    <w:rsid w:val="6FE4DBFA"/>
    <w:rsid w:val="6FE55413"/>
    <w:rsid w:val="6FF3778B"/>
    <w:rsid w:val="6FF50D1A"/>
    <w:rsid w:val="701433DC"/>
    <w:rsid w:val="70236C47"/>
    <w:rsid w:val="70244A99"/>
    <w:rsid w:val="703C0675"/>
    <w:rsid w:val="70631ED2"/>
    <w:rsid w:val="7064ABFF"/>
    <w:rsid w:val="70685AC9"/>
    <w:rsid w:val="70803A21"/>
    <w:rsid w:val="7093C0D5"/>
    <w:rsid w:val="7096D6B4"/>
    <w:rsid w:val="709793F2"/>
    <w:rsid w:val="709A18CE"/>
    <w:rsid w:val="70B68F25"/>
    <w:rsid w:val="70D12407"/>
    <w:rsid w:val="70DE76D6"/>
    <w:rsid w:val="70E5F529"/>
    <w:rsid w:val="71083165"/>
    <w:rsid w:val="71147345"/>
    <w:rsid w:val="7130C299"/>
    <w:rsid w:val="713D1421"/>
    <w:rsid w:val="71486CE5"/>
    <w:rsid w:val="716836D4"/>
    <w:rsid w:val="717036D7"/>
    <w:rsid w:val="71742FC0"/>
    <w:rsid w:val="717CA4CE"/>
    <w:rsid w:val="71A05729"/>
    <w:rsid w:val="71ADAEED"/>
    <w:rsid w:val="71B1725C"/>
    <w:rsid w:val="71B43E43"/>
    <w:rsid w:val="71C27F91"/>
    <w:rsid w:val="71DCB97F"/>
    <w:rsid w:val="71E6B935"/>
    <w:rsid w:val="71E97AD1"/>
    <w:rsid w:val="720C253F"/>
    <w:rsid w:val="72201019"/>
    <w:rsid w:val="722EBA3B"/>
    <w:rsid w:val="7239C358"/>
    <w:rsid w:val="725F023D"/>
    <w:rsid w:val="726F1041"/>
    <w:rsid w:val="728A0F77"/>
    <w:rsid w:val="72963E7B"/>
    <w:rsid w:val="729730A3"/>
    <w:rsid w:val="72992169"/>
    <w:rsid w:val="72B481F6"/>
    <w:rsid w:val="72BB9275"/>
    <w:rsid w:val="72D65BE1"/>
    <w:rsid w:val="732FD7D9"/>
    <w:rsid w:val="7330E0C0"/>
    <w:rsid w:val="734C06CD"/>
    <w:rsid w:val="735CE6DF"/>
    <w:rsid w:val="73A3ADB9"/>
    <w:rsid w:val="73B36263"/>
    <w:rsid w:val="73C6A780"/>
    <w:rsid w:val="73E5261B"/>
    <w:rsid w:val="73ED8464"/>
    <w:rsid w:val="73F030D0"/>
    <w:rsid w:val="73F15B91"/>
    <w:rsid w:val="73F55386"/>
    <w:rsid w:val="73F6B301"/>
    <w:rsid w:val="74044E16"/>
    <w:rsid w:val="74049E51"/>
    <w:rsid w:val="740C117A"/>
    <w:rsid w:val="74263513"/>
    <w:rsid w:val="74321BC5"/>
    <w:rsid w:val="7442881E"/>
    <w:rsid w:val="7457945E"/>
    <w:rsid w:val="745B8DF2"/>
    <w:rsid w:val="7465323A"/>
    <w:rsid w:val="74754475"/>
    <w:rsid w:val="747D578E"/>
    <w:rsid w:val="7485BEAA"/>
    <w:rsid w:val="749AC380"/>
    <w:rsid w:val="74C24E2D"/>
    <w:rsid w:val="74C91210"/>
    <w:rsid w:val="74CE3C84"/>
    <w:rsid w:val="74E0AA4A"/>
    <w:rsid w:val="74E5F3E5"/>
    <w:rsid w:val="74EC22F9"/>
    <w:rsid w:val="74EC99FD"/>
    <w:rsid w:val="74F0A815"/>
    <w:rsid w:val="75061D94"/>
    <w:rsid w:val="7510FED0"/>
    <w:rsid w:val="7529F1FC"/>
    <w:rsid w:val="7533A850"/>
    <w:rsid w:val="753C3A53"/>
    <w:rsid w:val="75435321"/>
    <w:rsid w:val="754D4260"/>
    <w:rsid w:val="756E8B9B"/>
    <w:rsid w:val="758D4745"/>
    <w:rsid w:val="759D48EC"/>
    <w:rsid w:val="75C90B83"/>
    <w:rsid w:val="75CB9D29"/>
    <w:rsid w:val="75E172FB"/>
    <w:rsid w:val="75E75AAC"/>
    <w:rsid w:val="75FF7854"/>
    <w:rsid w:val="760F8627"/>
    <w:rsid w:val="761807E5"/>
    <w:rsid w:val="7631E609"/>
    <w:rsid w:val="764396DE"/>
    <w:rsid w:val="764A20CD"/>
    <w:rsid w:val="765AEA1D"/>
    <w:rsid w:val="76691CB0"/>
    <w:rsid w:val="766A2C8C"/>
    <w:rsid w:val="7672EC65"/>
    <w:rsid w:val="767BD183"/>
    <w:rsid w:val="767CA8F1"/>
    <w:rsid w:val="768870BD"/>
    <w:rsid w:val="768C8BB9"/>
    <w:rsid w:val="768EE760"/>
    <w:rsid w:val="769CB383"/>
    <w:rsid w:val="76A97099"/>
    <w:rsid w:val="76B39EA8"/>
    <w:rsid w:val="76C7359B"/>
    <w:rsid w:val="76CB2D4E"/>
    <w:rsid w:val="76D398F7"/>
    <w:rsid w:val="7705B9C9"/>
    <w:rsid w:val="771023B7"/>
    <w:rsid w:val="771820BD"/>
    <w:rsid w:val="7718FDA5"/>
    <w:rsid w:val="7727D3BC"/>
    <w:rsid w:val="7728C0C8"/>
    <w:rsid w:val="77322D25"/>
    <w:rsid w:val="7751DF3A"/>
    <w:rsid w:val="775317E2"/>
    <w:rsid w:val="7757C57B"/>
    <w:rsid w:val="776D6141"/>
    <w:rsid w:val="778E364B"/>
    <w:rsid w:val="77BAF592"/>
    <w:rsid w:val="77BDC0C5"/>
    <w:rsid w:val="77C35DA4"/>
    <w:rsid w:val="77C82713"/>
    <w:rsid w:val="77D32027"/>
    <w:rsid w:val="77E69899"/>
    <w:rsid w:val="78037F31"/>
    <w:rsid w:val="780605CC"/>
    <w:rsid w:val="780A3B2D"/>
    <w:rsid w:val="782D44FE"/>
    <w:rsid w:val="78324C22"/>
    <w:rsid w:val="783FCA11"/>
    <w:rsid w:val="7840FC1C"/>
    <w:rsid w:val="7854FC24"/>
    <w:rsid w:val="786357FE"/>
    <w:rsid w:val="7863889A"/>
    <w:rsid w:val="7864FC0A"/>
    <w:rsid w:val="78661838"/>
    <w:rsid w:val="786A2FBB"/>
    <w:rsid w:val="787B6F7E"/>
    <w:rsid w:val="78911E95"/>
    <w:rsid w:val="78933B30"/>
    <w:rsid w:val="789E0298"/>
    <w:rsid w:val="789F8669"/>
    <w:rsid w:val="78B69F50"/>
    <w:rsid w:val="78D2CC60"/>
    <w:rsid w:val="78D41E34"/>
    <w:rsid w:val="78DF94F3"/>
    <w:rsid w:val="78E17D35"/>
    <w:rsid w:val="78ECE01C"/>
    <w:rsid w:val="78EDFF83"/>
    <w:rsid w:val="78F537CC"/>
    <w:rsid w:val="78FACDBE"/>
    <w:rsid w:val="78FD6271"/>
    <w:rsid w:val="78FEFBCD"/>
    <w:rsid w:val="790C9053"/>
    <w:rsid w:val="791C4400"/>
    <w:rsid w:val="7925B0CA"/>
    <w:rsid w:val="792AA786"/>
    <w:rsid w:val="792CBB75"/>
    <w:rsid w:val="795CE547"/>
    <w:rsid w:val="79609C18"/>
    <w:rsid w:val="79658402"/>
    <w:rsid w:val="79767931"/>
    <w:rsid w:val="798CF1F2"/>
    <w:rsid w:val="7994161B"/>
    <w:rsid w:val="79997392"/>
    <w:rsid w:val="79A3DD1B"/>
    <w:rsid w:val="79ACFF32"/>
    <w:rsid w:val="79AE8267"/>
    <w:rsid w:val="79B35E66"/>
    <w:rsid w:val="79D70917"/>
    <w:rsid w:val="79F2E8FB"/>
    <w:rsid w:val="79F838AA"/>
    <w:rsid w:val="7A3079D2"/>
    <w:rsid w:val="7A38F50B"/>
    <w:rsid w:val="7A3AD3F3"/>
    <w:rsid w:val="7A433945"/>
    <w:rsid w:val="7A45BFF2"/>
    <w:rsid w:val="7A46DE65"/>
    <w:rsid w:val="7A4904CB"/>
    <w:rsid w:val="7A523D38"/>
    <w:rsid w:val="7A5A2403"/>
    <w:rsid w:val="7A5FE87F"/>
    <w:rsid w:val="7A67CC6A"/>
    <w:rsid w:val="7A84200D"/>
    <w:rsid w:val="7A9D7F3C"/>
    <w:rsid w:val="7AA7C1C1"/>
    <w:rsid w:val="7AB49307"/>
    <w:rsid w:val="7ABFE48D"/>
    <w:rsid w:val="7ACE56C7"/>
    <w:rsid w:val="7AE0A724"/>
    <w:rsid w:val="7AF1CA75"/>
    <w:rsid w:val="7B0ED52A"/>
    <w:rsid w:val="7B14338F"/>
    <w:rsid w:val="7B261ADC"/>
    <w:rsid w:val="7B2AD78F"/>
    <w:rsid w:val="7B3A5B02"/>
    <w:rsid w:val="7B3E6A7A"/>
    <w:rsid w:val="7B4647B0"/>
    <w:rsid w:val="7B47AC42"/>
    <w:rsid w:val="7B5BEC2B"/>
    <w:rsid w:val="7B710C82"/>
    <w:rsid w:val="7B763166"/>
    <w:rsid w:val="7B88A827"/>
    <w:rsid w:val="7B9C1C55"/>
    <w:rsid w:val="7BA2C7E7"/>
    <w:rsid w:val="7BA769C8"/>
    <w:rsid w:val="7BCB5AD6"/>
    <w:rsid w:val="7BDAB8FE"/>
    <w:rsid w:val="7BDCA079"/>
    <w:rsid w:val="7BDE86F1"/>
    <w:rsid w:val="7BDEC335"/>
    <w:rsid w:val="7BE7A81E"/>
    <w:rsid w:val="7C1508B6"/>
    <w:rsid w:val="7C23F569"/>
    <w:rsid w:val="7C245BDD"/>
    <w:rsid w:val="7C3329CB"/>
    <w:rsid w:val="7C33569D"/>
    <w:rsid w:val="7C346502"/>
    <w:rsid w:val="7C410434"/>
    <w:rsid w:val="7C4CB6DE"/>
    <w:rsid w:val="7C552136"/>
    <w:rsid w:val="7C655741"/>
    <w:rsid w:val="7C72E721"/>
    <w:rsid w:val="7C820AAC"/>
    <w:rsid w:val="7C84BACA"/>
    <w:rsid w:val="7CA1EF2B"/>
    <w:rsid w:val="7CA466C0"/>
    <w:rsid w:val="7CAB1541"/>
    <w:rsid w:val="7CAE90C5"/>
    <w:rsid w:val="7CBC0D83"/>
    <w:rsid w:val="7CBF5AAE"/>
    <w:rsid w:val="7CCF2E0F"/>
    <w:rsid w:val="7CD6679F"/>
    <w:rsid w:val="7CDFECB0"/>
    <w:rsid w:val="7CEF2556"/>
    <w:rsid w:val="7CF31EEB"/>
    <w:rsid w:val="7CF6CAAB"/>
    <w:rsid w:val="7CFE35A5"/>
    <w:rsid w:val="7CFE6383"/>
    <w:rsid w:val="7D073ED3"/>
    <w:rsid w:val="7D09B18E"/>
    <w:rsid w:val="7D1DFB76"/>
    <w:rsid w:val="7D287F4C"/>
    <w:rsid w:val="7D3D80A7"/>
    <w:rsid w:val="7D3DEC0F"/>
    <w:rsid w:val="7D506F3D"/>
    <w:rsid w:val="7D7DE876"/>
    <w:rsid w:val="7D852330"/>
    <w:rsid w:val="7D97DF36"/>
    <w:rsid w:val="7DA34EE8"/>
    <w:rsid w:val="7DB0B34B"/>
    <w:rsid w:val="7DB83EBD"/>
    <w:rsid w:val="7DC0138B"/>
    <w:rsid w:val="7DC95B2A"/>
    <w:rsid w:val="7DD13DA7"/>
    <w:rsid w:val="7DD7FF24"/>
    <w:rsid w:val="7DE01C61"/>
    <w:rsid w:val="7DED3358"/>
    <w:rsid w:val="7DF5EAA0"/>
    <w:rsid w:val="7E29AD4E"/>
    <w:rsid w:val="7E2DEF46"/>
    <w:rsid w:val="7E39C5AB"/>
    <w:rsid w:val="7E3CBE4C"/>
    <w:rsid w:val="7E3F026C"/>
    <w:rsid w:val="7E5AE034"/>
    <w:rsid w:val="7E63F537"/>
    <w:rsid w:val="7E6F9636"/>
    <w:rsid w:val="7E84489D"/>
    <w:rsid w:val="7E8F0C26"/>
    <w:rsid w:val="7E90C9FF"/>
    <w:rsid w:val="7EBB20F0"/>
    <w:rsid w:val="7ED610D5"/>
    <w:rsid w:val="7EE6002B"/>
    <w:rsid w:val="7EE8B4EB"/>
    <w:rsid w:val="7EEF205D"/>
    <w:rsid w:val="7F08F30E"/>
    <w:rsid w:val="7F18EE44"/>
    <w:rsid w:val="7F1E5DAB"/>
    <w:rsid w:val="7F2CE51D"/>
    <w:rsid w:val="7F31A3B5"/>
    <w:rsid w:val="7F398FED"/>
    <w:rsid w:val="7F39BDEF"/>
    <w:rsid w:val="7F3C055D"/>
    <w:rsid w:val="7F549204"/>
    <w:rsid w:val="7F5511BE"/>
    <w:rsid w:val="7F665AA3"/>
    <w:rsid w:val="7F6782AF"/>
    <w:rsid w:val="7F6833DA"/>
    <w:rsid w:val="7F7BEA08"/>
    <w:rsid w:val="7F7CE60F"/>
    <w:rsid w:val="7F9A10D4"/>
    <w:rsid w:val="7FB1E365"/>
    <w:rsid w:val="7FD6DC43"/>
    <w:rsid w:val="7FF3CD84"/>
    <w:rsid w:val="7FFAC649"/>
    <w:rsid w:val="7FFF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ABD3"/>
  <w15:chartTrackingRefBased/>
  <w15:docId w15:val="{F56AD3DE-20FF-4A65-BE96-13AE15A8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7CB4683"/>
    <w:pPr>
      <w:ind w:left="720"/>
      <w:contextualSpacing/>
    </w:pPr>
  </w:style>
  <w:style w:type="paragraph" w:styleId="EndnoteText">
    <w:name w:val="endnote text"/>
    <w:basedOn w:val="Normal"/>
    <w:uiPriority w:val="99"/>
    <w:semiHidden/>
    <w:unhideWhenUsed/>
    <w:rsid w:val="26888584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26888584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37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F85"/>
  </w:style>
  <w:style w:type="paragraph" w:styleId="Footer">
    <w:name w:val="footer"/>
    <w:basedOn w:val="Normal"/>
    <w:link w:val="FooterChar"/>
    <w:uiPriority w:val="99"/>
    <w:semiHidden/>
    <w:unhideWhenUsed/>
    <w:rsid w:val="00337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7355</Words>
  <Characters>41929</Characters>
  <Application>Microsoft Office Word</Application>
  <DocSecurity>0</DocSecurity>
  <Lines>349</Lines>
  <Paragraphs>98</Paragraphs>
  <ScaleCrop>false</ScaleCrop>
  <Company/>
  <LinksUpToDate>false</LinksUpToDate>
  <CharactersWithSpaces>49186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levine</dc:creator>
  <cp:keywords/>
  <dc:description/>
  <cp:lastModifiedBy>Michael Epstein</cp:lastModifiedBy>
  <cp:revision>2</cp:revision>
  <dcterms:created xsi:type="dcterms:W3CDTF">2025-11-13T16:29:00Z</dcterms:created>
  <dcterms:modified xsi:type="dcterms:W3CDTF">2025-11-13T16:29:00Z</dcterms:modified>
</cp:coreProperties>
</file>