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6915" w14:textId="7C103303" w:rsidR="00627394" w:rsidRPr="00AB12F4" w:rsidRDefault="00746664" w:rsidP="006A02F1">
      <w:pPr>
        <w:pStyle w:val="Heading1"/>
        <w:numPr>
          <w:ilvl w:val="0"/>
          <w:numId w:val="0"/>
        </w:numPr>
        <w:jc w:val="center"/>
      </w:pPr>
      <w:bookmarkStart w:id="0" w:name="_Toc212826879"/>
      <w:bookmarkStart w:id="1" w:name="_Toc213017900"/>
      <w:r w:rsidRPr="00746664">
        <w:t>WHAT IS “THE PRESS”?  A NEW DEFINITION FOR A NEW MEDIA ERA</w:t>
      </w:r>
      <w:bookmarkEnd w:id="0"/>
      <w:bookmarkEnd w:id="1"/>
    </w:p>
    <w:p w14:paraId="7229456E" w14:textId="34596EDB" w:rsidR="000962C8" w:rsidRPr="00AB12F4" w:rsidRDefault="000962C8" w:rsidP="000962C8">
      <w:pPr>
        <w:jc w:val="center"/>
        <w:rPr>
          <w:rFonts w:ascii="Century Schoolbook" w:hAnsi="Century Schoolbook"/>
          <w:b/>
          <w:bCs/>
        </w:rPr>
      </w:pPr>
    </w:p>
    <w:p w14:paraId="65FE9A5A" w14:textId="4B035DB1" w:rsidR="000962C8" w:rsidRPr="00AB12F4" w:rsidRDefault="000962C8" w:rsidP="000962C8">
      <w:pPr>
        <w:jc w:val="center"/>
        <w:rPr>
          <w:rFonts w:ascii="Century Schoolbook" w:hAnsi="Century Schoolbook"/>
          <w:b/>
          <w:bCs/>
        </w:rPr>
      </w:pPr>
      <w:r w:rsidRPr="00AB12F4">
        <w:rPr>
          <w:rFonts w:ascii="Century Schoolbook" w:hAnsi="Century Schoolbook"/>
          <w:b/>
          <w:bCs/>
        </w:rPr>
        <w:t>Lauren Gailey</w:t>
      </w:r>
      <w:r w:rsidR="006A02F1">
        <w:rPr>
          <w:rFonts w:ascii="Century Schoolbook" w:hAnsi="Century Schoolbook"/>
          <w:b/>
          <w:bCs/>
        </w:rPr>
        <w:t>*</w:t>
      </w:r>
    </w:p>
    <w:p w14:paraId="0E99A22F" w14:textId="36EF8C1D" w:rsidR="000962C8" w:rsidRDefault="000962C8" w:rsidP="000962C8">
      <w:pPr>
        <w:jc w:val="center"/>
        <w:rPr>
          <w:rFonts w:ascii="Century Schoolbook" w:hAnsi="Century Schoolbook"/>
        </w:rPr>
      </w:pPr>
    </w:p>
    <w:p w14:paraId="028037E6" w14:textId="3F8CBE78" w:rsidR="00AB12F4" w:rsidRPr="00471781" w:rsidRDefault="00AB12F4" w:rsidP="006A02F1">
      <w:pPr>
        <w:pStyle w:val="Heading1"/>
        <w:numPr>
          <w:ilvl w:val="0"/>
          <w:numId w:val="0"/>
        </w:numPr>
        <w:jc w:val="center"/>
      </w:pPr>
      <w:bookmarkStart w:id="2" w:name="_Toc212826880"/>
      <w:bookmarkStart w:id="3" w:name="_Toc213017901"/>
      <w:r w:rsidRPr="00471781">
        <w:t>ABSTRACT</w:t>
      </w:r>
      <w:bookmarkEnd w:id="2"/>
      <w:bookmarkEnd w:id="3"/>
    </w:p>
    <w:p w14:paraId="4B448F15" w14:textId="68F88BA0" w:rsidR="00F41C88" w:rsidRPr="005B637F" w:rsidRDefault="00B56217" w:rsidP="003B1668">
      <w:pPr>
        <w:ind w:firstLine="720"/>
        <w:rPr>
          <w:rFonts w:ascii="Century Schoolbook" w:hAnsi="Century Schoolbook"/>
          <w:i/>
          <w:iCs/>
        </w:rPr>
      </w:pPr>
      <w:r>
        <w:rPr>
          <w:rFonts w:ascii="Century Schoolbook" w:hAnsi="Century Schoolbook"/>
          <w:i/>
          <w:iCs/>
        </w:rPr>
        <w:t>As</w:t>
      </w:r>
      <w:r w:rsidR="003B1668" w:rsidRPr="005B637F">
        <w:rPr>
          <w:rFonts w:ascii="Century Schoolbook" w:hAnsi="Century Schoolbook"/>
          <w:i/>
          <w:iCs/>
        </w:rPr>
        <w:t xml:space="preserve"> Jane Austen</w:t>
      </w:r>
      <w:r>
        <w:rPr>
          <w:rFonts w:ascii="Century Schoolbook" w:hAnsi="Century Schoolbook"/>
          <w:i/>
          <w:iCs/>
        </w:rPr>
        <w:t xml:space="preserve"> might put it</w:t>
      </w:r>
      <w:r w:rsidR="00F41C88" w:rsidRPr="005B637F">
        <w:rPr>
          <w:rFonts w:ascii="Century Schoolbook" w:hAnsi="Century Schoolbook"/>
          <w:i/>
          <w:iCs/>
        </w:rPr>
        <w:t>, it is a truth (almost) universally acknowledged that the Press Clause</w:t>
      </w:r>
      <w:r w:rsidR="005B637F">
        <w:rPr>
          <w:rFonts w:ascii="Century Schoolbook" w:hAnsi="Century Schoolbook"/>
          <w:i/>
          <w:iCs/>
        </w:rPr>
        <w:t xml:space="preserve"> of the First Amendment</w:t>
      </w:r>
      <w:r w:rsidR="00F41C88" w:rsidRPr="005B637F">
        <w:rPr>
          <w:rFonts w:ascii="Century Schoolbook" w:hAnsi="Century Schoolbook"/>
          <w:i/>
          <w:iCs/>
        </w:rPr>
        <w:t xml:space="preserve"> does not confer </w:t>
      </w:r>
      <w:r w:rsidR="005B637F">
        <w:rPr>
          <w:rFonts w:ascii="Century Schoolbook" w:hAnsi="Century Schoolbook"/>
          <w:i/>
          <w:iCs/>
        </w:rPr>
        <w:t xml:space="preserve">any </w:t>
      </w:r>
      <w:r w:rsidR="00F41C88" w:rsidRPr="005B637F">
        <w:rPr>
          <w:rFonts w:ascii="Century Schoolbook" w:hAnsi="Century Schoolbook"/>
          <w:i/>
          <w:iCs/>
        </w:rPr>
        <w:t xml:space="preserve">more </w:t>
      </w:r>
      <w:r>
        <w:rPr>
          <w:rFonts w:ascii="Century Schoolbook" w:hAnsi="Century Schoolbook"/>
          <w:i/>
          <w:iCs/>
        </w:rPr>
        <w:t>or better</w:t>
      </w:r>
      <w:r w:rsidR="00F41C88" w:rsidRPr="005B637F">
        <w:rPr>
          <w:rFonts w:ascii="Century Schoolbook" w:hAnsi="Century Schoolbook"/>
          <w:i/>
          <w:iCs/>
        </w:rPr>
        <w:t xml:space="preserve"> </w:t>
      </w:r>
      <w:r w:rsidRPr="005B637F">
        <w:rPr>
          <w:rFonts w:ascii="Century Schoolbook" w:hAnsi="Century Schoolbook"/>
          <w:i/>
          <w:iCs/>
        </w:rPr>
        <w:t>rights</w:t>
      </w:r>
      <w:r>
        <w:rPr>
          <w:rFonts w:ascii="Century Schoolbook" w:hAnsi="Century Schoolbook"/>
          <w:i/>
          <w:iCs/>
        </w:rPr>
        <w:t xml:space="preserve"> </w:t>
      </w:r>
      <w:r w:rsidR="00F41C88" w:rsidRPr="005B637F">
        <w:rPr>
          <w:rFonts w:ascii="Century Schoolbook" w:hAnsi="Century Schoolbook"/>
          <w:i/>
          <w:iCs/>
        </w:rPr>
        <w:t>than the Speech Clause.</w:t>
      </w:r>
      <w:r w:rsidR="003B1668" w:rsidRPr="005B637F">
        <w:rPr>
          <w:rFonts w:ascii="Century Schoolbook" w:hAnsi="Century Schoolbook"/>
          <w:i/>
          <w:iCs/>
        </w:rPr>
        <w:t xml:space="preserve"> </w:t>
      </w:r>
      <w:r w:rsidR="00F41C88" w:rsidRPr="005B637F">
        <w:rPr>
          <w:rFonts w:ascii="Century Schoolbook" w:hAnsi="Century Schoolbook"/>
          <w:i/>
          <w:iCs/>
        </w:rPr>
        <w:t xml:space="preserve"> And yet</w:t>
      </w:r>
      <w:proofErr w:type="gramStart"/>
      <w:r w:rsidR="00F41C88" w:rsidRPr="005B637F">
        <w:rPr>
          <w:rFonts w:ascii="Century Schoolbook" w:hAnsi="Century Schoolbook"/>
          <w:i/>
          <w:iCs/>
        </w:rPr>
        <w:t xml:space="preserve">, in </w:t>
      </w:r>
      <w:r w:rsidR="003B1668" w:rsidRPr="005B637F">
        <w:rPr>
          <w:rFonts w:ascii="Century Schoolbook" w:hAnsi="Century Schoolbook"/>
          <w:i/>
          <w:iCs/>
        </w:rPr>
        <w:t>reality</w:t>
      </w:r>
      <w:r w:rsidR="00F41C88" w:rsidRPr="005B637F">
        <w:rPr>
          <w:rFonts w:ascii="Century Schoolbook" w:hAnsi="Century Schoolbook"/>
          <w:i/>
          <w:iCs/>
        </w:rPr>
        <w:t>, it</w:t>
      </w:r>
      <w:proofErr w:type="gramEnd"/>
      <w:r w:rsidR="00F41C88" w:rsidRPr="005B637F">
        <w:rPr>
          <w:rFonts w:ascii="Century Schoolbook" w:hAnsi="Century Schoolbook"/>
          <w:i/>
          <w:iCs/>
        </w:rPr>
        <w:t xml:space="preserve"> often does</w:t>
      </w:r>
      <w:r w:rsidR="00BE1DD1">
        <w:rPr>
          <w:rFonts w:ascii="Century Schoolbook" w:hAnsi="Century Schoolbook"/>
          <w:i/>
          <w:iCs/>
        </w:rPr>
        <w:t>.  For example,</w:t>
      </w:r>
      <w:r w:rsidR="00F41C88" w:rsidRPr="005B637F">
        <w:rPr>
          <w:rFonts w:ascii="Century Schoolbook" w:hAnsi="Century Schoolbook"/>
          <w:i/>
          <w:iCs/>
        </w:rPr>
        <w:t xml:space="preserve"> </w:t>
      </w:r>
      <w:r w:rsidR="003B1668" w:rsidRPr="005B637F">
        <w:rPr>
          <w:rFonts w:ascii="Century Schoolbook" w:hAnsi="Century Schoolbook"/>
          <w:i/>
          <w:iCs/>
        </w:rPr>
        <w:t>the press</w:t>
      </w:r>
      <w:r w:rsidR="00BE1DD1">
        <w:rPr>
          <w:rFonts w:ascii="Century Schoolbook" w:hAnsi="Century Schoolbook"/>
          <w:i/>
          <w:iCs/>
        </w:rPr>
        <w:t xml:space="preserve"> in fact</w:t>
      </w:r>
      <w:r w:rsidR="003B1668" w:rsidRPr="005B637F">
        <w:rPr>
          <w:rFonts w:ascii="Century Schoolbook" w:hAnsi="Century Schoolbook"/>
          <w:i/>
          <w:iCs/>
        </w:rPr>
        <w:t xml:space="preserve"> enjoys </w:t>
      </w:r>
      <w:r w:rsidR="00F41C88" w:rsidRPr="005B637F">
        <w:rPr>
          <w:rFonts w:ascii="Century Schoolbook" w:hAnsi="Century Schoolbook"/>
          <w:i/>
          <w:iCs/>
        </w:rPr>
        <w:t>special access</w:t>
      </w:r>
      <w:r w:rsidR="003B1668" w:rsidRPr="005B637F">
        <w:rPr>
          <w:rFonts w:ascii="Century Schoolbook" w:hAnsi="Century Schoolbook"/>
          <w:i/>
          <w:iCs/>
        </w:rPr>
        <w:t xml:space="preserve"> to jails</w:t>
      </w:r>
      <w:r w:rsidR="00F41C88" w:rsidRPr="005B637F">
        <w:rPr>
          <w:rFonts w:ascii="Century Schoolbook" w:hAnsi="Century Schoolbook"/>
          <w:i/>
          <w:iCs/>
        </w:rPr>
        <w:t>, the reporter</w:t>
      </w:r>
      <w:r w:rsidR="000B7B5F" w:rsidRPr="005B637F">
        <w:rPr>
          <w:rFonts w:ascii="Century Schoolbook" w:hAnsi="Century Schoolbook"/>
          <w:i/>
          <w:iCs/>
        </w:rPr>
        <w:t>’</w:t>
      </w:r>
      <w:r w:rsidR="00F41C88" w:rsidRPr="005B637F">
        <w:rPr>
          <w:rFonts w:ascii="Century Schoolbook" w:hAnsi="Century Schoolbook"/>
          <w:i/>
          <w:iCs/>
        </w:rPr>
        <w:t>s privilege, and heightened standards for newsroom searches and defamation claims.</w:t>
      </w:r>
    </w:p>
    <w:p w14:paraId="059F279B" w14:textId="22115BCF" w:rsidR="003B1668" w:rsidRPr="005B637F" w:rsidRDefault="00F41C88" w:rsidP="003B1668">
      <w:pPr>
        <w:ind w:firstLine="720"/>
        <w:rPr>
          <w:rFonts w:ascii="Century Schoolbook" w:hAnsi="Century Schoolbook"/>
          <w:i/>
          <w:iCs/>
        </w:rPr>
      </w:pPr>
      <w:r w:rsidRPr="005B637F">
        <w:rPr>
          <w:rFonts w:ascii="Century Schoolbook" w:hAnsi="Century Schoolbook"/>
          <w:i/>
          <w:iCs/>
        </w:rPr>
        <w:t xml:space="preserve">The </w:t>
      </w:r>
      <w:r w:rsidR="003B1668" w:rsidRPr="005B637F">
        <w:rPr>
          <w:rFonts w:ascii="Century Schoolbook" w:hAnsi="Century Schoolbook"/>
          <w:i/>
          <w:iCs/>
        </w:rPr>
        <w:t xml:space="preserve">U.S. </w:t>
      </w:r>
      <w:r w:rsidRPr="005B637F">
        <w:rPr>
          <w:rFonts w:ascii="Century Schoolbook" w:hAnsi="Century Schoolbook"/>
          <w:i/>
          <w:iCs/>
        </w:rPr>
        <w:t>Supreme Court</w:t>
      </w:r>
      <w:r w:rsidR="000B7B5F" w:rsidRPr="005B637F">
        <w:rPr>
          <w:rFonts w:ascii="Century Schoolbook" w:hAnsi="Century Schoolbook"/>
          <w:i/>
          <w:iCs/>
        </w:rPr>
        <w:t>’</w:t>
      </w:r>
      <w:r w:rsidRPr="005B637F">
        <w:rPr>
          <w:rFonts w:ascii="Century Schoolbook" w:hAnsi="Century Schoolbook"/>
          <w:i/>
          <w:iCs/>
        </w:rPr>
        <w:t xml:space="preserve">s reluctance to acknowledge these special rights even as it awards them </w:t>
      </w:r>
      <w:r w:rsidR="005B637F">
        <w:rPr>
          <w:rFonts w:ascii="Century Schoolbook" w:hAnsi="Century Schoolbook"/>
          <w:i/>
          <w:iCs/>
        </w:rPr>
        <w:t xml:space="preserve">in practice </w:t>
      </w:r>
      <w:r w:rsidRPr="005B637F">
        <w:rPr>
          <w:rFonts w:ascii="Century Schoolbook" w:hAnsi="Century Schoolbook"/>
          <w:i/>
          <w:iCs/>
        </w:rPr>
        <w:t xml:space="preserve">can be </w:t>
      </w:r>
      <w:r w:rsidR="00B56217">
        <w:rPr>
          <w:rFonts w:ascii="Century Schoolbook" w:hAnsi="Century Schoolbook"/>
          <w:i/>
          <w:iCs/>
        </w:rPr>
        <w:t>blamed on</w:t>
      </w:r>
      <w:r w:rsidRPr="005B637F">
        <w:rPr>
          <w:rFonts w:ascii="Century Schoolbook" w:hAnsi="Century Schoolbook"/>
          <w:i/>
          <w:iCs/>
        </w:rPr>
        <w:t xml:space="preserve"> the difficulty of the threshold question. </w:t>
      </w:r>
      <w:r w:rsidR="00BE1DD1">
        <w:rPr>
          <w:rFonts w:ascii="Century Schoolbook" w:hAnsi="Century Schoolbook"/>
          <w:i/>
          <w:iCs/>
        </w:rPr>
        <w:t xml:space="preserve"> </w:t>
      </w:r>
      <w:r w:rsidRPr="005B637F">
        <w:rPr>
          <w:rFonts w:ascii="Century Schoolbook" w:hAnsi="Century Schoolbook"/>
          <w:i/>
          <w:iCs/>
        </w:rPr>
        <w:t xml:space="preserve">If the press is entitled to special treatment, courts will have to say what </w:t>
      </w:r>
      <w:r w:rsidR="000B7B5F" w:rsidRPr="005B637F">
        <w:rPr>
          <w:rFonts w:ascii="Century Schoolbook" w:hAnsi="Century Schoolbook"/>
          <w:i/>
          <w:iCs/>
        </w:rPr>
        <w:t>“</w:t>
      </w:r>
      <w:r w:rsidRPr="005B637F">
        <w:rPr>
          <w:rFonts w:ascii="Century Schoolbook" w:hAnsi="Century Schoolbook"/>
          <w:i/>
          <w:iCs/>
        </w:rPr>
        <w:t>the press</w:t>
      </w:r>
      <w:r w:rsidR="000B7B5F" w:rsidRPr="005B637F">
        <w:rPr>
          <w:rFonts w:ascii="Century Schoolbook" w:hAnsi="Century Schoolbook"/>
          <w:i/>
          <w:iCs/>
        </w:rPr>
        <w:t>”</w:t>
      </w:r>
      <w:r w:rsidRPr="005B637F">
        <w:rPr>
          <w:rFonts w:ascii="Century Schoolbook" w:hAnsi="Century Schoolbook"/>
          <w:i/>
          <w:iCs/>
        </w:rPr>
        <w:t xml:space="preserve"> is.</w:t>
      </w:r>
      <w:r w:rsidR="003B1668" w:rsidRPr="005B637F">
        <w:rPr>
          <w:rFonts w:ascii="Century Schoolbook" w:hAnsi="Century Schoolbook"/>
          <w:i/>
          <w:iCs/>
        </w:rPr>
        <w:t xml:space="preserve">  And t</w:t>
      </w:r>
      <w:r w:rsidRPr="005B637F">
        <w:rPr>
          <w:rFonts w:ascii="Century Schoolbook" w:hAnsi="Century Schoolbook"/>
          <w:i/>
          <w:iCs/>
        </w:rPr>
        <w:t>his is no easy task.</w:t>
      </w:r>
    </w:p>
    <w:p w14:paraId="4AC08D4A" w14:textId="0C1CD01A" w:rsidR="00F41C88" w:rsidRPr="005B637F" w:rsidRDefault="00F41C88" w:rsidP="003B1668">
      <w:pPr>
        <w:ind w:firstLine="720"/>
        <w:rPr>
          <w:rFonts w:ascii="Century Schoolbook" w:hAnsi="Century Schoolbook"/>
          <w:i/>
          <w:iCs/>
        </w:rPr>
      </w:pPr>
      <w:r w:rsidRPr="005B637F">
        <w:rPr>
          <w:rFonts w:ascii="Century Schoolbook" w:hAnsi="Century Schoolbook"/>
          <w:i/>
          <w:iCs/>
        </w:rPr>
        <w:t>The drafting history sheds little light on what the Framers intended</w:t>
      </w:r>
      <w:r w:rsidR="005B637F">
        <w:rPr>
          <w:rFonts w:ascii="Century Schoolbook" w:hAnsi="Century Schoolbook"/>
          <w:i/>
          <w:iCs/>
        </w:rPr>
        <w:t>, and founding-era sources are ambiguous</w:t>
      </w:r>
      <w:r w:rsidRPr="005B637F">
        <w:rPr>
          <w:rFonts w:ascii="Century Schoolbook" w:hAnsi="Century Schoolbook"/>
          <w:i/>
          <w:iCs/>
        </w:rPr>
        <w:t xml:space="preserve">. </w:t>
      </w:r>
      <w:r w:rsidR="005B637F">
        <w:rPr>
          <w:rFonts w:ascii="Century Schoolbook" w:hAnsi="Century Schoolbook"/>
          <w:i/>
          <w:iCs/>
        </w:rPr>
        <w:t xml:space="preserve"> Not surprisingly, s</w:t>
      </w:r>
      <w:r w:rsidRPr="005B637F">
        <w:rPr>
          <w:rFonts w:ascii="Century Schoolbook" w:hAnsi="Century Schoolbook"/>
          <w:i/>
          <w:iCs/>
        </w:rPr>
        <w:t xml:space="preserve">cholars have struggled to reach </w:t>
      </w:r>
      <w:r w:rsidR="005B637F">
        <w:rPr>
          <w:rFonts w:ascii="Century Schoolbook" w:hAnsi="Century Schoolbook"/>
          <w:i/>
          <w:iCs/>
        </w:rPr>
        <w:t xml:space="preserve">a </w:t>
      </w:r>
      <w:r w:rsidRPr="005B637F">
        <w:rPr>
          <w:rFonts w:ascii="Century Schoolbook" w:hAnsi="Century Schoolbook"/>
          <w:i/>
          <w:iCs/>
        </w:rPr>
        <w:t>consensus</w:t>
      </w:r>
      <w:r w:rsidR="005B637F">
        <w:rPr>
          <w:rFonts w:ascii="Century Schoolbook" w:hAnsi="Century Schoolbook"/>
          <w:i/>
          <w:iCs/>
        </w:rPr>
        <w:t xml:space="preserve"> on what “press” means</w:t>
      </w:r>
      <w:r w:rsidRPr="005B637F">
        <w:rPr>
          <w:rFonts w:ascii="Century Schoolbook" w:hAnsi="Century Schoolbook"/>
          <w:i/>
          <w:iCs/>
        </w:rPr>
        <w:t xml:space="preserve">. </w:t>
      </w:r>
      <w:r w:rsidR="005B637F">
        <w:rPr>
          <w:rFonts w:ascii="Century Schoolbook" w:hAnsi="Century Schoolbook"/>
          <w:i/>
          <w:iCs/>
        </w:rPr>
        <w:t xml:space="preserve"> </w:t>
      </w:r>
      <w:r w:rsidRPr="005B637F">
        <w:rPr>
          <w:rFonts w:ascii="Century Schoolbook" w:hAnsi="Century Schoolbook"/>
          <w:i/>
          <w:iCs/>
        </w:rPr>
        <w:t xml:space="preserve">Some </w:t>
      </w:r>
      <w:r w:rsidR="005B637F">
        <w:rPr>
          <w:rFonts w:ascii="Century Schoolbook" w:hAnsi="Century Schoolbook"/>
          <w:i/>
          <w:iCs/>
        </w:rPr>
        <w:t xml:space="preserve">view it </w:t>
      </w:r>
      <w:proofErr w:type="gramStart"/>
      <w:r w:rsidR="005B637F">
        <w:rPr>
          <w:rFonts w:ascii="Century Schoolbook" w:hAnsi="Century Schoolbook"/>
          <w:i/>
          <w:iCs/>
        </w:rPr>
        <w:t>narrowly,</w:t>
      </w:r>
      <w:proofErr w:type="gramEnd"/>
      <w:r w:rsidR="005B637F">
        <w:rPr>
          <w:rFonts w:ascii="Century Schoolbook" w:hAnsi="Century Schoolbook"/>
          <w:i/>
          <w:iCs/>
        </w:rPr>
        <w:t xml:space="preserve"> </w:t>
      </w:r>
      <w:r w:rsidRPr="005B637F">
        <w:rPr>
          <w:rFonts w:ascii="Century Schoolbook" w:hAnsi="Century Schoolbook"/>
          <w:i/>
          <w:iCs/>
        </w:rPr>
        <w:t xml:space="preserve">as an institution and </w:t>
      </w:r>
      <w:r w:rsidR="005B637F">
        <w:rPr>
          <w:rFonts w:ascii="Century Schoolbook" w:hAnsi="Century Schoolbook"/>
          <w:i/>
          <w:iCs/>
        </w:rPr>
        <w:t xml:space="preserve">a </w:t>
      </w:r>
      <w:r w:rsidRPr="005B637F">
        <w:rPr>
          <w:rFonts w:ascii="Century Schoolbook" w:hAnsi="Century Schoolbook"/>
          <w:i/>
          <w:iCs/>
        </w:rPr>
        <w:t>profession.</w:t>
      </w:r>
      <w:r w:rsidR="00E27C0B">
        <w:rPr>
          <w:rFonts w:ascii="Century Schoolbook" w:hAnsi="Century Schoolbook"/>
          <w:i/>
          <w:iCs/>
        </w:rPr>
        <w:t xml:space="preserve">  For others, </w:t>
      </w:r>
      <w:r w:rsidR="00145297">
        <w:rPr>
          <w:rFonts w:ascii="Century Schoolbook" w:hAnsi="Century Schoolbook"/>
          <w:i/>
          <w:iCs/>
        </w:rPr>
        <w:t>the press’s</w:t>
      </w:r>
      <w:r w:rsidR="00E27C0B">
        <w:rPr>
          <w:rFonts w:ascii="Century Schoolbook" w:hAnsi="Century Schoolbook"/>
          <w:i/>
          <w:iCs/>
        </w:rPr>
        <w:t xml:space="preserve"> intended function as a government watchdog is the salient factor.</w:t>
      </w:r>
      <w:r w:rsidRPr="005B637F">
        <w:rPr>
          <w:rFonts w:ascii="Century Schoolbook" w:hAnsi="Century Schoolbook"/>
          <w:i/>
          <w:iCs/>
        </w:rPr>
        <w:t xml:space="preserve"> </w:t>
      </w:r>
      <w:r w:rsidR="005B637F">
        <w:rPr>
          <w:rFonts w:ascii="Century Schoolbook" w:hAnsi="Century Schoolbook"/>
          <w:i/>
          <w:iCs/>
        </w:rPr>
        <w:t xml:space="preserve"> </w:t>
      </w:r>
      <w:r w:rsidR="00E27C0B">
        <w:rPr>
          <w:rFonts w:ascii="Century Schoolbook" w:hAnsi="Century Schoolbook"/>
          <w:i/>
          <w:iCs/>
        </w:rPr>
        <w:t>And still o</w:t>
      </w:r>
      <w:r w:rsidRPr="005B637F">
        <w:rPr>
          <w:rFonts w:ascii="Century Schoolbook" w:hAnsi="Century Schoolbook"/>
          <w:i/>
          <w:iCs/>
        </w:rPr>
        <w:t xml:space="preserve">thers </w:t>
      </w:r>
      <w:r w:rsidR="00E27C0B">
        <w:rPr>
          <w:rFonts w:ascii="Century Schoolbook" w:hAnsi="Century Schoolbook"/>
          <w:i/>
          <w:iCs/>
        </w:rPr>
        <w:t xml:space="preserve">interpret the term “press” broadly, as </w:t>
      </w:r>
      <w:r w:rsidRPr="005B637F">
        <w:rPr>
          <w:rFonts w:ascii="Century Schoolbook" w:hAnsi="Century Schoolbook"/>
          <w:i/>
          <w:iCs/>
        </w:rPr>
        <w:t xml:space="preserve">a </w:t>
      </w:r>
      <w:r w:rsidR="00E27C0B">
        <w:rPr>
          <w:rFonts w:ascii="Century Schoolbook" w:hAnsi="Century Schoolbook"/>
          <w:i/>
          <w:iCs/>
        </w:rPr>
        <w:t xml:space="preserve">mere </w:t>
      </w:r>
      <w:r w:rsidRPr="005B637F">
        <w:rPr>
          <w:rFonts w:ascii="Century Schoolbook" w:hAnsi="Century Schoolbook"/>
          <w:i/>
          <w:iCs/>
        </w:rPr>
        <w:t xml:space="preserve">technology anyone could use. </w:t>
      </w:r>
      <w:r w:rsidR="00145297">
        <w:rPr>
          <w:rFonts w:ascii="Century Schoolbook" w:hAnsi="Century Schoolbook"/>
          <w:i/>
          <w:iCs/>
        </w:rPr>
        <w:t xml:space="preserve"> </w:t>
      </w:r>
      <w:r w:rsidRPr="005B637F">
        <w:rPr>
          <w:rFonts w:ascii="Century Schoolbook" w:hAnsi="Century Schoolbook"/>
          <w:i/>
          <w:iCs/>
        </w:rPr>
        <w:t>None has proven to be a silver bullet.</w:t>
      </w:r>
      <w:r w:rsidR="00CB5E0A" w:rsidRPr="005B637F">
        <w:rPr>
          <w:rFonts w:ascii="Century Schoolbook" w:hAnsi="Century Schoolbook"/>
          <w:i/>
          <w:iCs/>
        </w:rPr>
        <w:t xml:space="preserve">  </w:t>
      </w:r>
      <w:r w:rsidRPr="005B637F">
        <w:rPr>
          <w:rFonts w:ascii="Century Schoolbook" w:hAnsi="Century Schoolbook"/>
          <w:i/>
          <w:iCs/>
        </w:rPr>
        <w:t xml:space="preserve">Nor is much help </w:t>
      </w:r>
      <w:r w:rsidR="00E27C0B">
        <w:rPr>
          <w:rFonts w:ascii="Century Schoolbook" w:hAnsi="Century Schoolbook"/>
          <w:i/>
          <w:iCs/>
        </w:rPr>
        <w:t xml:space="preserve">to be </w:t>
      </w:r>
      <w:r w:rsidRPr="005B637F">
        <w:rPr>
          <w:rFonts w:ascii="Century Schoolbook" w:hAnsi="Century Schoolbook"/>
          <w:i/>
          <w:iCs/>
        </w:rPr>
        <w:t xml:space="preserve">found in </w:t>
      </w:r>
      <w:r w:rsidR="00E27C0B">
        <w:rPr>
          <w:rFonts w:ascii="Century Schoolbook" w:hAnsi="Century Schoolbook"/>
          <w:i/>
          <w:iCs/>
        </w:rPr>
        <w:t xml:space="preserve">formalistic, outdated </w:t>
      </w:r>
      <w:r w:rsidRPr="005B637F">
        <w:rPr>
          <w:rFonts w:ascii="Century Schoolbook" w:hAnsi="Century Schoolbook"/>
          <w:i/>
          <w:iCs/>
        </w:rPr>
        <w:t>state statutory definitions.</w:t>
      </w:r>
    </w:p>
    <w:p w14:paraId="0B1EC2C4" w14:textId="3D32DB8C" w:rsidR="00F41C88" w:rsidRPr="005B637F" w:rsidRDefault="00F41C88" w:rsidP="00CB5E0A">
      <w:pPr>
        <w:ind w:firstLine="720"/>
        <w:rPr>
          <w:rFonts w:ascii="Century Schoolbook" w:hAnsi="Century Schoolbook"/>
          <w:i/>
          <w:iCs/>
        </w:rPr>
      </w:pPr>
      <w:r w:rsidRPr="005B637F">
        <w:rPr>
          <w:rFonts w:ascii="Century Schoolbook" w:hAnsi="Century Schoolbook"/>
          <w:i/>
          <w:iCs/>
        </w:rPr>
        <w:t>Fortunately, the choice</w:t>
      </w:r>
      <w:r w:rsidR="00E27C0B">
        <w:rPr>
          <w:rFonts w:ascii="Century Schoolbook" w:hAnsi="Century Schoolbook"/>
          <w:i/>
          <w:iCs/>
        </w:rPr>
        <w:t xml:space="preserve"> between a rigid, </w:t>
      </w:r>
      <w:r w:rsidRPr="005B637F">
        <w:rPr>
          <w:rFonts w:ascii="Century Schoolbook" w:hAnsi="Century Schoolbook"/>
          <w:i/>
          <w:iCs/>
        </w:rPr>
        <w:t xml:space="preserve">narrow view </w:t>
      </w:r>
      <w:r w:rsidR="00E27C0B">
        <w:rPr>
          <w:rFonts w:ascii="Century Schoolbook" w:hAnsi="Century Schoolbook"/>
          <w:i/>
          <w:iCs/>
        </w:rPr>
        <w:t xml:space="preserve">of </w:t>
      </w:r>
      <w:r w:rsidR="00454927">
        <w:rPr>
          <w:rFonts w:ascii="Century Schoolbook" w:hAnsi="Century Schoolbook"/>
          <w:i/>
          <w:iCs/>
        </w:rPr>
        <w:t>the</w:t>
      </w:r>
      <w:r w:rsidR="00E27C0B">
        <w:rPr>
          <w:rFonts w:ascii="Century Schoolbook" w:hAnsi="Century Schoolbook"/>
          <w:i/>
          <w:iCs/>
        </w:rPr>
        <w:t xml:space="preserve"> press </w:t>
      </w:r>
      <w:r w:rsidRPr="005B637F">
        <w:rPr>
          <w:rFonts w:ascii="Century Schoolbook" w:hAnsi="Century Schoolbook"/>
          <w:i/>
          <w:iCs/>
        </w:rPr>
        <w:t xml:space="preserve">and a definition so broad as to be </w:t>
      </w:r>
      <w:r w:rsidR="00145297">
        <w:rPr>
          <w:rFonts w:ascii="Century Schoolbook" w:hAnsi="Century Schoolbook"/>
          <w:i/>
          <w:iCs/>
        </w:rPr>
        <w:t>unbounded</w:t>
      </w:r>
      <w:r w:rsidRPr="005B637F">
        <w:rPr>
          <w:rFonts w:ascii="Century Schoolbook" w:hAnsi="Century Schoolbook"/>
          <w:i/>
          <w:iCs/>
        </w:rPr>
        <w:t xml:space="preserve"> is </w:t>
      </w:r>
      <w:r w:rsidR="00145297">
        <w:rPr>
          <w:rFonts w:ascii="Century Schoolbook" w:hAnsi="Century Schoolbook"/>
          <w:i/>
          <w:iCs/>
        </w:rPr>
        <w:t xml:space="preserve">a </w:t>
      </w:r>
      <w:r w:rsidRPr="005B637F">
        <w:rPr>
          <w:rFonts w:ascii="Century Schoolbook" w:hAnsi="Century Schoolbook"/>
          <w:i/>
          <w:iCs/>
        </w:rPr>
        <w:t>false</w:t>
      </w:r>
      <w:r w:rsidR="00145297">
        <w:rPr>
          <w:rFonts w:ascii="Century Schoolbook" w:hAnsi="Century Schoolbook"/>
          <w:i/>
          <w:iCs/>
        </w:rPr>
        <w:t xml:space="preserve"> one</w:t>
      </w:r>
      <w:r w:rsidRPr="005B637F">
        <w:rPr>
          <w:rFonts w:ascii="Century Schoolbook" w:hAnsi="Century Schoolbook"/>
          <w:i/>
          <w:iCs/>
        </w:rPr>
        <w:t>.</w:t>
      </w:r>
      <w:r w:rsidR="00650479">
        <w:rPr>
          <w:rFonts w:ascii="Century Schoolbook" w:hAnsi="Century Schoolbook"/>
          <w:i/>
          <w:iCs/>
        </w:rPr>
        <w:t xml:space="preserve">  The question is not whether the rights claimant has some sort of permanent status as press, but whether they were </w:t>
      </w:r>
      <w:r w:rsidR="00650479" w:rsidRPr="00454927">
        <w:rPr>
          <w:rFonts w:ascii="Century Schoolbook" w:hAnsi="Century Schoolbook"/>
        </w:rPr>
        <w:t>acting</w:t>
      </w:r>
      <w:r w:rsidR="00650479">
        <w:rPr>
          <w:rFonts w:ascii="Century Schoolbook" w:hAnsi="Century Schoolbook"/>
          <w:i/>
          <w:iCs/>
        </w:rPr>
        <w:t xml:space="preserve"> as press at the relevant time.  A functional definition can then be deduced from the hallmarks of press activity.  In this context, the</w:t>
      </w:r>
      <w:r w:rsidR="00145297">
        <w:rPr>
          <w:rFonts w:ascii="Century Schoolbook" w:hAnsi="Century Schoolbook"/>
          <w:i/>
          <w:iCs/>
        </w:rPr>
        <w:t xml:space="preserve"> original public meaning of </w:t>
      </w:r>
      <w:proofErr w:type="gramStart"/>
      <w:r w:rsidR="00650479">
        <w:rPr>
          <w:rFonts w:ascii="Century Schoolbook" w:hAnsi="Century Schoolbook"/>
          <w:i/>
          <w:iCs/>
        </w:rPr>
        <w:t>a</w:t>
      </w:r>
      <w:r w:rsidR="00145297">
        <w:rPr>
          <w:rFonts w:ascii="Century Schoolbook" w:hAnsi="Century Schoolbook"/>
          <w:i/>
          <w:iCs/>
        </w:rPr>
        <w:t xml:space="preserve"> free</w:t>
      </w:r>
      <w:proofErr w:type="gramEnd"/>
      <w:r w:rsidR="00145297">
        <w:rPr>
          <w:rFonts w:ascii="Century Schoolbook" w:hAnsi="Century Schoolbook"/>
          <w:i/>
          <w:iCs/>
        </w:rPr>
        <w:t xml:space="preserve"> press</w:t>
      </w:r>
      <w:r w:rsidR="00650479">
        <w:rPr>
          <w:rFonts w:ascii="Century Schoolbook" w:hAnsi="Century Schoolbook"/>
          <w:i/>
          <w:iCs/>
        </w:rPr>
        <w:t xml:space="preserve"> </w:t>
      </w:r>
      <w:r w:rsidR="00145297">
        <w:rPr>
          <w:rFonts w:ascii="Century Schoolbook" w:hAnsi="Century Schoolbook"/>
          <w:i/>
          <w:iCs/>
        </w:rPr>
        <w:t xml:space="preserve">and </w:t>
      </w:r>
      <w:r w:rsidR="00650479">
        <w:rPr>
          <w:rFonts w:ascii="Century Schoolbook" w:hAnsi="Century Schoolbook"/>
          <w:i/>
          <w:iCs/>
        </w:rPr>
        <w:t>how</w:t>
      </w:r>
      <w:r w:rsidR="00AB5B12">
        <w:rPr>
          <w:rFonts w:ascii="Century Schoolbook" w:hAnsi="Century Schoolbook"/>
          <w:i/>
          <w:iCs/>
        </w:rPr>
        <w:t xml:space="preserve"> modern</w:t>
      </w:r>
      <w:r w:rsidR="00145297">
        <w:rPr>
          <w:rFonts w:ascii="Century Schoolbook" w:hAnsi="Century Schoolbook"/>
          <w:i/>
          <w:iCs/>
        </w:rPr>
        <w:t xml:space="preserve"> courts have </w:t>
      </w:r>
      <w:r w:rsidR="00650479">
        <w:rPr>
          <w:rFonts w:ascii="Century Schoolbook" w:hAnsi="Century Schoolbook"/>
          <w:i/>
          <w:iCs/>
        </w:rPr>
        <w:t xml:space="preserve">approached </w:t>
      </w:r>
      <w:r w:rsidR="00AB5B12">
        <w:rPr>
          <w:rFonts w:ascii="Century Schoolbook" w:hAnsi="Century Schoolbook"/>
          <w:i/>
          <w:iCs/>
        </w:rPr>
        <w:t>that question</w:t>
      </w:r>
      <w:r w:rsidR="00650479">
        <w:rPr>
          <w:rFonts w:ascii="Century Schoolbook" w:hAnsi="Century Schoolbook"/>
          <w:i/>
          <w:iCs/>
        </w:rPr>
        <w:t xml:space="preserve"> tend to </w:t>
      </w:r>
      <w:r w:rsidR="00145297">
        <w:rPr>
          <w:rFonts w:ascii="Century Schoolbook" w:hAnsi="Century Schoolbook"/>
          <w:i/>
          <w:iCs/>
        </w:rPr>
        <w:t xml:space="preserve">point in the same direction.  </w:t>
      </w:r>
      <w:r w:rsidRPr="005B637F">
        <w:rPr>
          <w:rFonts w:ascii="Century Schoolbook" w:hAnsi="Century Schoolbook"/>
          <w:i/>
          <w:iCs/>
        </w:rPr>
        <w:t xml:space="preserve">A complete definition asks whether the claimant has invested significant resources to generate a message </w:t>
      </w:r>
      <w:r w:rsidR="00454927">
        <w:rPr>
          <w:rFonts w:ascii="Century Schoolbook" w:hAnsi="Century Schoolbook"/>
          <w:i/>
          <w:iCs/>
        </w:rPr>
        <w:t xml:space="preserve">about </w:t>
      </w:r>
      <w:r w:rsidR="00454927" w:rsidRPr="005B637F">
        <w:rPr>
          <w:rFonts w:ascii="Century Schoolbook" w:hAnsi="Century Schoolbook"/>
          <w:i/>
          <w:iCs/>
        </w:rPr>
        <w:t xml:space="preserve">issues of public concern </w:t>
      </w:r>
      <w:r w:rsidR="00454927">
        <w:rPr>
          <w:rFonts w:ascii="Century Schoolbook" w:hAnsi="Century Schoolbook"/>
          <w:i/>
          <w:iCs/>
        </w:rPr>
        <w:t xml:space="preserve">that is </w:t>
      </w:r>
      <w:r w:rsidRPr="005B637F">
        <w:rPr>
          <w:rFonts w:ascii="Century Schoolbook" w:hAnsi="Century Schoolbook"/>
          <w:i/>
          <w:iCs/>
        </w:rPr>
        <w:t>reasonably calculated to reach a mass audience.</w:t>
      </w:r>
      <w:r w:rsidR="00CB5E0A" w:rsidRPr="005B637F">
        <w:rPr>
          <w:rFonts w:ascii="Century Schoolbook" w:hAnsi="Century Schoolbook"/>
          <w:i/>
          <w:iCs/>
        </w:rPr>
        <w:t xml:space="preserve">  </w:t>
      </w:r>
      <w:r w:rsidRPr="005B637F">
        <w:rPr>
          <w:rFonts w:ascii="Century Schoolbook" w:hAnsi="Century Schoolbook"/>
          <w:i/>
          <w:iCs/>
        </w:rPr>
        <w:t>The</w:t>
      </w:r>
      <w:r w:rsidR="00454927">
        <w:rPr>
          <w:rFonts w:ascii="Century Schoolbook" w:hAnsi="Century Schoolbook"/>
          <w:i/>
          <w:iCs/>
        </w:rPr>
        <w:t xml:space="preserve"> key </w:t>
      </w:r>
      <w:r w:rsidRPr="005B637F">
        <w:rPr>
          <w:rFonts w:ascii="Century Schoolbook" w:hAnsi="Century Schoolbook"/>
          <w:i/>
          <w:iCs/>
        </w:rPr>
        <w:t xml:space="preserve">terms </w:t>
      </w:r>
      <w:r w:rsidR="00454927">
        <w:rPr>
          <w:rFonts w:ascii="Century Schoolbook" w:hAnsi="Century Schoolbook"/>
          <w:i/>
          <w:iCs/>
        </w:rPr>
        <w:t xml:space="preserve">in this definition </w:t>
      </w:r>
      <w:r w:rsidRPr="005B637F">
        <w:rPr>
          <w:rFonts w:ascii="Century Schoolbook" w:hAnsi="Century Schoolbook"/>
          <w:i/>
          <w:iCs/>
        </w:rPr>
        <w:t>are open-ended by design</w:t>
      </w:r>
      <w:r w:rsidR="00454927">
        <w:rPr>
          <w:rFonts w:ascii="Century Schoolbook" w:hAnsi="Century Schoolbook"/>
          <w:i/>
          <w:iCs/>
        </w:rPr>
        <w:t xml:space="preserve">, to be decided incrementally by the common law.  This approach ensures flexibility as </w:t>
      </w:r>
      <w:r w:rsidR="00CB5E0A" w:rsidRPr="005B637F">
        <w:rPr>
          <w:rFonts w:ascii="Century Schoolbook" w:hAnsi="Century Schoolbook"/>
          <w:i/>
          <w:iCs/>
        </w:rPr>
        <w:t xml:space="preserve">technology </w:t>
      </w:r>
      <w:r w:rsidR="00454927">
        <w:rPr>
          <w:rFonts w:ascii="Century Schoolbook" w:hAnsi="Century Schoolbook"/>
          <w:i/>
          <w:iCs/>
        </w:rPr>
        <w:t>continues to evolve.</w:t>
      </w:r>
      <w:r w:rsidR="00CB5E0A" w:rsidRPr="005B637F">
        <w:rPr>
          <w:rFonts w:ascii="Century Schoolbook" w:hAnsi="Century Schoolbook"/>
          <w:i/>
          <w:iCs/>
        </w:rPr>
        <w:t xml:space="preserve"> </w:t>
      </w:r>
      <w:r w:rsidR="00454927">
        <w:rPr>
          <w:rFonts w:ascii="Century Schoolbook" w:hAnsi="Century Schoolbook"/>
          <w:i/>
          <w:iCs/>
        </w:rPr>
        <w:t xml:space="preserve"> </w:t>
      </w:r>
    </w:p>
    <w:p w14:paraId="57FAC924" w14:textId="3306968D" w:rsidR="006A02F1" w:rsidRPr="005B637F" w:rsidRDefault="00454927" w:rsidP="003B1668">
      <w:pPr>
        <w:ind w:firstLine="720"/>
        <w:rPr>
          <w:rFonts w:ascii="Century Schoolbook" w:hAnsi="Century Schoolbook"/>
          <w:i/>
          <w:iCs/>
        </w:rPr>
        <w:sectPr w:rsidR="006A02F1" w:rsidRPr="005B637F">
          <w:footerReference w:type="default" r:id="rId8"/>
          <w:pgSz w:w="12240" w:h="15840"/>
          <w:pgMar w:top="1440" w:right="1440" w:bottom="1440" w:left="1440" w:header="720" w:footer="720" w:gutter="0"/>
          <w:cols w:space="720"/>
          <w:docGrid w:linePitch="360"/>
        </w:sectPr>
      </w:pPr>
      <w:r>
        <w:rPr>
          <w:rFonts w:ascii="Century Schoolbook" w:hAnsi="Century Schoolbook"/>
          <w:i/>
          <w:iCs/>
        </w:rPr>
        <w:t>A broad, flexible, functional</w:t>
      </w:r>
      <w:r w:rsidR="00F41C88" w:rsidRPr="005B637F">
        <w:rPr>
          <w:rFonts w:ascii="Century Schoolbook" w:hAnsi="Century Schoolbook"/>
          <w:i/>
          <w:iCs/>
        </w:rPr>
        <w:t xml:space="preserve"> definition reflects today</w:t>
      </w:r>
      <w:r w:rsidR="000B7B5F" w:rsidRPr="005B637F">
        <w:rPr>
          <w:rFonts w:ascii="Century Schoolbook" w:hAnsi="Century Schoolbook"/>
          <w:i/>
          <w:iCs/>
        </w:rPr>
        <w:t>’</w:t>
      </w:r>
      <w:r w:rsidR="00F41C88" w:rsidRPr="005B637F">
        <w:rPr>
          <w:rFonts w:ascii="Century Schoolbook" w:hAnsi="Century Schoolbook"/>
          <w:i/>
          <w:iCs/>
        </w:rPr>
        <w:t>s reality: the press is no longer just print, radio, and television—if it ever was.</w:t>
      </w:r>
      <w:r w:rsidR="00CB5E0A" w:rsidRPr="005B637F">
        <w:rPr>
          <w:rFonts w:ascii="Century Schoolbook" w:hAnsi="Century Schoolbook"/>
          <w:i/>
          <w:iCs/>
        </w:rPr>
        <w:t xml:space="preserve"> </w:t>
      </w:r>
      <w:r w:rsidR="00F41C88" w:rsidRPr="005B637F">
        <w:rPr>
          <w:rFonts w:ascii="Century Schoolbook" w:hAnsi="Century Schoolbook"/>
          <w:i/>
          <w:iCs/>
        </w:rPr>
        <w:t xml:space="preserve"> No credentials have ever been required to</w:t>
      </w:r>
      <w:r w:rsidR="00027672">
        <w:rPr>
          <w:rFonts w:ascii="Century Schoolbook" w:hAnsi="Century Schoolbook"/>
          <w:i/>
          <w:iCs/>
        </w:rPr>
        <w:t xml:space="preserve"> try</w:t>
      </w:r>
      <w:r w:rsidR="00E20B9C">
        <w:rPr>
          <w:rFonts w:ascii="Century Schoolbook" w:hAnsi="Century Schoolbook"/>
          <w:i/>
          <w:iCs/>
        </w:rPr>
        <w:t xml:space="preserve"> to</w:t>
      </w:r>
      <w:r w:rsidR="00F41C88" w:rsidRPr="005B637F">
        <w:rPr>
          <w:rFonts w:ascii="Century Schoolbook" w:hAnsi="Century Schoolbook"/>
          <w:i/>
          <w:iCs/>
        </w:rPr>
        <w:t xml:space="preserve"> inform or persuade </w:t>
      </w:r>
      <w:r w:rsidR="00027672">
        <w:rPr>
          <w:rFonts w:ascii="Century Schoolbook" w:hAnsi="Century Schoolbook"/>
          <w:i/>
          <w:iCs/>
        </w:rPr>
        <w:t>the masses</w:t>
      </w:r>
      <w:r w:rsidR="00F41C88" w:rsidRPr="005B637F">
        <w:rPr>
          <w:rFonts w:ascii="Century Schoolbook" w:hAnsi="Century Schoolbook"/>
          <w:i/>
          <w:iCs/>
        </w:rPr>
        <w:t xml:space="preserve"> about </w:t>
      </w:r>
      <w:r w:rsidR="00027672">
        <w:rPr>
          <w:rFonts w:ascii="Century Schoolbook" w:hAnsi="Century Schoolbook"/>
          <w:i/>
          <w:iCs/>
        </w:rPr>
        <w:t xml:space="preserve">the </w:t>
      </w:r>
      <w:r w:rsidR="00F41C88" w:rsidRPr="005B637F">
        <w:rPr>
          <w:rFonts w:ascii="Century Schoolbook" w:hAnsi="Century Schoolbook"/>
          <w:i/>
          <w:iCs/>
        </w:rPr>
        <w:t xml:space="preserve">issues of the day. </w:t>
      </w:r>
      <w:r w:rsidR="00CB5E0A" w:rsidRPr="005B637F">
        <w:rPr>
          <w:rFonts w:ascii="Century Schoolbook" w:hAnsi="Century Schoolbook"/>
          <w:i/>
          <w:iCs/>
        </w:rPr>
        <w:t xml:space="preserve"> Anyone who engages in these vital activities </w:t>
      </w:r>
      <w:r w:rsidR="00027672">
        <w:rPr>
          <w:rFonts w:ascii="Century Schoolbook" w:hAnsi="Century Schoolbook"/>
          <w:i/>
          <w:iCs/>
        </w:rPr>
        <w:t>should be counted as</w:t>
      </w:r>
      <w:r w:rsidR="00F41C88" w:rsidRPr="005B637F">
        <w:rPr>
          <w:rFonts w:ascii="Century Schoolbook" w:hAnsi="Century Schoolbook"/>
          <w:i/>
          <w:iCs/>
        </w:rPr>
        <w:t xml:space="preserve"> </w:t>
      </w:r>
      <w:r w:rsidR="000B7B5F" w:rsidRPr="005B637F">
        <w:rPr>
          <w:rFonts w:ascii="Century Schoolbook" w:hAnsi="Century Schoolbook"/>
          <w:i/>
          <w:iCs/>
        </w:rPr>
        <w:t>“</w:t>
      </w:r>
      <w:r w:rsidR="00F41C88" w:rsidRPr="005B637F">
        <w:rPr>
          <w:rFonts w:ascii="Century Schoolbook" w:hAnsi="Century Schoolbook"/>
          <w:i/>
          <w:iCs/>
        </w:rPr>
        <w:t>press</w:t>
      </w:r>
      <w:r w:rsidR="00027672">
        <w:rPr>
          <w:rFonts w:ascii="Century Schoolbook" w:hAnsi="Century Schoolbook"/>
          <w:i/>
          <w:iCs/>
        </w:rPr>
        <w:t>,</w:t>
      </w:r>
      <w:r w:rsidR="000B7B5F" w:rsidRPr="005B637F">
        <w:rPr>
          <w:rFonts w:ascii="Century Schoolbook" w:hAnsi="Century Schoolbook"/>
          <w:i/>
          <w:iCs/>
        </w:rPr>
        <w:t>”</w:t>
      </w:r>
      <w:r w:rsidR="00027672">
        <w:rPr>
          <w:rFonts w:ascii="Century Schoolbook" w:hAnsi="Century Schoolbook"/>
          <w:i/>
          <w:iCs/>
        </w:rPr>
        <w:t xml:space="preserve"> and enjoy the rights the Press Clause guarantees</w:t>
      </w:r>
      <w:r w:rsidR="00F41C88" w:rsidRPr="005B637F">
        <w:rPr>
          <w:rFonts w:ascii="Century Schoolbook" w:hAnsi="Century Schoolbook"/>
          <w:i/>
          <w:iCs/>
        </w:rPr>
        <w:t>.</w:t>
      </w:r>
    </w:p>
    <w:p w14:paraId="257CAEE7" w14:textId="7A5F3A8C" w:rsidR="00AB12F4" w:rsidRDefault="006A02F1" w:rsidP="00FE199D">
      <w:pPr>
        <w:pStyle w:val="Heading1"/>
        <w:numPr>
          <w:ilvl w:val="0"/>
          <w:numId w:val="0"/>
        </w:numPr>
        <w:spacing w:after="0"/>
        <w:jc w:val="center"/>
      </w:pPr>
      <w:bookmarkStart w:id="4" w:name="_Toc212826881"/>
      <w:bookmarkStart w:id="5" w:name="_Toc213017902"/>
      <w:r>
        <w:lastRenderedPageBreak/>
        <w:t>TABLE OF CONTENTS</w:t>
      </w:r>
      <w:bookmarkEnd w:id="4"/>
      <w:bookmarkEnd w:id="5"/>
    </w:p>
    <w:sdt>
      <w:sdtPr>
        <w:id w:val="-1770612285"/>
        <w:docPartObj>
          <w:docPartGallery w:val="Table of Contents"/>
          <w:docPartUnique/>
        </w:docPartObj>
      </w:sdtPr>
      <w:sdtEndPr>
        <w:rPr>
          <w:b/>
          <w:bCs/>
          <w:noProof/>
        </w:rPr>
      </w:sdtEndPr>
      <w:sdtContent>
        <w:p w14:paraId="2CF4DBE4" w14:textId="46C66E3E" w:rsidR="00064C93" w:rsidRPr="00064C93" w:rsidRDefault="00FE199D">
          <w:pPr>
            <w:pStyle w:val="TOC1"/>
            <w:tabs>
              <w:tab w:val="right" w:leader="dot" w:pos="9350"/>
            </w:tabs>
            <w:rPr>
              <w:rFonts w:ascii="Century Schoolbook" w:eastAsiaTheme="minorEastAsia" w:hAnsi="Century Schoolbook"/>
              <w:noProof/>
              <w:sz w:val="22"/>
              <w:szCs w:val="22"/>
            </w:rPr>
          </w:pP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p>
        <w:p w14:paraId="48A4734C" w14:textId="0DC52DD2" w:rsidR="00064C93" w:rsidRPr="00064C93" w:rsidRDefault="00064C93">
          <w:pPr>
            <w:pStyle w:val="TOC1"/>
            <w:tabs>
              <w:tab w:val="right" w:leader="dot" w:pos="9350"/>
            </w:tabs>
            <w:rPr>
              <w:rFonts w:ascii="Century Schoolbook" w:eastAsiaTheme="minorEastAsia" w:hAnsi="Century Schoolbook"/>
              <w:noProof/>
              <w:sz w:val="22"/>
              <w:szCs w:val="22"/>
            </w:rPr>
          </w:pPr>
          <w:hyperlink w:anchor="_Toc213017904" w:history="1">
            <w:r w:rsidRPr="00064C93">
              <w:rPr>
                <w:rStyle w:val="Hyperlink"/>
                <w:rFonts w:ascii="Century Schoolbook" w:hAnsi="Century Schoolbook"/>
                <w:noProof/>
              </w:rPr>
              <w:t>Introduction</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_Toc213017904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1</w:t>
            </w:r>
            <w:r w:rsidRPr="00064C93">
              <w:rPr>
                <w:rFonts w:ascii="Century Schoolbook" w:hAnsi="Century Schoolbook"/>
                <w:noProof/>
                <w:webHidden/>
              </w:rPr>
              <w:fldChar w:fldCharType="end"/>
            </w:r>
          </w:hyperlink>
        </w:p>
        <w:p w14:paraId="67E810A9" w14:textId="7F5B1D52" w:rsidR="00064C93" w:rsidRPr="00064C93" w:rsidRDefault="00064C93">
          <w:pPr>
            <w:pStyle w:val="TOC1"/>
            <w:tabs>
              <w:tab w:val="left" w:pos="480"/>
              <w:tab w:val="right" w:leader="dot" w:pos="9350"/>
            </w:tabs>
            <w:rPr>
              <w:rFonts w:ascii="Century Schoolbook" w:eastAsiaTheme="minorEastAsia" w:hAnsi="Century Schoolbook"/>
              <w:noProof/>
              <w:sz w:val="22"/>
              <w:szCs w:val="22"/>
            </w:rPr>
          </w:pPr>
          <w:hyperlink w:anchor="_Toc213017905" w:history="1">
            <w:r w:rsidRPr="00064C93">
              <w:rPr>
                <w:rStyle w:val="Hyperlink"/>
                <w:rFonts w:ascii="Century Schoolbook" w:hAnsi="Century Schoolbook"/>
                <w:noProof/>
              </w:rPr>
              <w:t>I.</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Why defining the press matters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_Toc213017905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w:t>
            </w:r>
            <w:r w:rsidRPr="00064C93">
              <w:rPr>
                <w:rFonts w:ascii="Century Schoolbook" w:hAnsi="Century Schoolbook"/>
                <w:noProof/>
                <w:webHidden/>
              </w:rPr>
              <w:fldChar w:fldCharType="end"/>
            </w:r>
          </w:hyperlink>
        </w:p>
        <w:p w14:paraId="4CD40C5E" w14:textId="52C731B0"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06" w:history="1">
            <w:r w:rsidRPr="00064C93">
              <w:rPr>
                <w:rStyle w:val="Hyperlink"/>
                <w:rFonts w:ascii="Century Schoolbook" w:hAnsi="Century Schoolbook"/>
                <w:noProof/>
              </w:rPr>
              <w:t>A.</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 Court grants the press special rights even as it says it doesn’t</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_Toc213017906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6</w:t>
            </w:r>
            <w:r w:rsidRPr="00064C93">
              <w:rPr>
                <w:rFonts w:ascii="Century Schoolbook" w:hAnsi="Century Schoolbook"/>
                <w:noProof/>
                <w:webHidden/>
              </w:rPr>
              <w:fldChar w:fldCharType="end"/>
            </w:r>
          </w:hyperlink>
        </w:p>
        <w:p w14:paraId="7DEB5E57" w14:textId="40630455" w:rsidR="00064C93" w:rsidRPr="00064C93" w:rsidRDefault="00064C93" w:rsidP="00064C93">
          <w:pPr>
            <w:pStyle w:val="TOC3"/>
            <w:rPr>
              <w:rFonts w:ascii="Century Schoolbook" w:eastAsiaTheme="minorEastAsia" w:hAnsi="Century Schoolbook"/>
              <w:noProof/>
              <w:sz w:val="22"/>
              <w:szCs w:val="22"/>
            </w:rPr>
          </w:pPr>
          <w:hyperlink w:anchor="_Toc213017907" w:history="1">
            <w:r w:rsidRPr="00064C93">
              <w:rPr>
                <w:rStyle w:val="Hyperlink"/>
                <w:rFonts w:ascii="Century Schoolbook" w:hAnsi="Century Schoolbook"/>
                <w:noProof/>
              </w:rPr>
              <w:t>1.</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 Court acknowledges the press’s importance but disclaims its rights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_Toc213017907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6</w:t>
            </w:r>
            <w:r w:rsidRPr="00064C93">
              <w:rPr>
                <w:rFonts w:ascii="Century Schoolbook" w:hAnsi="Century Schoolbook"/>
                <w:noProof/>
                <w:webHidden/>
              </w:rPr>
              <w:fldChar w:fldCharType="end"/>
            </w:r>
          </w:hyperlink>
        </w:p>
        <w:p w14:paraId="498F3AE6" w14:textId="11D732D1" w:rsidR="00064C93" w:rsidRPr="00064C93" w:rsidRDefault="00064C93" w:rsidP="00064C93">
          <w:pPr>
            <w:pStyle w:val="TOC3"/>
            <w:rPr>
              <w:rFonts w:ascii="Century Schoolbook" w:eastAsiaTheme="minorEastAsia" w:hAnsi="Century Schoolbook"/>
              <w:noProof/>
              <w:sz w:val="22"/>
              <w:szCs w:val="22"/>
            </w:rPr>
          </w:pPr>
          <w:hyperlink w:anchor="_Toc213017908" w:history="1">
            <w:r w:rsidRPr="00064C93">
              <w:rPr>
                <w:rStyle w:val="Hyperlink"/>
                <w:rFonts w:ascii="Century Schoolbook" w:hAnsi="Century Schoolbook"/>
                <w:noProof/>
              </w:rPr>
              <w:t>2.</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In practice, it grant</w:t>
            </w:r>
            <w:r w:rsidR="00823592">
              <w:rPr>
                <w:rStyle w:val="Hyperlink"/>
                <w:rFonts w:ascii="Century Schoolbook" w:hAnsi="Century Schoolbook"/>
                <w:noProof/>
              </w:rPr>
              <w:t>s</w:t>
            </w:r>
            <w:r w:rsidRPr="00064C93">
              <w:rPr>
                <w:rStyle w:val="Hyperlink"/>
                <w:rFonts w:ascii="Century Schoolbook" w:hAnsi="Century Schoolbook"/>
                <w:noProof/>
              </w:rPr>
              <w:t xml:space="preserve"> special rights</w:t>
            </w:r>
            <w:r w:rsidR="00823592">
              <w:rPr>
                <w:rStyle w:val="Hyperlink"/>
                <w:rFonts w:ascii="Century Schoolbook" w:hAnsi="Century Schoolbook"/>
                <w:noProof/>
              </w:rPr>
              <w:t xml:space="preserve"> in a number of areas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_Toc213017908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10</w:t>
            </w:r>
            <w:r w:rsidRPr="00064C93">
              <w:rPr>
                <w:rFonts w:ascii="Century Schoolbook" w:hAnsi="Century Schoolbook"/>
                <w:noProof/>
                <w:webHidden/>
              </w:rPr>
              <w:fldChar w:fldCharType="end"/>
            </w:r>
          </w:hyperlink>
        </w:p>
        <w:p w14:paraId="16D356CF" w14:textId="2BDB49D4"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09" w:history="1">
            <w:r w:rsidRPr="00064C93">
              <w:rPr>
                <w:rStyle w:val="Hyperlink"/>
                <w:rFonts w:ascii="Century Schoolbook" w:hAnsi="Century Schoolbook"/>
                <w:noProof/>
              </w:rPr>
              <w:t>B.</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Not acknowledging press rights has consequences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_Toc213017909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24</w:t>
            </w:r>
            <w:r w:rsidRPr="00064C93">
              <w:rPr>
                <w:rFonts w:ascii="Century Schoolbook" w:hAnsi="Century Schoolbook"/>
                <w:noProof/>
                <w:webHidden/>
              </w:rPr>
              <w:fldChar w:fldCharType="end"/>
            </w:r>
          </w:hyperlink>
        </w:p>
        <w:p w14:paraId="44B60117" w14:textId="0F2D7F68" w:rsidR="00064C93" w:rsidRPr="00064C93" w:rsidRDefault="00064C93" w:rsidP="00064C93">
          <w:pPr>
            <w:pStyle w:val="TOC3"/>
            <w:rPr>
              <w:rFonts w:ascii="Century Schoolbook" w:eastAsiaTheme="minorEastAsia" w:hAnsi="Century Schoolbook"/>
              <w:noProof/>
              <w:sz w:val="22"/>
              <w:szCs w:val="22"/>
            </w:rPr>
          </w:pPr>
          <w:hyperlink w:anchor="_Toc213017910" w:history="1">
            <w:r w:rsidRPr="00064C93">
              <w:rPr>
                <w:rStyle w:val="Hyperlink"/>
                <w:rFonts w:ascii="Century Schoolbook" w:hAnsi="Century Schoolbook"/>
                <w:noProof/>
              </w:rPr>
              <w:t>1.</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 doctrine has warped to reconcile what the Court says with what it does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_Toc213017910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25</w:t>
            </w:r>
            <w:r w:rsidRPr="00064C93">
              <w:rPr>
                <w:rFonts w:ascii="Century Schoolbook" w:hAnsi="Century Schoolbook"/>
                <w:noProof/>
                <w:webHidden/>
              </w:rPr>
              <w:fldChar w:fldCharType="end"/>
            </w:r>
          </w:hyperlink>
        </w:p>
        <w:p w14:paraId="1554AA8C" w14:textId="2B0F1972" w:rsidR="00064C93" w:rsidRPr="00064C93" w:rsidRDefault="00064C93" w:rsidP="00064C93">
          <w:pPr>
            <w:pStyle w:val="TOC3"/>
            <w:rPr>
              <w:rFonts w:ascii="Century Schoolbook" w:eastAsiaTheme="minorEastAsia" w:hAnsi="Century Schoolbook"/>
              <w:noProof/>
              <w:sz w:val="22"/>
              <w:szCs w:val="22"/>
            </w:rPr>
          </w:pPr>
          <w:hyperlink w:anchor="_Toc213017911" w:history="1">
            <w:r w:rsidRPr="00064C93">
              <w:rPr>
                <w:rStyle w:val="Hyperlink"/>
                <w:rFonts w:ascii="Century Schoolbook" w:hAnsi="Century Schoolbook"/>
                <w:noProof/>
              </w:rPr>
              <w:t>2.</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 Press Clause has been reduced to a nullity</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_Toc213017911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29</w:t>
            </w:r>
            <w:r w:rsidRPr="00064C93">
              <w:rPr>
                <w:rFonts w:ascii="Century Schoolbook" w:hAnsi="Century Schoolbook"/>
                <w:noProof/>
                <w:webHidden/>
              </w:rPr>
              <w:fldChar w:fldCharType="end"/>
            </w:r>
          </w:hyperlink>
        </w:p>
        <w:p w14:paraId="6C1F7281" w14:textId="139CD1CD"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12" w:history="1">
            <w:r w:rsidRPr="00064C93">
              <w:rPr>
                <w:rStyle w:val="Hyperlink"/>
                <w:rFonts w:ascii="Century Schoolbook" w:hAnsi="Century Schoolbook"/>
                <w:noProof/>
              </w:rPr>
              <w:t>C.</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Blame rests with the definitional question</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_Toc213017912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31</w:t>
            </w:r>
            <w:r w:rsidRPr="00064C93">
              <w:rPr>
                <w:rFonts w:ascii="Century Schoolbook" w:hAnsi="Century Schoolbook"/>
                <w:noProof/>
                <w:webHidden/>
              </w:rPr>
              <w:fldChar w:fldCharType="end"/>
            </w:r>
          </w:hyperlink>
        </w:p>
        <w:p w14:paraId="0D78C12B" w14:textId="0A27961C" w:rsidR="00064C93" w:rsidRPr="00064C93" w:rsidRDefault="00064C93">
          <w:pPr>
            <w:pStyle w:val="TOC1"/>
            <w:tabs>
              <w:tab w:val="left" w:pos="480"/>
              <w:tab w:val="right" w:leader="dot" w:pos="9350"/>
            </w:tabs>
            <w:rPr>
              <w:rFonts w:ascii="Century Schoolbook" w:eastAsiaTheme="minorEastAsia" w:hAnsi="Century Schoolbook"/>
              <w:noProof/>
              <w:sz w:val="22"/>
              <w:szCs w:val="22"/>
            </w:rPr>
          </w:pPr>
          <w:hyperlink w:anchor="_Toc213017913" w:history="1">
            <w:r w:rsidRPr="00064C93">
              <w:rPr>
                <w:rStyle w:val="Hyperlink"/>
                <w:rFonts w:ascii="Century Schoolbook" w:hAnsi="Century Schoolbook"/>
                <w:noProof/>
              </w:rPr>
              <w:t>II.</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Attempts to define “press” have fallen short</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_Toc213017913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36</w:t>
            </w:r>
            <w:r w:rsidRPr="00064C93">
              <w:rPr>
                <w:rFonts w:ascii="Century Schoolbook" w:hAnsi="Century Schoolbook"/>
                <w:noProof/>
                <w:webHidden/>
              </w:rPr>
              <w:fldChar w:fldCharType="end"/>
            </w:r>
          </w:hyperlink>
        </w:p>
        <w:p w14:paraId="6C973D4D" w14:textId="20C39F1A"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14" w:history="1">
            <w:r w:rsidRPr="00064C93">
              <w:rPr>
                <w:rStyle w:val="Hyperlink"/>
                <w:rFonts w:ascii="Century Schoolbook" w:hAnsi="Century Schoolbook"/>
                <w:noProof/>
              </w:rPr>
              <w:t>A.</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Historical evidence is lacking</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_Toc213017914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36</w:t>
            </w:r>
            <w:r w:rsidRPr="00064C93">
              <w:rPr>
                <w:rFonts w:ascii="Century Schoolbook" w:hAnsi="Century Schoolbook"/>
                <w:noProof/>
                <w:webHidden/>
              </w:rPr>
              <w:fldChar w:fldCharType="end"/>
            </w:r>
          </w:hyperlink>
        </w:p>
        <w:p w14:paraId="01179309" w14:textId="05879D60"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15" w:history="1">
            <w:r w:rsidRPr="00064C93">
              <w:rPr>
                <w:rStyle w:val="Hyperlink"/>
                <w:rFonts w:ascii="Century Schoolbook" w:hAnsi="Century Schoolbook"/>
                <w:noProof/>
              </w:rPr>
              <w:t>B.</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There is no scholarly consensus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_Toc213017915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40</w:t>
            </w:r>
            <w:r w:rsidRPr="00064C93">
              <w:rPr>
                <w:rFonts w:ascii="Century Schoolbook" w:hAnsi="Century Schoolbook"/>
                <w:noProof/>
                <w:webHidden/>
              </w:rPr>
              <w:fldChar w:fldCharType="end"/>
            </w:r>
          </w:hyperlink>
        </w:p>
        <w:p w14:paraId="00706EA8" w14:textId="3E8E28A6" w:rsidR="00064C93" w:rsidRPr="00064C93" w:rsidRDefault="00064C93" w:rsidP="00064C93">
          <w:pPr>
            <w:pStyle w:val="TOC3"/>
            <w:rPr>
              <w:rFonts w:ascii="Century Schoolbook" w:eastAsiaTheme="minorEastAsia" w:hAnsi="Century Schoolbook"/>
              <w:noProof/>
              <w:sz w:val="22"/>
              <w:szCs w:val="22"/>
            </w:rPr>
          </w:pPr>
          <w:hyperlink w:anchor="_Toc213017916" w:history="1">
            <w:r w:rsidRPr="00064C93">
              <w:rPr>
                <w:rStyle w:val="Hyperlink"/>
                <w:rFonts w:ascii="Century Schoolbook" w:hAnsi="Century Schoolbook"/>
                <w:noProof/>
              </w:rPr>
              <w:t>1.</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Press as a technology</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_Toc213017916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41</w:t>
            </w:r>
            <w:r w:rsidRPr="00064C93">
              <w:rPr>
                <w:rFonts w:ascii="Century Schoolbook" w:hAnsi="Century Schoolbook"/>
                <w:noProof/>
                <w:webHidden/>
              </w:rPr>
              <w:fldChar w:fldCharType="end"/>
            </w:r>
          </w:hyperlink>
        </w:p>
        <w:p w14:paraId="7451C0DA" w14:textId="34129C46" w:rsidR="00064C93" w:rsidRPr="00064C93" w:rsidRDefault="00064C93" w:rsidP="00064C93">
          <w:pPr>
            <w:pStyle w:val="TOC3"/>
            <w:rPr>
              <w:rFonts w:ascii="Century Schoolbook" w:eastAsiaTheme="minorEastAsia" w:hAnsi="Century Schoolbook"/>
              <w:noProof/>
              <w:sz w:val="22"/>
              <w:szCs w:val="22"/>
            </w:rPr>
          </w:pPr>
          <w:hyperlink w:anchor="_Toc213017917" w:history="1">
            <w:r w:rsidRPr="00064C93">
              <w:rPr>
                <w:rStyle w:val="Hyperlink"/>
                <w:rFonts w:ascii="Century Schoolbook" w:hAnsi="Century Schoolbook"/>
                <w:noProof/>
              </w:rPr>
              <w:t>2.</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Press as a set of functions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_Toc213017917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42</w:t>
            </w:r>
            <w:r w:rsidRPr="00064C93">
              <w:rPr>
                <w:rFonts w:ascii="Century Schoolbook" w:hAnsi="Century Schoolbook"/>
                <w:noProof/>
                <w:webHidden/>
              </w:rPr>
              <w:fldChar w:fldCharType="end"/>
            </w:r>
          </w:hyperlink>
        </w:p>
        <w:p w14:paraId="7F605BC5" w14:textId="0CFBD194" w:rsidR="00064C93" w:rsidRPr="00064C93" w:rsidRDefault="00064C93" w:rsidP="00064C93">
          <w:pPr>
            <w:pStyle w:val="TOC3"/>
            <w:rPr>
              <w:rFonts w:ascii="Century Schoolbook" w:eastAsiaTheme="minorEastAsia" w:hAnsi="Century Schoolbook"/>
              <w:noProof/>
              <w:sz w:val="22"/>
              <w:szCs w:val="22"/>
            </w:rPr>
          </w:pPr>
          <w:hyperlink w:anchor="_Toc213017918" w:history="1">
            <w:r w:rsidRPr="00064C93">
              <w:rPr>
                <w:rStyle w:val="Hyperlink"/>
                <w:rFonts w:ascii="Century Schoolbook" w:hAnsi="Century Schoolbook"/>
                <w:noProof/>
              </w:rPr>
              <w:t>3.</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Press as an institution</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_Toc213017918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43</w:t>
            </w:r>
            <w:r w:rsidRPr="00064C93">
              <w:rPr>
                <w:rFonts w:ascii="Century Schoolbook" w:hAnsi="Century Schoolbook"/>
                <w:noProof/>
                <w:webHidden/>
              </w:rPr>
              <w:fldChar w:fldCharType="end"/>
            </w:r>
          </w:hyperlink>
        </w:p>
        <w:p w14:paraId="2EAD8DBA" w14:textId="1E7094DB"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19" w:history="1">
            <w:r w:rsidRPr="00064C93">
              <w:rPr>
                <w:rStyle w:val="Hyperlink"/>
                <w:rFonts w:ascii="Century Schoolbook" w:hAnsi="Century Schoolbook"/>
                <w:noProof/>
              </w:rPr>
              <w:t>C.</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Statutory definitions fail to account for technological change</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_Toc213017919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45</w:t>
            </w:r>
            <w:r w:rsidRPr="00064C93">
              <w:rPr>
                <w:rFonts w:ascii="Century Schoolbook" w:hAnsi="Century Schoolbook"/>
                <w:noProof/>
                <w:webHidden/>
              </w:rPr>
              <w:fldChar w:fldCharType="end"/>
            </w:r>
          </w:hyperlink>
        </w:p>
        <w:p w14:paraId="5322E778" w14:textId="567ABC4B" w:rsidR="00064C93" w:rsidRPr="00064C93" w:rsidRDefault="00064C93">
          <w:pPr>
            <w:pStyle w:val="TOC1"/>
            <w:tabs>
              <w:tab w:val="left" w:pos="660"/>
              <w:tab w:val="right" w:leader="dot" w:pos="9350"/>
            </w:tabs>
            <w:rPr>
              <w:rFonts w:ascii="Century Schoolbook" w:eastAsiaTheme="minorEastAsia" w:hAnsi="Century Schoolbook"/>
              <w:noProof/>
              <w:sz w:val="22"/>
              <w:szCs w:val="22"/>
            </w:rPr>
          </w:pPr>
          <w:hyperlink w:anchor="_Toc213017920" w:history="1">
            <w:r w:rsidRPr="00064C93">
              <w:rPr>
                <w:rStyle w:val="Hyperlink"/>
                <w:rFonts w:ascii="Century Schoolbook" w:hAnsi="Century Schoolbook"/>
                <w:noProof/>
              </w:rPr>
              <w:t>III.</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The modern media era demands a broad functional definition of “press”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_Toc213017920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47</w:t>
            </w:r>
            <w:r w:rsidRPr="00064C93">
              <w:rPr>
                <w:rFonts w:ascii="Century Schoolbook" w:hAnsi="Century Schoolbook"/>
                <w:noProof/>
                <w:webHidden/>
              </w:rPr>
              <w:fldChar w:fldCharType="end"/>
            </w:r>
          </w:hyperlink>
        </w:p>
        <w:p w14:paraId="7D16CAB2" w14:textId="684DCE14"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21" w:history="1">
            <w:r w:rsidRPr="00064C93">
              <w:rPr>
                <w:rStyle w:val="Hyperlink"/>
                <w:rFonts w:ascii="Century Schoolbook" w:hAnsi="Century Schoolbook"/>
                <w:noProof/>
              </w:rPr>
              <w:t>A.</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Approach: “Press” must be defined in terms of function, not status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_Toc213017921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47</w:t>
            </w:r>
            <w:r w:rsidRPr="00064C93">
              <w:rPr>
                <w:rFonts w:ascii="Century Schoolbook" w:hAnsi="Century Schoolbook"/>
                <w:noProof/>
                <w:webHidden/>
              </w:rPr>
              <w:fldChar w:fldCharType="end"/>
            </w:r>
          </w:hyperlink>
        </w:p>
        <w:p w14:paraId="6E6B0247" w14:textId="3728C5D3"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22" w:history="1">
            <w:r w:rsidRPr="00064C93">
              <w:rPr>
                <w:rStyle w:val="Hyperlink"/>
                <w:rFonts w:ascii="Century Schoolbook" w:hAnsi="Century Schoolbook"/>
                <w:noProof/>
              </w:rPr>
              <w:t>B.</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 xml:space="preserve">Definition: </w:t>
            </w:r>
            <w:r w:rsidR="009F6EB0">
              <w:rPr>
                <w:rStyle w:val="Hyperlink"/>
                <w:rFonts w:ascii="Century Schoolbook" w:hAnsi="Century Schoolbook"/>
                <w:noProof/>
              </w:rPr>
              <w:t>H</w:t>
            </w:r>
            <w:r w:rsidRPr="00064C93">
              <w:rPr>
                <w:rStyle w:val="Hyperlink"/>
                <w:rFonts w:ascii="Century Schoolbook" w:hAnsi="Century Schoolbook"/>
                <w:noProof/>
              </w:rPr>
              <w:t>allmarks of “acting as press”</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_Toc213017922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50</w:t>
            </w:r>
            <w:r w:rsidRPr="00064C93">
              <w:rPr>
                <w:rFonts w:ascii="Century Schoolbook" w:hAnsi="Century Schoolbook"/>
                <w:noProof/>
                <w:webHidden/>
              </w:rPr>
              <w:fldChar w:fldCharType="end"/>
            </w:r>
          </w:hyperlink>
        </w:p>
        <w:p w14:paraId="1A434220" w14:textId="7C528CAC" w:rsidR="00064C93" w:rsidRPr="00064C93" w:rsidRDefault="00064C93" w:rsidP="00064C93">
          <w:pPr>
            <w:pStyle w:val="TOC3"/>
            <w:rPr>
              <w:rFonts w:ascii="Century Schoolbook" w:eastAsiaTheme="minorEastAsia" w:hAnsi="Century Schoolbook"/>
              <w:noProof/>
              <w:sz w:val="22"/>
              <w:szCs w:val="22"/>
            </w:rPr>
          </w:pPr>
          <w:hyperlink w:anchor="_Toc213017923" w:history="1">
            <w:r w:rsidRPr="00064C93">
              <w:rPr>
                <w:rStyle w:val="Hyperlink"/>
                <w:rFonts w:ascii="Century Schoolbook" w:hAnsi="Century Schoolbook"/>
                <w:noProof/>
              </w:rPr>
              <w:t>1.</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Investing significant resources . . .</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_Toc213017923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52</w:t>
            </w:r>
            <w:r w:rsidRPr="00064C93">
              <w:rPr>
                <w:rFonts w:ascii="Century Schoolbook" w:hAnsi="Century Schoolbook"/>
                <w:noProof/>
                <w:webHidden/>
              </w:rPr>
              <w:fldChar w:fldCharType="end"/>
            </w:r>
          </w:hyperlink>
        </w:p>
        <w:p w14:paraId="214C817F" w14:textId="0F170744" w:rsidR="00064C93" w:rsidRPr="00064C93" w:rsidRDefault="00064C93" w:rsidP="00064C93">
          <w:pPr>
            <w:pStyle w:val="TOC3"/>
            <w:rPr>
              <w:rFonts w:ascii="Century Schoolbook" w:eastAsiaTheme="minorEastAsia" w:hAnsi="Century Schoolbook"/>
              <w:noProof/>
              <w:sz w:val="22"/>
              <w:szCs w:val="22"/>
            </w:rPr>
          </w:pPr>
          <w:hyperlink w:anchor="_Toc213017924" w:history="1">
            <w:r w:rsidRPr="00064C93">
              <w:rPr>
                <w:rStyle w:val="Hyperlink"/>
                <w:rFonts w:ascii="Century Schoolbook" w:hAnsi="Century Schoolbook"/>
                <w:noProof/>
              </w:rPr>
              <w:t>2.</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 . . to generate a message . . .</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_Toc213017924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52</w:t>
            </w:r>
            <w:r w:rsidRPr="00064C93">
              <w:rPr>
                <w:rFonts w:ascii="Century Schoolbook" w:hAnsi="Century Schoolbook"/>
                <w:noProof/>
                <w:webHidden/>
              </w:rPr>
              <w:fldChar w:fldCharType="end"/>
            </w:r>
          </w:hyperlink>
        </w:p>
        <w:p w14:paraId="0F109DA3" w14:textId="16408162" w:rsidR="00064C93" w:rsidRPr="00064C93" w:rsidRDefault="00064C93" w:rsidP="00064C93">
          <w:pPr>
            <w:pStyle w:val="TOC3"/>
            <w:rPr>
              <w:rFonts w:ascii="Century Schoolbook" w:eastAsiaTheme="minorEastAsia" w:hAnsi="Century Schoolbook"/>
              <w:noProof/>
              <w:sz w:val="22"/>
              <w:szCs w:val="22"/>
            </w:rPr>
          </w:pPr>
          <w:hyperlink w:anchor="_Toc213017925" w:history="1">
            <w:r w:rsidRPr="00064C93">
              <w:rPr>
                <w:rStyle w:val="Hyperlink"/>
                <w:rFonts w:ascii="Century Schoolbook" w:hAnsi="Century Schoolbook"/>
                <w:noProof/>
              </w:rPr>
              <w:t>3.</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 . . about an issue of public concern . . .</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_Toc213017925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53</w:t>
            </w:r>
            <w:r w:rsidRPr="00064C93">
              <w:rPr>
                <w:rFonts w:ascii="Century Schoolbook" w:hAnsi="Century Schoolbook"/>
                <w:noProof/>
                <w:webHidden/>
              </w:rPr>
              <w:fldChar w:fldCharType="end"/>
            </w:r>
          </w:hyperlink>
        </w:p>
        <w:p w14:paraId="0B7C280C" w14:textId="273D5D82" w:rsidR="00064C93" w:rsidRPr="00064C93" w:rsidRDefault="00064C93" w:rsidP="00064C93">
          <w:pPr>
            <w:pStyle w:val="TOC3"/>
            <w:rPr>
              <w:rFonts w:ascii="Century Schoolbook" w:eastAsiaTheme="minorEastAsia" w:hAnsi="Century Schoolbook"/>
              <w:noProof/>
              <w:sz w:val="22"/>
              <w:szCs w:val="22"/>
            </w:rPr>
          </w:pPr>
          <w:hyperlink w:anchor="_Toc213017926" w:history="1">
            <w:r w:rsidRPr="00064C93">
              <w:rPr>
                <w:rStyle w:val="Hyperlink"/>
                <w:rFonts w:ascii="Century Schoolbook" w:hAnsi="Century Schoolbook"/>
                <w:noProof/>
              </w:rPr>
              <w:t>4.</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 . . that is reasonably calculated to reach a mass audience</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_Toc213017926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55</w:t>
            </w:r>
            <w:r w:rsidRPr="00064C93">
              <w:rPr>
                <w:rFonts w:ascii="Century Schoolbook" w:hAnsi="Century Schoolbook"/>
                <w:noProof/>
                <w:webHidden/>
              </w:rPr>
              <w:fldChar w:fldCharType="end"/>
            </w:r>
          </w:hyperlink>
        </w:p>
        <w:p w14:paraId="3518FFD2" w14:textId="75B94D65" w:rsidR="00064C93" w:rsidRPr="00064C93" w:rsidRDefault="00064C93">
          <w:pPr>
            <w:pStyle w:val="TOC2"/>
            <w:tabs>
              <w:tab w:val="left" w:pos="880"/>
              <w:tab w:val="right" w:leader="dot" w:pos="9350"/>
            </w:tabs>
            <w:rPr>
              <w:rFonts w:ascii="Century Schoolbook" w:eastAsiaTheme="minorEastAsia" w:hAnsi="Century Schoolbook"/>
              <w:noProof/>
              <w:sz w:val="22"/>
              <w:szCs w:val="22"/>
            </w:rPr>
          </w:pPr>
          <w:hyperlink w:anchor="_Toc213017927" w:history="1">
            <w:r w:rsidRPr="00064C93">
              <w:rPr>
                <w:rStyle w:val="Hyperlink"/>
                <w:rFonts w:ascii="Century Schoolbook" w:hAnsi="Century Schoolbook"/>
                <w:noProof/>
              </w:rPr>
              <w:t>C.</w:t>
            </w:r>
            <w:r w:rsidRPr="00064C93">
              <w:rPr>
                <w:rFonts w:ascii="Century Schoolbook" w:eastAsiaTheme="minorEastAsia" w:hAnsi="Century Schoolbook"/>
                <w:noProof/>
                <w:sz w:val="22"/>
                <w:szCs w:val="22"/>
              </w:rPr>
              <w:tab/>
            </w:r>
            <w:r w:rsidRPr="00064C93">
              <w:rPr>
                <w:rStyle w:val="Hyperlink"/>
                <w:rFonts w:ascii="Century Schoolbook" w:hAnsi="Century Schoolbook"/>
                <w:noProof/>
              </w:rPr>
              <w:t xml:space="preserve">Evolution: </w:t>
            </w:r>
            <w:r w:rsidR="009F6EB0">
              <w:rPr>
                <w:rStyle w:val="Hyperlink"/>
                <w:rFonts w:ascii="Century Schoolbook" w:hAnsi="Century Schoolbook"/>
                <w:noProof/>
              </w:rPr>
              <w:t>O</w:t>
            </w:r>
            <w:r w:rsidRPr="00064C93">
              <w:rPr>
                <w:rStyle w:val="Hyperlink"/>
                <w:rFonts w:ascii="Century Schoolbook" w:hAnsi="Century Schoolbook"/>
                <w:noProof/>
              </w:rPr>
              <w:t xml:space="preserve">pen questions </w:t>
            </w:r>
            <w:r w:rsidR="009F6EB0">
              <w:rPr>
                <w:rStyle w:val="Hyperlink"/>
                <w:rFonts w:ascii="Century Schoolbook" w:hAnsi="Century Schoolbook"/>
                <w:noProof/>
              </w:rPr>
              <w:t xml:space="preserve">are </w:t>
            </w:r>
            <w:r w:rsidRPr="00064C93">
              <w:rPr>
                <w:rStyle w:val="Hyperlink"/>
                <w:rFonts w:ascii="Century Schoolbook" w:hAnsi="Century Schoolbook"/>
                <w:noProof/>
              </w:rPr>
              <w:t>left to the common law</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_Toc213017927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58</w:t>
            </w:r>
            <w:r w:rsidRPr="00064C93">
              <w:rPr>
                <w:rFonts w:ascii="Century Schoolbook" w:hAnsi="Century Schoolbook"/>
                <w:noProof/>
                <w:webHidden/>
              </w:rPr>
              <w:fldChar w:fldCharType="end"/>
            </w:r>
          </w:hyperlink>
        </w:p>
        <w:p w14:paraId="1B1ADC41" w14:textId="0FD33C6C" w:rsidR="00064C93" w:rsidRDefault="00064C93">
          <w:pPr>
            <w:pStyle w:val="TOC1"/>
            <w:tabs>
              <w:tab w:val="right" w:leader="dot" w:pos="9350"/>
            </w:tabs>
            <w:rPr>
              <w:rFonts w:asciiTheme="minorHAnsi" w:eastAsiaTheme="minorEastAsia" w:hAnsiTheme="minorHAnsi"/>
              <w:noProof/>
              <w:sz w:val="22"/>
              <w:szCs w:val="22"/>
            </w:rPr>
          </w:pPr>
          <w:hyperlink w:anchor="_Toc213017928" w:history="1">
            <w:r w:rsidRPr="00064C93">
              <w:rPr>
                <w:rStyle w:val="Hyperlink"/>
                <w:rFonts w:ascii="Century Schoolbook" w:hAnsi="Century Schoolbook"/>
                <w:noProof/>
              </w:rPr>
              <w:t>Conclusion</w:t>
            </w:r>
            <w:r w:rsidRPr="00064C93">
              <w:rPr>
                <w:rFonts w:ascii="Century Schoolbook" w:hAnsi="Century Schoolbook"/>
                <w:noProof/>
                <w:webHidden/>
              </w:rPr>
              <w:tab/>
            </w:r>
            <w:r w:rsidRPr="00064C93">
              <w:rPr>
                <w:rFonts w:ascii="Century Schoolbook" w:hAnsi="Century Schoolbook"/>
                <w:noProof/>
                <w:webHidden/>
              </w:rPr>
              <w:fldChar w:fldCharType="begin"/>
            </w:r>
            <w:r w:rsidRPr="00064C93">
              <w:rPr>
                <w:rFonts w:ascii="Century Schoolbook" w:hAnsi="Century Schoolbook"/>
                <w:noProof/>
                <w:webHidden/>
              </w:rPr>
              <w:instrText xml:space="preserve"> PAGEREF _Toc213017928 \h </w:instrText>
            </w:r>
            <w:r w:rsidRPr="00064C93">
              <w:rPr>
                <w:rFonts w:ascii="Century Schoolbook" w:hAnsi="Century Schoolbook"/>
                <w:noProof/>
                <w:webHidden/>
              </w:rPr>
            </w:r>
            <w:r w:rsidRPr="00064C93">
              <w:rPr>
                <w:rFonts w:ascii="Century Schoolbook" w:hAnsi="Century Schoolbook"/>
                <w:noProof/>
                <w:webHidden/>
              </w:rPr>
              <w:fldChar w:fldCharType="separate"/>
            </w:r>
            <w:r w:rsidRPr="00064C93">
              <w:rPr>
                <w:rFonts w:ascii="Century Schoolbook" w:hAnsi="Century Schoolbook"/>
                <w:noProof/>
                <w:webHidden/>
              </w:rPr>
              <w:t>60</w:t>
            </w:r>
            <w:r w:rsidRPr="00064C93">
              <w:rPr>
                <w:rFonts w:ascii="Century Schoolbook" w:hAnsi="Century Schoolbook"/>
                <w:noProof/>
                <w:webHidden/>
              </w:rPr>
              <w:fldChar w:fldCharType="end"/>
            </w:r>
          </w:hyperlink>
        </w:p>
        <w:p w14:paraId="5D96DE91" w14:textId="2B74E961" w:rsidR="006A02F1" w:rsidRPr="00014AED" w:rsidRDefault="00FE199D" w:rsidP="000962C8">
          <w:pPr>
            <w:sectPr w:rsidR="006A02F1" w:rsidRPr="00014AED" w:rsidSect="006A02F1">
              <w:footerReference w:type="default" r:id="rId9"/>
              <w:pgSz w:w="12240" w:h="15840"/>
              <w:pgMar w:top="1440" w:right="1440" w:bottom="1440" w:left="1440" w:header="720" w:footer="720" w:gutter="0"/>
              <w:pgNumType w:fmt="lowerRoman" w:start="1"/>
              <w:cols w:space="720"/>
              <w:docGrid w:linePitch="360"/>
            </w:sectPr>
          </w:pPr>
          <w:r>
            <w:rPr>
              <w:b/>
              <w:bCs/>
              <w:noProof/>
            </w:rPr>
            <w:fldChar w:fldCharType="end"/>
          </w:r>
        </w:p>
      </w:sdtContent>
    </w:sdt>
    <w:p w14:paraId="4652D9A0" w14:textId="1EFA8193" w:rsidR="00AB12F4" w:rsidRPr="00406FD6" w:rsidRDefault="00AB12F4" w:rsidP="006A02F1">
      <w:pPr>
        <w:pStyle w:val="Heading1"/>
        <w:numPr>
          <w:ilvl w:val="0"/>
          <w:numId w:val="0"/>
        </w:numPr>
        <w:jc w:val="center"/>
      </w:pPr>
      <w:bookmarkStart w:id="6" w:name="_Toc212826882"/>
      <w:bookmarkStart w:id="7" w:name="_Toc213017903"/>
      <w:r w:rsidRPr="00406FD6">
        <w:lastRenderedPageBreak/>
        <w:t>ARTICLE</w:t>
      </w:r>
      <w:bookmarkEnd w:id="6"/>
      <w:bookmarkEnd w:id="7"/>
    </w:p>
    <w:p w14:paraId="3CA1D708" w14:textId="27C334B6" w:rsidR="00AB12F4" w:rsidRDefault="00AB12F4" w:rsidP="000962C8">
      <w:pPr>
        <w:rPr>
          <w:rFonts w:ascii="Century Schoolbook" w:hAnsi="Century Schoolbook"/>
        </w:rPr>
      </w:pPr>
    </w:p>
    <w:p w14:paraId="06C9E5B0" w14:textId="6AAC0257" w:rsidR="00AB12F4" w:rsidRPr="00406FD6" w:rsidRDefault="00AB12F4" w:rsidP="00406FD6">
      <w:pPr>
        <w:pStyle w:val="Subtitle"/>
      </w:pPr>
      <w:bookmarkStart w:id="8" w:name="_Toc213017904"/>
      <w:r w:rsidRPr="00406FD6">
        <w:t>Introduction</w:t>
      </w:r>
      <w:bookmarkEnd w:id="8"/>
    </w:p>
    <w:p w14:paraId="7FC40A6C" w14:textId="05CC2AF6" w:rsidR="00ED3E38" w:rsidRPr="00ED3E38" w:rsidRDefault="00ED3E38" w:rsidP="00ED3E38">
      <w:pPr>
        <w:pStyle w:val="BodyText"/>
      </w:pPr>
      <w:r w:rsidRPr="00ED3E38">
        <w:t xml:space="preserve">To borrow from Jane Austen’s iconic opening line, it is a truth (almost) universally acknowledged that the Press Clause of the First Amendment </w:t>
      </w:r>
      <w:r w:rsidR="00C3392F">
        <w:t>doesn’t confer any</w:t>
      </w:r>
      <w:r w:rsidRPr="00ED3E38">
        <w:t xml:space="preserve"> more rights than the Speech Clause already grants individual speakers.</w:t>
      </w:r>
      <w:r w:rsidRPr="00ED3E38">
        <w:rPr>
          <w:vertAlign w:val="superscript"/>
        </w:rPr>
        <w:footnoteReference w:id="1"/>
      </w:r>
      <w:r w:rsidRPr="00ED3E38">
        <w:t xml:space="preserve">  And yet, in practice, it often does: special access, the reporter’s privilege, and heightened standards for newsroom searches and defamation claims are just some of the areas where the press—owing to the special role it plays in the U.S. constitutional system—in fact enjoys better treatment than the rest of us.</w:t>
      </w:r>
    </w:p>
    <w:p w14:paraId="1ED0C2FA" w14:textId="7897FAB6" w:rsidR="00ED3E38" w:rsidRPr="00ED3E38" w:rsidRDefault="00ED3E38" w:rsidP="00ED3E38">
      <w:pPr>
        <w:pStyle w:val="BodyText"/>
      </w:pPr>
      <w:r w:rsidRPr="00ED3E38">
        <w:t>The Supreme Court’s reluctance to acknowledge these special rights</w:t>
      </w:r>
      <w:r w:rsidR="00C3392F">
        <w:t>,</w:t>
      </w:r>
      <w:r w:rsidRPr="00ED3E38">
        <w:t xml:space="preserve"> even as it awards them in practice</w:t>
      </w:r>
      <w:r w:rsidR="00C3392F">
        <w:t>,</w:t>
      </w:r>
      <w:r w:rsidRPr="00ED3E38">
        <w:t xml:space="preserve"> can be explained in part by the difficulty of the threshold question.  If the press is entitled to special treatment, courts will in at least some cases have to say what “the press” is.</w:t>
      </w:r>
    </w:p>
    <w:p w14:paraId="49D4C078" w14:textId="45A4026D" w:rsidR="00ED3E38" w:rsidRPr="00ED3E38" w:rsidRDefault="00ED3E38" w:rsidP="00ED3E38">
      <w:pPr>
        <w:pStyle w:val="BodyText"/>
      </w:pPr>
      <w:r w:rsidRPr="00ED3E38">
        <w:t xml:space="preserve">To be sure, this is no easy task.  The drafting history of the First Amendment sheds little light on what the Framers intended “the press” to mean, and other writings from the era provide no definitive answers.  Not surprisingly, scholars have struggled to reach a consensus on how to define the press.  Some, largely for practical reasons, have taken a narrow view of it, as an institution and a profession.  Others have inferred from the historical context a broad definition: that the press </w:t>
      </w:r>
      <w:r w:rsidR="00C3392F">
        <w:t>at the time of the founding</w:t>
      </w:r>
      <w:r w:rsidRPr="00ED3E38">
        <w:t xml:space="preserve"> was simply a technology that anyone could use to reduce </w:t>
      </w:r>
      <w:r w:rsidRPr="00ED3E38">
        <w:lastRenderedPageBreak/>
        <w:t>speech to writing.  Still others have interpreted the historical record through a functional lens focused on the press’s intended role as a government watchdog.  Although each of these definitions offers some valuable insights, none has proven to be a silver bullet.</w:t>
      </w:r>
    </w:p>
    <w:p w14:paraId="01E898A9" w14:textId="666D1D59" w:rsidR="00ED3E38" w:rsidRPr="00ED3E38" w:rsidRDefault="00ED3E38" w:rsidP="00ED3E38">
      <w:pPr>
        <w:pStyle w:val="BodyText"/>
      </w:pPr>
      <w:r w:rsidRPr="00ED3E38">
        <w:t xml:space="preserve">Nor is much help to be found in the </w:t>
      </w:r>
      <w:proofErr w:type="gramStart"/>
      <w:r w:rsidRPr="00ED3E38">
        <w:t>definitions</w:t>
      </w:r>
      <w:proofErr w:type="gramEnd"/>
      <w:r w:rsidRPr="00ED3E38">
        <w:t xml:space="preserve"> states have adopted in statutes governing press issues like the reporter’s privilege and records access.  These statutory definitions tend to be overly formalistic, requiring certain credentials and corporate forms.</w:t>
      </w:r>
      <w:r w:rsidR="00D73A3A">
        <w:rPr>
          <w:rStyle w:val="FootnoteReference"/>
        </w:rPr>
        <w:footnoteReference w:id="2"/>
      </w:r>
      <w:r w:rsidRPr="00ED3E38">
        <w:t xml:space="preserve">  They also often enumerate lists of specific media, like newspapers and terrestrial radio, that were </w:t>
      </w:r>
      <w:proofErr w:type="gramStart"/>
      <w:r w:rsidRPr="00ED3E38">
        <w:t>in</w:t>
      </w:r>
      <w:proofErr w:type="gramEnd"/>
      <w:r w:rsidRPr="00ED3E38">
        <w:t xml:space="preserve"> wide use when the statutes were enacted</w:t>
      </w:r>
      <w:r w:rsidR="00D73A3A">
        <w:rPr>
          <w:rStyle w:val="FootnoteReference"/>
        </w:rPr>
        <w:footnoteReference w:id="3"/>
      </w:r>
      <w:r w:rsidRPr="00ED3E38">
        <w:t xml:space="preserve">—a self-evidently </w:t>
      </w:r>
      <w:r w:rsidR="00F30BDB">
        <w:t>myopic</w:t>
      </w:r>
      <w:r w:rsidRPr="00ED3E38">
        <w:t xml:space="preserve"> idea.  </w:t>
      </w:r>
      <w:proofErr w:type="gramStart"/>
      <w:r w:rsidR="00C3392F">
        <w:t>I</w:t>
      </w:r>
      <w:r w:rsidRPr="00ED3E38">
        <w:t>n this day and age</w:t>
      </w:r>
      <w:proofErr w:type="gramEnd"/>
      <w:r w:rsidRPr="00ED3E38">
        <w:t xml:space="preserve">, when communication technology is evolving so fast that consumers, let alone lawmakers, can barely keep up, any definition anchored to certain forms of media is all but </w:t>
      </w:r>
      <w:proofErr w:type="gramStart"/>
      <w:r w:rsidRPr="00ED3E38">
        <w:t>dead on</w:t>
      </w:r>
      <w:proofErr w:type="gramEnd"/>
      <w:r w:rsidRPr="00ED3E38">
        <w:t xml:space="preserve"> arrival.</w:t>
      </w:r>
    </w:p>
    <w:p w14:paraId="53352F6F" w14:textId="75C1FAAC" w:rsidR="00ED3E38" w:rsidRPr="00ED3E38" w:rsidRDefault="00ED3E38" w:rsidP="00ED3E38">
      <w:pPr>
        <w:pStyle w:val="BodyText"/>
      </w:pPr>
      <w:r w:rsidRPr="00ED3E38">
        <w:t xml:space="preserve">Fortunately, the apparent choice between a narrow, institutional view of the press on the one hand (which artificially limits the scope of the press right and </w:t>
      </w:r>
      <w:r w:rsidR="00EB145C">
        <w:t xml:space="preserve">invites </w:t>
      </w:r>
      <w:r w:rsidR="00C3392F">
        <w:t>accusations</w:t>
      </w:r>
      <w:r w:rsidRPr="00ED3E38">
        <w:t xml:space="preserve"> of elitism), and a definition so broad as to be useless on the other, is a false one.  A workable definition of the press that remains faithful to its original purpose while also accommodating the modern media environment </w:t>
      </w:r>
      <w:r w:rsidRPr="00ED3E38">
        <w:rPr>
          <w:i/>
          <w:iCs/>
        </w:rPr>
        <w:t>is</w:t>
      </w:r>
      <w:r w:rsidRPr="00ED3E38">
        <w:t xml:space="preserve"> possible.</w:t>
      </w:r>
    </w:p>
    <w:p w14:paraId="3A699D54" w14:textId="03FE714C" w:rsidR="00ED3E38" w:rsidRPr="00ED3E38" w:rsidRDefault="00ED3E38" w:rsidP="00ED3E38">
      <w:pPr>
        <w:pStyle w:val="BodyText"/>
      </w:pPr>
      <w:r w:rsidRPr="00ED3E38">
        <w:t xml:space="preserve">A functional definition is the only way to square this circle.  It must focus not on </w:t>
      </w:r>
      <w:r w:rsidRPr="00ED3E38">
        <w:rPr>
          <w:i/>
          <w:iCs/>
        </w:rPr>
        <w:t>who</w:t>
      </w:r>
      <w:r w:rsidRPr="00ED3E38">
        <w:t xml:space="preserve"> counts as press, but on what activities a person or institution is engaged in.  </w:t>
      </w:r>
      <w:r w:rsidRPr="00ED3E38">
        <w:lastRenderedPageBreak/>
        <w:t>Government oversight is undoubtedly one of these activities, but it is neither necessary nor sufficient on its own to determine who is press and who is not.  A more complete</w:t>
      </w:r>
      <w:r w:rsidR="00D73A3A">
        <w:t xml:space="preserve"> and inclusive</w:t>
      </w:r>
      <w:r w:rsidRPr="00ED3E38">
        <w:t xml:space="preserve"> definition asks whether the claimant has </w:t>
      </w:r>
      <w:r w:rsidRPr="00ED3E38">
        <w:rPr>
          <w:i/>
          <w:iCs/>
        </w:rPr>
        <w:t xml:space="preserve">invested significant resources to generate a message </w:t>
      </w:r>
      <w:r w:rsidR="00F30BDB">
        <w:rPr>
          <w:i/>
          <w:iCs/>
        </w:rPr>
        <w:t>about</w:t>
      </w:r>
      <w:r w:rsidRPr="00ED3E38">
        <w:rPr>
          <w:i/>
          <w:iCs/>
        </w:rPr>
        <w:t xml:space="preserve"> issues of public concern</w:t>
      </w:r>
      <w:r w:rsidR="00F30BDB">
        <w:rPr>
          <w:i/>
          <w:iCs/>
        </w:rPr>
        <w:t xml:space="preserve"> that is </w:t>
      </w:r>
      <w:r w:rsidR="00F30BDB" w:rsidRPr="00ED3E38">
        <w:rPr>
          <w:i/>
          <w:iCs/>
        </w:rPr>
        <w:t>reasonably calculated to reach a mass audience</w:t>
      </w:r>
      <w:r w:rsidRPr="00ED3E38">
        <w:t>.</w:t>
      </w:r>
    </w:p>
    <w:p w14:paraId="00C56E7F" w14:textId="178A4962" w:rsidR="00ED3E38" w:rsidRPr="00ED3E38" w:rsidRDefault="00ED3E38" w:rsidP="00ED3E38">
      <w:pPr>
        <w:pStyle w:val="BodyText"/>
      </w:pPr>
      <w:r w:rsidRPr="00ED3E38">
        <w:t xml:space="preserve">Each component of this definition narrows its scope, ensuring that the press is distinct from individual speakers.  At the same time, these requirements do not limit the press to a credentialed and privileged elite.  “Significant resources” does not just mean money; it can also include intangibles like time and effort.  The intent and ability to reach a mass audience—as opposed to viral content that takes on a life of its own—are also relevant considerations.  So is the nature of the message itself.  At various times, the Supreme Court has applied an “issue of public concern” test </w:t>
      </w:r>
      <w:r w:rsidRPr="00ED3E38">
        <w:rPr>
          <w:i/>
          <w:iCs/>
        </w:rPr>
        <w:t>ad hoc</w:t>
      </w:r>
      <w:r w:rsidRPr="00ED3E38">
        <w:t xml:space="preserve"> to determine whether special rights for the press are warranted.</w:t>
      </w:r>
      <w:r w:rsidR="00F30BDB">
        <w:rPr>
          <w:rStyle w:val="FootnoteReference"/>
        </w:rPr>
        <w:footnoteReference w:id="4"/>
      </w:r>
      <w:r w:rsidRPr="00ED3E38">
        <w:t xml:space="preserve">  It is past time that this intuitive and sensible standard be given a formal place in the analysis.</w:t>
      </w:r>
    </w:p>
    <w:p w14:paraId="312C9C7C" w14:textId="21E4F2C8" w:rsidR="00ED3E38" w:rsidRPr="00ED3E38" w:rsidRDefault="00ED3E38" w:rsidP="00ED3E38">
      <w:pPr>
        <w:pStyle w:val="BodyText"/>
      </w:pPr>
      <w:r w:rsidRPr="00ED3E38">
        <w:t>Admittedly, the</w:t>
      </w:r>
      <w:r w:rsidR="008A30A4">
        <w:t xml:space="preserve"> key</w:t>
      </w:r>
      <w:r w:rsidRPr="00ED3E38">
        <w:t xml:space="preserve"> terms </w:t>
      </w:r>
      <w:r w:rsidR="008A30A4">
        <w:t xml:space="preserve">in this proposed definition </w:t>
      </w:r>
      <w:r w:rsidRPr="00ED3E38">
        <w:t xml:space="preserve">are open-ended.  How large must an investment of resources be </w:t>
      </w:r>
      <w:r w:rsidR="008A30A4">
        <w:t xml:space="preserve">for it </w:t>
      </w:r>
      <w:r w:rsidRPr="00ED3E38">
        <w:t xml:space="preserve">to be considered “significant”?  How big is a “mass audience”?  When is an issue “of public concern”?  </w:t>
      </w:r>
      <w:r w:rsidR="008A30A4">
        <w:t xml:space="preserve">This definition </w:t>
      </w:r>
      <w:r w:rsidRPr="00ED3E38">
        <w:t xml:space="preserve">supplies no </w:t>
      </w:r>
      <w:r w:rsidR="008A30A4">
        <w:t>specific</w:t>
      </w:r>
      <w:r w:rsidRPr="00ED3E38">
        <w:t xml:space="preserve"> answers.  But this is by design, as those answers might well </w:t>
      </w:r>
      <w:r w:rsidRPr="00ED3E38">
        <w:lastRenderedPageBreak/>
        <w:t xml:space="preserve">vary depending on the circumstances of </w:t>
      </w:r>
      <w:r w:rsidR="002A42E6">
        <w:t>a given</w:t>
      </w:r>
      <w:r w:rsidRPr="00ED3E38">
        <w:t xml:space="preserve"> situation.  The best solution is therefore to let the common law sort out the particulars case by case.</w:t>
      </w:r>
    </w:p>
    <w:p w14:paraId="63E2C468" w14:textId="65AABAA2" w:rsidR="00AB12F4" w:rsidRPr="00B5306B" w:rsidRDefault="00ED3E38" w:rsidP="00ED3E38">
      <w:pPr>
        <w:pStyle w:val="BodyText"/>
      </w:pPr>
      <w:r w:rsidRPr="00ED3E38">
        <w:t xml:space="preserve">This definition has the advantages of being consistent with the historical record—which presupposes that anyone can be </w:t>
      </w:r>
      <w:proofErr w:type="gramStart"/>
      <w:r w:rsidRPr="00ED3E38">
        <w:t>press</w:t>
      </w:r>
      <w:proofErr w:type="gramEnd"/>
      <w:r w:rsidRPr="00ED3E38">
        <w:t xml:space="preserve">, </w:t>
      </w:r>
      <w:r w:rsidRPr="00ED3E38">
        <w:rPr>
          <w:i/>
          <w:iCs/>
        </w:rPr>
        <w:t>if</w:t>
      </w:r>
      <w:r w:rsidRPr="00ED3E38">
        <w:t xml:space="preserve"> they engage in certain activities—while providing a framework that sets courts up to </w:t>
      </w:r>
      <w:r w:rsidR="002A42E6">
        <w:t xml:space="preserve">accurately assess the status of litigants who use </w:t>
      </w:r>
      <w:r w:rsidRPr="00ED3E38">
        <w:t xml:space="preserve">modern media.  While many courts tasked with determining whether alternative-media figures such as YouTubers, bloggers, and podcasters are press have reached counterintuitive results under existing definitions, the definition proposed in this article better reflects today’s reality: the press is no longer just print, radio, and television—if it ever was.  No credentials have ever been required to try to inform or persuade large and anonymous groups of people about the issues of the day.  Those who go to the trouble to do so deserve to call themselves “press”—and to avail themselves of </w:t>
      </w:r>
      <w:r w:rsidR="002A42E6">
        <w:t>any special</w:t>
      </w:r>
      <w:r w:rsidRPr="00ED3E38">
        <w:t xml:space="preserve"> rights that go along with that status.</w:t>
      </w:r>
    </w:p>
    <w:p w14:paraId="0A08BFBD" w14:textId="74C4908D" w:rsidR="00AB12F4" w:rsidRPr="00B5306B" w:rsidRDefault="00ED3E38" w:rsidP="00B5306B">
      <w:pPr>
        <w:pStyle w:val="BodyText"/>
      </w:pPr>
      <w:r>
        <w:t>Part I of this Article will explain in greater detail why we need to define “press” for constitutional purposes in the first place</w:t>
      </w:r>
      <w:r w:rsidR="0085660B">
        <w:t>.  B</w:t>
      </w:r>
      <w:r>
        <w:t xml:space="preserve">ecause the press can and should </w:t>
      </w:r>
      <w:r w:rsidR="002145D1">
        <w:t xml:space="preserve">(and, in many cases, already does) </w:t>
      </w:r>
      <w:r>
        <w:t xml:space="preserve">benefit from special rights beyond what individual speakers get, courts will need to determine </w:t>
      </w:r>
      <w:r w:rsidR="0085660B">
        <w:t xml:space="preserve">whether the party claiming those rights </w:t>
      </w:r>
      <w:proofErr w:type="gramStart"/>
      <w:r w:rsidR="0085660B">
        <w:t xml:space="preserve">actually </w:t>
      </w:r>
      <w:r w:rsidR="0085660B" w:rsidRPr="0085660B">
        <w:rPr>
          <w:i/>
          <w:iCs/>
        </w:rPr>
        <w:t>is</w:t>
      </w:r>
      <w:proofErr w:type="gramEnd"/>
      <w:r w:rsidR="0085660B">
        <w:t xml:space="preserve"> press.  Although </w:t>
      </w:r>
      <w:r w:rsidR="002145D1">
        <w:t>whether a litigant is press is obvious in most cases</w:t>
      </w:r>
      <w:r w:rsidR="0085660B">
        <w:t>, the number of instances</w:t>
      </w:r>
      <w:r w:rsidR="002145D1">
        <w:t xml:space="preserve"> where the threshold question arises</w:t>
      </w:r>
      <w:r w:rsidR="0085660B">
        <w:t xml:space="preserve"> is likely to grow as new communication technologies emerge</w:t>
      </w:r>
      <w:r w:rsidR="002145D1">
        <w:t xml:space="preserve"> and gain popularity</w:t>
      </w:r>
      <w:r w:rsidR="0085660B">
        <w:t xml:space="preserve">.  Part II will explain why defining the press has proven so </w:t>
      </w:r>
      <w:r w:rsidR="002145D1">
        <w:t>vexing</w:t>
      </w:r>
      <w:r w:rsidR="0085660B">
        <w:t xml:space="preserve">, and why existing definitions </w:t>
      </w:r>
      <w:r w:rsidR="0085660B">
        <w:lastRenderedPageBreak/>
        <w:t>haven’t solved the problem.</w:t>
      </w:r>
      <w:r w:rsidR="002145D1">
        <w:t xml:space="preserve">  Scholars left with little evidence of what “press” was intended to mean</w:t>
      </w:r>
      <w:r w:rsidR="00A21BFF">
        <w:t xml:space="preserve"> have offered various approaches conceptions of “press” that are either too broad or too narrow.  </w:t>
      </w:r>
      <w:r w:rsidR="0085660B">
        <w:t xml:space="preserve">Part III will propose a new definition: </w:t>
      </w:r>
      <w:r w:rsidR="00A21BFF">
        <w:t>an inclusive</w:t>
      </w:r>
      <w:r w:rsidR="0085660B">
        <w:t xml:space="preserve">, functional definition that’s faithful to the founding-era understanding of </w:t>
      </w:r>
      <w:r w:rsidR="00EF60E2">
        <w:t xml:space="preserve">what </w:t>
      </w:r>
      <w:proofErr w:type="gramStart"/>
      <w:r w:rsidR="00EF60E2">
        <w:t>a free</w:t>
      </w:r>
      <w:proofErr w:type="gramEnd"/>
      <w:r w:rsidR="00EF60E2">
        <w:t xml:space="preserve"> press was, while accounting for the development of mass-communication technology—and how courts have approached it—in the intervening years.</w:t>
      </w:r>
      <w:r w:rsidR="00A21BFF">
        <w:t xml:space="preserve">  This definition views press as an activity rather than an identity, and limits its scope based on a series of factors common to the press function throughout its history.</w:t>
      </w:r>
      <w:r w:rsidR="00EF60E2">
        <w:t xml:space="preserve">  A series of hypotheticals </w:t>
      </w:r>
      <w:r w:rsidR="00A21BFF">
        <w:t>illustrates</w:t>
      </w:r>
      <w:r w:rsidR="00EF60E2">
        <w:t xml:space="preserve"> how this definition applies to issues raised by modern technologies.  The Article then concludes with </w:t>
      </w:r>
      <w:r w:rsidR="00AC0660">
        <w:t xml:space="preserve">a summary of the proposed definition’s benefits. </w:t>
      </w:r>
    </w:p>
    <w:p w14:paraId="6335F1C3" w14:textId="6F6FB975" w:rsidR="00AB12F4" w:rsidRDefault="00596105" w:rsidP="00D45E1C">
      <w:pPr>
        <w:pStyle w:val="Heading1"/>
      </w:pPr>
      <w:bookmarkStart w:id="9" w:name="_Toc213017905"/>
      <w:r w:rsidRPr="00596105">
        <w:t>Why defining the press matters</w:t>
      </w:r>
      <w:bookmarkEnd w:id="9"/>
    </w:p>
    <w:p w14:paraId="7EE5BA8C" w14:textId="77777777" w:rsidR="00A53021" w:rsidRDefault="00A21BFF" w:rsidP="00CB2B3A">
      <w:pPr>
        <w:pStyle w:val="BodyText"/>
      </w:pPr>
      <w:r>
        <w:t xml:space="preserve">The U.S. Supreme Court has been interpreting the First Amendment meaningfully for just over a century, and all this time, the Press Clause has been hiding in plain sight.  </w:t>
      </w:r>
      <w:r w:rsidR="00A53021">
        <w:t xml:space="preserve">As </w:t>
      </w:r>
      <w:r w:rsidR="003247A7">
        <w:t>Professor David Logan reminds us</w:t>
      </w:r>
      <w:r w:rsidR="00A53021">
        <w:t>,</w:t>
      </w:r>
      <w:r w:rsidR="003247A7">
        <w:t xml:space="preserve"> </w:t>
      </w:r>
      <w:r w:rsidR="00E80EA8">
        <w:t>“the text of the First Amendment</w:t>
      </w:r>
      <w:r w:rsidR="003247A7">
        <w:t xml:space="preserve"> </w:t>
      </w:r>
      <w:r w:rsidR="00E80EA8">
        <w:t xml:space="preserve">protects both the ‘freedom of speech </w:t>
      </w:r>
      <w:r w:rsidR="00E80EA8" w:rsidRPr="007F732C">
        <w:rPr>
          <w:i/>
          <w:iCs/>
        </w:rPr>
        <w:t>[and] of the press</w:t>
      </w:r>
      <w:r w:rsidR="00E80EA8">
        <w:t>.’”</w:t>
      </w:r>
      <w:r w:rsidR="00E80EA8" w:rsidRPr="00682DED">
        <w:rPr>
          <w:rStyle w:val="FootnoteReference"/>
        </w:rPr>
        <w:footnoteReference w:id="5"/>
      </w:r>
      <w:r w:rsidR="0030227F">
        <w:t xml:space="preserve">  Justice Hugo Black</w:t>
      </w:r>
      <w:r w:rsidR="00A53021">
        <w:t xml:space="preserve"> saw this as</w:t>
      </w:r>
      <w:r w:rsidR="003247A7">
        <w:t xml:space="preserve"> </w:t>
      </w:r>
      <w:r w:rsidR="0030227F" w:rsidRPr="00411941">
        <w:t>an “emphatic command” against any law “abridging the freedom of . . . the press.”</w:t>
      </w:r>
      <w:r w:rsidR="0030227F" w:rsidRPr="00411941">
        <w:rPr>
          <w:vertAlign w:val="superscript"/>
        </w:rPr>
        <w:footnoteReference w:id="6"/>
      </w:r>
    </w:p>
    <w:p w14:paraId="6E253BA4" w14:textId="03083CE0" w:rsidR="00AB12F4" w:rsidRDefault="002B0681" w:rsidP="007A6BEB">
      <w:pPr>
        <w:pStyle w:val="BodyText"/>
      </w:pPr>
      <w:r>
        <w:lastRenderedPageBreak/>
        <w:t>F</w:t>
      </w:r>
      <w:r w:rsidR="003247A7">
        <w:t xml:space="preserve">ew commentators would go </w:t>
      </w:r>
      <w:r w:rsidR="00A53021">
        <w:t>nearly</w:t>
      </w:r>
      <w:r w:rsidR="003247A7">
        <w:t xml:space="preserve"> far as </w:t>
      </w:r>
      <w:r w:rsidR="00A53021">
        <w:t xml:space="preserve">Black, an avowed </w:t>
      </w:r>
      <w:r w:rsidR="003247A7">
        <w:t>absolutist</w:t>
      </w:r>
      <w:r w:rsidR="00A53021">
        <w:t xml:space="preserve">, in acknowledging the implications of the Press Clause: </w:t>
      </w:r>
      <w:r>
        <w:t>that the</w:t>
      </w:r>
      <w:r w:rsidR="00A53021">
        <w:t xml:space="preserve"> press</w:t>
      </w:r>
      <w:r>
        <w:t xml:space="preserve"> is entitled to special constitutional rights</w:t>
      </w:r>
      <w:r w:rsidR="003247A7">
        <w:t xml:space="preserve">.  </w:t>
      </w:r>
      <w:r w:rsidR="0030227F" w:rsidRPr="00411941">
        <w:t>Professor</w:t>
      </w:r>
      <w:r>
        <w:t>s</w:t>
      </w:r>
      <w:r w:rsidR="0030227F" w:rsidRPr="00411941">
        <w:t xml:space="preserve"> </w:t>
      </w:r>
      <w:r w:rsidR="0030227F">
        <w:t>Daniel Farber</w:t>
      </w:r>
      <w:r w:rsidR="00A53021">
        <w:t xml:space="preserve"> </w:t>
      </w:r>
      <w:r>
        <w:t>and David Hudson are</w:t>
      </w:r>
      <w:r w:rsidR="00E20B9C">
        <w:t xml:space="preserve"> at</w:t>
      </w:r>
      <w:r w:rsidR="00A53021">
        <w:t xml:space="preserve"> least</w:t>
      </w:r>
      <w:r w:rsidR="003247A7">
        <w:t xml:space="preserve"> willing to </w:t>
      </w:r>
      <w:r w:rsidR="00A53021">
        <w:t>acknowledge</w:t>
      </w:r>
      <w:r w:rsidR="003247A7">
        <w:t xml:space="preserve"> that </w:t>
      </w:r>
      <w:r w:rsidR="00A53021">
        <w:t xml:space="preserve">the First Amendment’s </w:t>
      </w:r>
      <w:r w:rsidR="0030227F">
        <w:t>“</w:t>
      </w:r>
      <w:r w:rsidR="0030227F" w:rsidRPr="0082406E">
        <w:t>special mention</w:t>
      </w:r>
      <w:r w:rsidR="0030227F">
        <w:t xml:space="preserve">” </w:t>
      </w:r>
      <w:r w:rsidR="00A53021">
        <w:t>of</w:t>
      </w:r>
      <w:r w:rsidR="0030227F">
        <w:t xml:space="preserve"> the press</w:t>
      </w:r>
      <w:r>
        <w:t xml:space="preserve"> (Farber’s words)</w:t>
      </w:r>
      <w:bookmarkStart w:id="10" w:name="_Ref198148394"/>
      <w:r>
        <w:t xml:space="preserve"> suggests at least some degree of additional protection.</w:t>
      </w:r>
      <w:bookmarkStart w:id="11" w:name="_Ref212921262"/>
      <w:r w:rsidR="0030227F" w:rsidRPr="00411941">
        <w:rPr>
          <w:vertAlign w:val="superscript"/>
        </w:rPr>
        <w:footnoteReference w:id="7"/>
      </w:r>
      <w:bookmarkEnd w:id="10"/>
      <w:bookmarkEnd w:id="11"/>
      <w:r w:rsidR="00A53021">
        <w:t xml:space="preserve">  </w:t>
      </w:r>
      <w:r>
        <w:t xml:space="preserve">But despite the prominence of the Press Clause </w:t>
      </w:r>
      <w:r w:rsidR="007A6BEB">
        <w:t>in the text, w</w:t>
      </w:r>
      <w:r w:rsidR="00A53021">
        <w:t xml:space="preserve">hether </w:t>
      </w:r>
      <w:r>
        <w:t xml:space="preserve">these special rights are </w:t>
      </w:r>
      <w:proofErr w:type="gramStart"/>
      <w:r>
        <w:t>actually awarded</w:t>
      </w:r>
      <w:proofErr w:type="gramEnd"/>
      <w:r w:rsidR="00A53021">
        <w:t xml:space="preserve"> </w:t>
      </w:r>
      <w:r w:rsidR="007A6BEB">
        <w:t>in practice</w:t>
      </w:r>
      <w:r w:rsidR="00A53021">
        <w:t xml:space="preserve"> requires </w:t>
      </w:r>
      <w:r w:rsidR="007A6BEB">
        <w:t>an examination</w:t>
      </w:r>
      <w:r w:rsidR="00A53021">
        <w:t xml:space="preserve"> through a much finer lens.</w:t>
      </w:r>
      <w:r w:rsidR="007A6BEB">
        <w:t xml:space="preserve">  </w:t>
      </w:r>
      <w:r w:rsidR="006E76D8">
        <w:t>This is the paradox of the Press Clause</w:t>
      </w:r>
      <w:proofErr w:type="gramStart"/>
      <w:r w:rsidR="006E76D8">
        <w:t>:  members</w:t>
      </w:r>
      <w:proofErr w:type="gramEnd"/>
      <w:r w:rsidR="006E76D8">
        <w:t xml:space="preserve"> of the Court have for decades acknowledged the important role the press plays in the very functioning of our constitutional system, and yet, at the same time, have disclaimed any practical consequences of this fact.  But e</w:t>
      </w:r>
      <w:r w:rsidR="007A6BEB">
        <w:t>ven as the Court says it’s not awarding special rights, a close look at the case law reveals a much different story.</w:t>
      </w:r>
    </w:p>
    <w:p w14:paraId="420D089E" w14:textId="4357E5ED" w:rsidR="00D45E1C" w:rsidRPr="00B5306B" w:rsidRDefault="006E76D8" w:rsidP="006E76D8">
      <w:pPr>
        <w:pStyle w:val="Heading2"/>
        <w:ind w:left="2160" w:hanging="720"/>
      </w:pPr>
      <w:bookmarkStart w:id="13" w:name="_Toc213017906"/>
      <w:r w:rsidRPr="006E76D8">
        <w:t>The Court grants the press special rights even as it says it doesn’t</w:t>
      </w:r>
      <w:bookmarkEnd w:id="13"/>
    </w:p>
    <w:p w14:paraId="7E45E13A" w14:textId="1635496F" w:rsidR="00B15ACA" w:rsidRDefault="00B15ACA" w:rsidP="00A316AC">
      <w:pPr>
        <w:pStyle w:val="Heading3"/>
      </w:pPr>
      <w:bookmarkStart w:id="14" w:name="_Toc213017907"/>
      <w:r>
        <w:t>The Court acknowledges the press’s importance</w:t>
      </w:r>
      <w:r w:rsidR="00470820">
        <w:t xml:space="preserve"> but disclaims its rights</w:t>
      </w:r>
      <w:bookmarkEnd w:id="14"/>
    </w:p>
    <w:p w14:paraId="3A45298F" w14:textId="3D79A1ED" w:rsidR="00AC144D" w:rsidRDefault="006E76D8" w:rsidP="00AC144D">
      <w:pPr>
        <w:pStyle w:val="BodyText"/>
      </w:pPr>
      <w:r>
        <w:t>The Court’s express refusal to grant the press special rights is perplexing, given its repeated profess</w:t>
      </w:r>
      <w:r w:rsidR="00AC144D">
        <w:t xml:space="preserve">ions of the press’s singular importance.  Indeed, it extolled </w:t>
      </w:r>
      <w:r w:rsidR="00032249">
        <w:t xml:space="preserve">the importance of press freedom </w:t>
      </w:r>
      <w:r w:rsidR="00AC144D">
        <w:t xml:space="preserve">long before it began interpreting the First </w:t>
      </w:r>
      <w:r w:rsidR="00AC144D">
        <w:lastRenderedPageBreak/>
        <w:t>Amendment in earnest.</w:t>
      </w:r>
      <w:r w:rsidR="00570764">
        <w:rPr>
          <w:rStyle w:val="FootnoteReference"/>
        </w:rPr>
        <w:footnoteReference w:id="8"/>
      </w:r>
      <w:r w:rsidR="00570764">
        <w:t xml:space="preserve">  </w:t>
      </w:r>
      <w:r w:rsidR="00AC144D">
        <w:t xml:space="preserve">In </w:t>
      </w:r>
      <w:r w:rsidR="00AC144D" w:rsidRPr="000A4946">
        <w:rPr>
          <w:i/>
          <w:iCs/>
        </w:rPr>
        <w:t xml:space="preserve">Ex </w:t>
      </w:r>
      <w:r w:rsidR="00AC144D">
        <w:rPr>
          <w:i/>
          <w:iCs/>
        </w:rPr>
        <w:t>p</w:t>
      </w:r>
      <w:r w:rsidR="00AC144D" w:rsidRPr="000A4946">
        <w:rPr>
          <w:i/>
          <w:iCs/>
        </w:rPr>
        <w:t>arte Jackson</w:t>
      </w:r>
      <w:r w:rsidR="00AC144D">
        <w:t>,</w:t>
      </w:r>
      <w:r w:rsidR="00570764">
        <w:rPr>
          <w:rStyle w:val="FootnoteReference"/>
        </w:rPr>
        <w:footnoteReference w:id="9"/>
      </w:r>
      <w:r w:rsidR="00AC144D">
        <w:t xml:space="preserve"> </w:t>
      </w:r>
      <w:r w:rsidR="00570764">
        <w:t>the</w:t>
      </w:r>
      <w:r w:rsidR="00AC144D">
        <w:t xml:space="preserve"> Reconstruction-era </w:t>
      </w:r>
      <w:r w:rsidR="00570764">
        <w:t>Court</w:t>
      </w:r>
      <w:r w:rsidR="00032249">
        <w:t xml:space="preserve"> took for granted that</w:t>
      </w:r>
      <w:r w:rsidR="00570764">
        <w:t xml:space="preserve"> “liberty of publishing” and “[l]iberty of circulating”</w:t>
      </w:r>
      <w:r w:rsidR="00032249">
        <w:t xml:space="preserve"> were “essential” components of “</w:t>
      </w:r>
      <w:r w:rsidR="00AC144D">
        <w:t xml:space="preserve">the freedom of the press,” </w:t>
      </w:r>
      <w:r w:rsidR="00032249">
        <w:t>which could not be “interfere[d with] in any manner.”</w:t>
      </w:r>
      <w:r w:rsidR="00AC144D">
        <w:rPr>
          <w:rStyle w:val="FootnoteReference"/>
        </w:rPr>
        <w:footnoteReference w:id="10"/>
      </w:r>
    </w:p>
    <w:p w14:paraId="0A581CE8" w14:textId="1EC91D4F" w:rsidR="00AC144D" w:rsidRDefault="00AC144D" w:rsidP="00AC144D">
      <w:pPr>
        <w:pStyle w:val="BodyText"/>
      </w:pPr>
      <w:r>
        <w:t xml:space="preserve">Nearly a century later, </w:t>
      </w:r>
      <w:r w:rsidR="00032249">
        <w:t>i</w:t>
      </w:r>
      <w:r>
        <w:t xml:space="preserve">n </w:t>
      </w:r>
      <w:r w:rsidRPr="00323CB5">
        <w:rPr>
          <w:i/>
          <w:iCs/>
        </w:rPr>
        <w:t>Sheppard v. Maxwell</w:t>
      </w:r>
      <w:r w:rsidRPr="00323CB5">
        <w:t>,</w:t>
      </w:r>
      <w:r w:rsidR="00B67EFD">
        <w:rPr>
          <w:rStyle w:val="FootnoteReference"/>
        </w:rPr>
        <w:footnoteReference w:id="11"/>
      </w:r>
      <w:r w:rsidR="00B67EFD" w:rsidRPr="00B67EFD">
        <w:t xml:space="preserve"> </w:t>
      </w:r>
      <w:r>
        <w:t xml:space="preserve">the </w:t>
      </w:r>
      <w:r w:rsidR="00032249">
        <w:t xml:space="preserve">sensational </w:t>
      </w:r>
      <w:r>
        <w:t xml:space="preserve">1966 </w:t>
      </w:r>
      <w:r w:rsidR="00B67EFD">
        <w:t>murder</w:t>
      </w:r>
      <w:r w:rsidR="00032249">
        <w:t xml:space="preserve"> </w:t>
      </w:r>
      <w:r>
        <w:t>case</w:t>
      </w:r>
      <w:r w:rsidR="00B67EFD">
        <w:t xml:space="preserve">, </w:t>
      </w:r>
      <w:r w:rsidR="00D45845">
        <w:t xml:space="preserve">the Court </w:t>
      </w:r>
      <w:r w:rsidR="00B67EFD">
        <w:t>was “unwilling”—despite the “carnival atmosphere” the media circus surrounding the case had created—“</w:t>
      </w:r>
      <w:r w:rsidRPr="00D50CD2">
        <w:t>to place any direct limitations on the freedom traditionally exercised by the news media</w:t>
      </w:r>
      <w:r>
        <w:t>” in covering criminal trials</w:t>
      </w:r>
      <w:r w:rsidR="00D45845">
        <w:t xml:space="preserve"> in the name of the accused’s due process rights</w:t>
      </w:r>
      <w:r>
        <w:t>.</w:t>
      </w:r>
      <w:r>
        <w:rPr>
          <w:rStyle w:val="FootnoteReference"/>
        </w:rPr>
        <w:footnoteReference w:id="12"/>
      </w:r>
      <w:r>
        <w:t xml:space="preserve">  “</w:t>
      </w:r>
      <w:r w:rsidR="00D45845">
        <w:t>A</w:t>
      </w:r>
      <w:r w:rsidRPr="00D50CD2">
        <w:t xml:space="preserve"> responsible press</w:t>
      </w:r>
      <w:r w:rsidR="00D45845">
        <w:t>,</w:t>
      </w:r>
      <w:r w:rsidR="00E20B9C">
        <w:t>”</w:t>
      </w:r>
      <w:r w:rsidR="00D45845">
        <w:t xml:space="preserve"> the Court explained,</w:t>
      </w:r>
      <w:r w:rsidR="00913F75">
        <w:t xml:space="preserve"> </w:t>
      </w:r>
      <w:r w:rsidR="00E20B9C">
        <w:t>“</w:t>
      </w:r>
      <w:r w:rsidRPr="00D50CD2">
        <w:t>has always been regarded as the handmaiden of effective judicial administration</w:t>
      </w:r>
      <w:r w:rsidR="00D45845">
        <w:t>.</w:t>
      </w:r>
      <w:r>
        <w:t>”</w:t>
      </w:r>
      <w:r w:rsidR="00D45845">
        <w:rPr>
          <w:rStyle w:val="FootnoteReference"/>
        </w:rPr>
        <w:footnoteReference w:id="13"/>
      </w:r>
      <w:r>
        <w:t xml:space="preserve"> </w:t>
      </w:r>
      <w:r w:rsidR="00D45845">
        <w:t xml:space="preserve"> The </w:t>
      </w:r>
      <w:r w:rsidR="00537990">
        <w:t xml:space="preserve">press had </w:t>
      </w:r>
      <w:r>
        <w:t>“</w:t>
      </w:r>
      <w:r w:rsidRPr="00D50CD2">
        <w:t>an impressive record of service over several centuries</w:t>
      </w:r>
      <w:r>
        <w:t>” of “</w:t>
      </w:r>
      <w:r w:rsidRPr="00D50CD2">
        <w:t>guard</w:t>
      </w:r>
      <w:r>
        <w:t>[ing]</w:t>
      </w:r>
      <w:r w:rsidRPr="00D50CD2">
        <w:t xml:space="preserve"> against the miscarriage of justice by subjecting the police, prosecutors, and judicial processes to extensive public scrutiny and criticism</w:t>
      </w:r>
      <w:r>
        <w:t>.”</w:t>
      </w:r>
      <w:r>
        <w:rPr>
          <w:rStyle w:val="FootnoteReference"/>
        </w:rPr>
        <w:footnoteReference w:id="14"/>
      </w:r>
    </w:p>
    <w:p w14:paraId="188728A8" w14:textId="105C30E2" w:rsidR="00AC144D" w:rsidRDefault="00537990" w:rsidP="00073C53">
      <w:pPr>
        <w:pStyle w:val="BodyText"/>
      </w:pPr>
      <w:r>
        <w:lastRenderedPageBreak/>
        <w:t xml:space="preserve">These glowing reviews continued even as the Warren Court ceded the floor to the more conservative Burger Court.  Even as the Court upheld a search </w:t>
      </w:r>
      <w:proofErr w:type="gramStart"/>
      <w:r>
        <w:t>of</w:t>
      </w:r>
      <w:proofErr w:type="gramEnd"/>
      <w:r>
        <w:t xml:space="preserve"> a college newsroom in </w:t>
      </w:r>
      <w:r w:rsidR="00AC144D" w:rsidRPr="0016216F">
        <w:rPr>
          <w:i/>
          <w:iCs/>
        </w:rPr>
        <w:t>Zurcher v. Stanford Daily</w:t>
      </w:r>
      <w:r w:rsidR="00AC144D">
        <w:t>,</w:t>
      </w:r>
      <w:r>
        <w:rPr>
          <w:rStyle w:val="FootnoteReference"/>
        </w:rPr>
        <w:footnoteReference w:id="15"/>
      </w:r>
      <w:r w:rsidR="00AC144D">
        <w:t xml:space="preserve"> </w:t>
      </w:r>
      <w:r>
        <w:t xml:space="preserve">it commended the Daily for its commitment to its journalistic principles.  </w:t>
      </w:r>
      <w:r w:rsidR="00AC144D">
        <w:t>“</w:t>
      </w:r>
      <w:r>
        <w:t>[T]</w:t>
      </w:r>
      <w:r w:rsidR="00AC144D">
        <w:t>he press is not only an important, critical, and valuable asset to society,</w:t>
      </w:r>
      <w:r>
        <w:t xml:space="preserve">” Justice Byron White </w:t>
      </w:r>
      <w:r w:rsidR="00073C53">
        <w:t>wrote for the majority,</w:t>
      </w:r>
      <w:r w:rsidR="00AC144D">
        <w:t xml:space="preserve"> </w:t>
      </w:r>
      <w:r w:rsidR="00073C53">
        <w:t>“</w:t>
      </w:r>
      <w:r w:rsidR="00AC144D">
        <w:t>but it is not easily intimidated.”</w:t>
      </w:r>
      <w:r w:rsidR="00AC144D">
        <w:rPr>
          <w:rStyle w:val="FootnoteReference"/>
        </w:rPr>
        <w:footnoteReference w:id="16"/>
      </w:r>
      <w:r w:rsidR="00073C53">
        <w:t xml:space="preserve">  The press litigant got a better result in </w:t>
      </w:r>
      <w:r w:rsidR="00AC144D" w:rsidRPr="00323CB5">
        <w:rPr>
          <w:i/>
          <w:iCs/>
        </w:rPr>
        <w:t>Houchins v. KQED, Inc.</w:t>
      </w:r>
      <w:r w:rsidR="00073C53">
        <w:rPr>
          <w:rStyle w:val="FootnoteReference"/>
        </w:rPr>
        <w:footnoteReference w:id="17"/>
      </w:r>
      <w:r w:rsidR="00073C53">
        <w:t xml:space="preserve">: </w:t>
      </w:r>
      <w:r w:rsidR="00C62FC1">
        <w:t xml:space="preserve">salvaging at least some of </w:t>
      </w:r>
      <w:r w:rsidR="00073C53">
        <w:t>an</w:t>
      </w:r>
      <w:r w:rsidR="00AC144D">
        <w:t xml:space="preserve"> injunction </w:t>
      </w:r>
      <w:r w:rsidR="00073C53">
        <w:t xml:space="preserve">that required </w:t>
      </w:r>
      <w:r w:rsidR="00AC144D">
        <w:t xml:space="preserve">administrators of a jail to </w:t>
      </w:r>
      <w:r w:rsidR="00073C53">
        <w:t xml:space="preserve">allow the </w:t>
      </w:r>
      <w:r w:rsidR="00AC144D">
        <w:t xml:space="preserve">press </w:t>
      </w:r>
      <w:r w:rsidR="00073C53">
        <w:t xml:space="preserve">tour areas that had been made accessible to the public at convenient times and to </w:t>
      </w:r>
      <w:r w:rsidR="00AC144D">
        <w:t>take cameras and recording equipment</w:t>
      </w:r>
      <w:r w:rsidR="003579C3">
        <w:t xml:space="preserve"> (which the public was not </w:t>
      </w:r>
      <w:r w:rsidR="00ED2735">
        <w:t>permitted</w:t>
      </w:r>
      <w:r w:rsidR="003579C3">
        <w:t xml:space="preserve">) </w:t>
      </w:r>
      <w:r w:rsidR="00AC144D">
        <w:t>with it.</w:t>
      </w:r>
      <w:r w:rsidR="00AC144D">
        <w:rPr>
          <w:rStyle w:val="FootnoteReference"/>
        </w:rPr>
        <w:footnoteReference w:id="18"/>
      </w:r>
      <w:r w:rsidR="00AC144D">
        <w:t xml:space="preserve">  Justice Stewart, the swing vote, emphasized </w:t>
      </w:r>
      <w:r w:rsidR="00073C53">
        <w:t xml:space="preserve">in his concurrence the </w:t>
      </w:r>
      <w:r w:rsidR="00AC144D">
        <w:t xml:space="preserve">“critical role </w:t>
      </w:r>
      <w:r w:rsidR="00073C53" w:rsidRPr="005E01AD">
        <w:t xml:space="preserve">played by the press </w:t>
      </w:r>
      <w:r w:rsidR="00AC144D">
        <w:t>in American society</w:t>
      </w:r>
      <w:r w:rsidR="003579C3">
        <w:t>.</w:t>
      </w:r>
      <w:r w:rsidR="00AC144D">
        <w:t>”</w:t>
      </w:r>
      <w:r w:rsidR="003579C3">
        <w:rPr>
          <w:rStyle w:val="FootnoteReference"/>
        </w:rPr>
        <w:footnoteReference w:id="19"/>
      </w:r>
      <w:r w:rsidR="00073C53">
        <w:t xml:space="preserve"> </w:t>
      </w:r>
      <w:r w:rsidR="003579C3">
        <w:t xml:space="preserve"> “T</w:t>
      </w:r>
      <w:r w:rsidR="003579C3" w:rsidRPr="00323CB5">
        <w:t>he Constitution requires sensitivity to that role,</w:t>
      </w:r>
      <w:r w:rsidR="003579C3">
        <w:t>” Justice Stewart wrote,</w:t>
      </w:r>
      <w:r w:rsidR="003579C3" w:rsidRPr="00323CB5">
        <w:t xml:space="preserve"> and to the </w:t>
      </w:r>
      <w:r w:rsidR="003579C3" w:rsidRPr="006D401A">
        <w:t>special needs of the press</w:t>
      </w:r>
      <w:r w:rsidR="003579C3" w:rsidRPr="00323CB5">
        <w:t xml:space="preserve"> in performing it effectively.”</w:t>
      </w:r>
      <w:r w:rsidR="003579C3">
        <w:rPr>
          <w:rStyle w:val="FootnoteReference"/>
        </w:rPr>
        <w:footnoteReference w:id="20"/>
      </w:r>
      <w:r w:rsidR="003579C3">
        <w:t xml:space="preserve">  </w:t>
      </w:r>
      <w:r w:rsidR="00ED2735">
        <w:t>This was</w:t>
      </w:r>
      <w:r w:rsidR="003579C3">
        <w:t xml:space="preserve"> “</w:t>
      </w:r>
      <w:r w:rsidR="003579C3" w:rsidRPr="005E01AD">
        <w:t>no constitutional accident</w:t>
      </w:r>
      <w:r w:rsidR="003579C3">
        <w:t xml:space="preserve">,” but rather </w:t>
      </w:r>
      <w:r w:rsidR="00ED2735">
        <w:t>an “acknowledgement” of the</w:t>
      </w:r>
      <w:r w:rsidR="003579C3">
        <w:t xml:space="preserve"> very reason “</w:t>
      </w:r>
      <w:r w:rsidR="003579C3" w:rsidRPr="005E01AD">
        <w:t>the First Amendment speaks separately of freedom of speech and freedom of the press</w:t>
      </w:r>
      <w:r w:rsidR="003579C3">
        <w:t>.”</w:t>
      </w:r>
      <w:r w:rsidR="003579C3">
        <w:rPr>
          <w:rStyle w:val="FootnoteReference"/>
        </w:rPr>
        <w:footnoteReference w:id="21"/>
      </w:r>
      <w:r w:rsidR="003579C3">
        <w:t xml:space="preserve">  </w:t>
      </w:r>
    </w:p>
    <w:p w14:paraId="54AD149A" w14:textId="7B802816" w:rsidR="00AC144D" w:rsidRDefault="00ED2735" w:rsidP="00AC144D">
      <w:pPr>
        <w:pStyle w:val="BodyText"/>
      </w:pPr>
      <w:r>
        <w:t>Members of the Roberts Court continue to recognize the importance of the press today</w:t>
      </w:r>
      <w:r w:rsidR="00DF43BB">
        <w:t>, and for largely the same reasons</w:t>
      </w:r>
      <w:r>
        <w:t xml:space="preserve">.  </w:t>
      </w:r>
      <w:r w:rsidR="00AC144D">
        <w:t>Justice Neil Gorsuch</w:t>
      </w:r>
      <w:r w:rsidR="00DF43BB">
        <w:t xml:space="preserve"> explained in </w:t>
      </w:r>
      <w:r w:rsidR="00DF43BB">
        <w:lastRenderedPageBreak/>
        <w:t xml:space="preserve">2021 that </w:t>
      </w:r>
      <w:r w:rsidR="00AC144D">
        <w:t>“</w:t>
      </w:r>
      <w:r w:rsidR="00DF43BB">
        <w:t>[t]</w:t>
      </w:r>
      <w:r w:rsidR="00AC144D">
        <w:t>he Bill of Rights protects the freedom of the press because democracy cannot function without the free exchange of ideas.”</w:t>
      </w:r>
      <w:r w:rsidR="00AC144D">
        <w:rPr>
          <w:rStyle w:val="FootnoteReference"/>
        </w:rPr>
        <w:footnoteReference w:id="22"/>
      </w:r>
      <w:r w:rsidR="00AC144D">
        <w:t xml:space="preserve">  </w:t>
      </w:r>
      <w:r w:rsidR="000B4CB1">
        <w:t xml:space="preserve">Because “ignoran[ce] and free[dom]” cannot coexist, the press—and, by extension, literacy itself—are (in Thomas Jefferson’s memorable words) </w:t>
      </w:r>
      <w:r w:rsidR="00AC144D">
        <w:t>the only “safe deposit” for liberty.</w:t>
      </w:r>
      <w:r w:rsidR="00AC144D">
        <w:rPr>
          <w:rStyle w:val="FootnoteReference"/>
        </w:rPr>
        <w:footnoteReference w:id="23"/>
      </w:r>
    </w:p>
    <w:p w14:paraId="207EEEB1" w14:textId="617398EA" w:rsidR="000B4CB1" w:rsidRDefault="000B4CB1" w:rsidP="0052228B">
      <w:pPr>
        <w:pStyle w:val="BodyText"/>
      </w:pPr>
      <w:r>
        <w:t xml:space="preserve">And yet the Court </w:t>
      </w:r>
      <w:r w:rsidR="005C78C5">
        <w:t>has repeatedly insisted</w:t>
      </w:r>
      <w:r>
        <w:t xml:space="preserve"> that, however “</w:t>
      </w:r>
      <w:r w:rsidRPr="003E5C4A">
        <w:t xml:space="preserve">important, critical, and valuable </w:t>
      </w:r>
      <w:r>
        <w:t xml:space="preserve">[an] </w:t>
      </w:r>
      <w:r w:rsidRPr="003E5C4A">
        <w:t xml:space="preserve">asset” </w:t>
      </w:r>
      <w:r>
        <w:t>the press might be,</w:t>
      </w:r>
      <w:r w:rsidRPr="00FA0F3E">
        <w:rPr>
          <w:rStyle w:val="FootnoteReference"/>
          <w:rFonts w:cs="Times New Roman"/>
        </w:rPr>
        <w:footnoteReference w:id="24"/>
      </w:r>
      <w:r>
        <w:t xml:space="preserve"> it does not get any more or better rights under the Fi</w:t>
      </w:r>
      <w:r w:rsidR="009F6EB0">
        <w:t>r</w:t>
      </w:r>
      <w:r>
        <w:t>st Amendment than anyone else.</w:t>
      </w:r>
    </w:p>
    <w:p w14:paraId="7AE17668" w14:textId="09C33A32" w:rsidR="00DB63A1" w:rsidRDefault="005C78C5" w:rsidP="00DB63A1">
      <w:pPr>
        <w:pStyle w:val="BodyText"/>
      </w:pPr>
      <w:r>
        <w:t xml:space="preserve">The Court’s refrain has been consistent across a variety of contexts from the beginning.  </w:t>
      </w:r>
      <w:r w:rsidR="00DB63A1">
        <w:t xml:space="preserve">In 1937’s </w:t>
      </w:r>
      <w:r w:rsidR="00DB63A1" w:rsidRPr="00DB63A1">
        <w:rPr>
          <w:i/>
          <w:iCs/>
        </w:rPr>
        <w:t>Associated Press v. NLRB</w:t>
      </w:r>
      <w:r w:rsidR="00DB63A1">
        <w:t>,</w:t>
      </w:r>
      <w:r w:rsidR="00F82220">
        <w:rPr>
          <w:rStyle w:val="FootnoteReference"/>
        </w:rPr>
        <w:footnoteReference w:id="25"/>
      </w:r>
      <w:r w:rsidR="00DB63A1">
        <w:t xml:space="preserve"> the Court refused to allow the</w:t>
      </w:r>
      <w:r w:rsidR="00603315">
        <w:t xml:space="preserve"> </w:t>
      </w:r>
      <w:r w:rsidR="00DB63A1">
        <w:t xml:space="preserve">AP to use the </w:t>
      </w:r>
      <w:r w:rsidR="00603315">
        <w:t xml:space="preserve">Press Clause </w:t>
      </w:r>
      <w:r w:rsidR="00DB63A1">
        <w:t>as a shield from liability in an</w:t>
      </w:r>
      <w:r w:rsidR="00603315">
        <w:t xml:space="preserve"> employment dispute</w:t>
      </w:r>
      <w:r w:rsidR="00DB63A1">
        <w:t xml:space="preserve"> on the ground that</w:t>
      </w:r>
      <w:r w:rsidR="00603315">
        <w:t xml:space="preserve"> </w:t>
      </w:r>
      <w:r w:rsidR="00603315" w:rsidRPr="003E5C4A">
        <w:t>“</w:t>
      </w:r>
      <w:r w:rsidR="00603315">
        <w:t>t</w:t>
      </w:r>
      <w:r w:rsidR="00603315" w:rsidRPr="003E5C4A">
        <w:t>he publisher of a newspaper has no special immunity from the application of general laws</w:t>
      </w:r>
      <w:r w:rsidR="00603315">
        <w:t>” and “</w:t>
      </w:r>
      <w:r w:rsidR="00603315" w:rsidRPr="003E5C4A">
        <w:t>no special privilege to invade the rights and liberties of others.”</w:t>
      </w:r>
      <w:r w:rsidR="00603315">
        <w:rPr>
          <w:rStyle w:val="FootnoteReference"/>
        </w:rPr>
        <w:footnoteReference w:id="26"/>
      </w:r>
      <w:r w:rsidR="00603315" w:rsidRPr="003E5C4A">
        <w:t xml:space="preserve"> </w:t>
      </w:r>
      <w:r w:rsidR="00603315">
        <w:t xml:space="preserve"> </w:t>
      </w:r>
      <w:r w:rsidR="00F82220">
        <w:t xml:space="preserve">Decades later, </w:t>
      </w:r>
      <w:r w:rsidR="00603315">
        <w:t xml:space="preserve">the Court </w:t>
      </w:r>
      <w:r w:rsidR="00F82220">
        <w:t xml:space="preserve">in </w:t>
      </w:r>
      <w:r w:rsidR="00F82220" w:rsidRPr="00531DC9">
        <w:rPr>
          <w:i/>
          <w:iCs/>
        </w:rPr>
        <w:t>Branzburg</w:t>
      </w:r>
      <w:r w:rsidR="00F82220">
        <w:rPr>
          <w:i/>
          <w:iCs/>
        </w:rPr>
        <w:t xml:space="preserve"> v. Hayes</w:t>
      </w:r>
      <w:r w:rsidR="00F82220" w:rsidRPr="00F82220">
        <w:rPr>
          <w:rStyle w:val="FootnoteReference"/>
        </w:rPr>
        <w:footnoteReference w:id="27"/>
      </w:r>
      <w:r w:rsidR="00F82220">
        <w:t xml:space="preserve"> </w:t>
      </w:r>
      <w:r w:rsidR="00603315">
        <w:t xml:space="preserve">declined to recognize </w:t>
      </w:r>
      <w:r w:rsidR="00F82220">
        <w:t xml:space="preserve">either </w:t>
      </w:r>
      <w:r w:rsidR="00603315">
        <w:t>“</w:t>
      </w:r>
      <w:r w:rsidR="00603315" w:rsidRPr="003E5C4A">
        <w:t>a constitutional right of special access to information not available to the public generally”</w:t>
      </w:r>
      <w:r w:rsidR="00603315">
        <w:t xml:space="preserve"> </w:t>
      </w:r>
      <w:r w:rsidR="00F82220">
        <w:t>or an absolute</w:t>
      </w:r>
      <w:r w:rsidR="00603315">
        <w:t xml:space="preserve"> privilege</w:t>
      </w:r>
      <w:r w:rsidR="00F82220">
        <w:t xml:space="preserve"> to refuse to reveal confidential </w:t>
      </w:r>
      <w:r w:rsidR="00F82220">
        <w:lastRenderedPageBreak/>
        <w:t>sources or information to investigators</w:t>
      </w:r>
      <w:r w:rsidR="00603315">
        <w:t>.</w:t>
      </w:r>
      <w:r w:rsidR="00603315">
        <w:rPr>
          <w:rStyle w:val="FootnoteReference"/>
        </w:rPr>
        <w:footnoteReference w:id="28"/>
      </w:r>
      <w:r w:rsidR="00603315">
        <w:t xml:space="preserve">  </w:t>
      </w:r>
      <w:r w:rsidR="00470820">
        <w:t>I</w:t>
      </w:r>
      <w:r w:rsidR="00603315">
        <w:t xml:space="preserve">n </w:t>
      </w:r>
      <w:r w:rsidR="00603315" w:rsidRPr="006F4B92">
        <w:rPr>
          <w:i/>
          <w:iCs/>
        </w:rPr>
        <w:t>Nixon v. Warner Communications</w:t>
      </w:r>
      <w:r w:rsidR="00603315" w:rsidRPr="006F4B92">
        <w:t>,</w:t>
      </w:r>
      <w:r w:rsidR="00470820">
        <w:rPr>
          <w:rStyle w:val="FootnoteReference"/>
        </w:rPr>
        <w:footnoteReference w:id="29"/>
      </w:r>
      <w:r w:rsidR="00470820">
        <w:t xml:space="preserve"> too,</w:t>
      </w:r>
      <w:r w:rsidR="00603315" w:rsidRPr="006F4B92">
        <w:t xml:space="preserve"> the Court </w:t>
      </w:r>
      <w:r w:rsidR="00603315">
        <w:t xml:space="preserve">denied a media company’s request for </w:t>
      </w:r>
      <w:r w:rsidR="00603315" w:rsidRPr="006F4B92">
        <w:t xml:space="preserve">copies of </w:t>
      </w:r>
      <w:r w:rsidR="00603315">
        <w:t>the</w:t>
      </w:r>
      <w:r w:rsidR="00603315" w:rsidRPr="006F4B92">
        <w:t xml:space="preserve"> Nixon tapes </w:t>
      </w:r>
      <w:r w:rsidR="00603315">
        <w:t xml:space="preserve">on the ground that </w:t>
      </w:r>
      <w:r w:rsidR="00603315" w:rsidRPr="006F4B92">
        <w:t>“</w:t>
      </w:r>
      <w:r w:rsidR="00603315">
        <w:t>[a]</w:t>
      </w:r>
      <w:r w:rsidR="00603315" w:rsidRPr="003E5C4A">
        <w:t xml:space="preserve"> reporter’s constitutional rights are no greater than those of any other member of the public</w:t>
      </w:r>
      <w:r w:rsidR="00603315" w:rsidRPr="006F4B92">
        <w:t>.”</w:t>
      </w:r>
      <w:r w:rsidR="00603315" w:rsidRPr="006F4B92">
        <w:rPr>
          <w:vertAlign w:val="superscript"/>
        </w:rPr>
        <w:footnoteReference w:id="30"/>
      </w:r>
      <w:r w:rsidR="009F7B89">
        <w:t xml:space="preserve">  </w:t>
      </w:r>
      <w:r w:rsidR="00DB63A1">
        <w:t xml:space="preserve">Even in </w:t>
      </w:r>
      <w:r w:rsidR="00DB63A1" w:rsidRPr="00DB63A1">
        <w:rPr>
          <w:i/>
          <w:iCs/>
        </w:rPr>
        <w:t>Houchins</w:t>
      </w:r>
      <w:r w:rsidR="00DB63A1">
        <w:t xml:space="preserve">, where the press plaintiff got much of what it wanted—more convenient tour times and a more generous recording policy than the general public—the </w:t>
      </w:r>
      <w:r w:rsidR="009F7B89">
        <w:t xml:space="preserve">Court claimed that </w:t>
      </w:r>
      <w:r w:rsidR="00DB63A1" w:rsidRPr="00D93CB8">
        <w:t>“</w:t>
      </w:r>
      <w:r w:rsidR="00DB63A1">
        <w:t>t</w:t>
      </w:r>
      <w:r w:rsidR="00DB63A1" w:rsidRPr="00D93CB8">
        <w:t>he media have no special right of access to the [jail] different from or greater than that accorded the public generally.”</w:t>
      </w:r>
      <w:r w:rsidR="00DB63A1">
        <w:rPr>
          <w:rStyle w:val="FootnoteReference"/>
        </w:rPr>
        <w:footnoteReference w:id="31"/>
      </w:r>
    </w:p>
    <w:p w14:paraId="6EDC1267" w14:textId="61B9C553" w:rsidR="00054F2C" w:rsidRDefault="009F7B89" w:rsidP="00054F2C">
      <w:pPr>
        <w:pStyle w:val="BodyText"/>
      </w:pPr>
      <w:r>
        <w:t>I</w:t>
      </w:r>
      <w:r w:rsidR="00603315">
        <w:t>n</w:t>
      </w:r>
      <w:r>
        <w:t xml:space="preserve"> 2010’s</w:t>
      </w:r>
      <w:r w:rsidR="00603315">
        <w:t xml:space="preserve"> </w:t>
      </w:r>
      <w:r w:rsidR="00603315" w:rsidRPr="00124558">
        <w:rPr>
          <w:i/>
          <w:iCs/>
        </w:rPr>
        <w:t>Citizens United v. FEC</w:t>
      </w:r>
      <w:r w:rsidR="00603315">
        <w:t>,</w:t>
      </w:r>
      <w:r>
        <w:rPr>
          <w:rStyle w:val="FootnoteReference"/>
        </w:rPr>
        <w:footnoteReference w:id="32"/>
      </w:r>
      <w:r w:rsidR="00603315">
        <w:t xml:space="preserve"> the Court </w:t>
      </w:r>
      <w:r>
        <w:t xml:space="preserve">continued to hold the line, stating that it had </w:t>
      </w:r>
      <w:r w:rsidR="00603315">
        <w:t>“consistently rejected the proposition that the institutional press has any constitutional privilege beyond that of other speakers.”</w:t>
      </w:r>
      <w:r w:rsidR="00603315">
        <w:rPr>
          <w:rStyle w:val="FootnoteReference"/>
        </w:rPr>
        <w:footnoteReference w:id="33"/>
      </w:r>
      <w:r>
        <w:t xml:space="preserve">  Even </w:t>
      </w:r>
      <w:r w:rsidR="000B4CB1">
        <w:t>Justice Gorsuch</w:t>
      </w:r>
      <w:r>
        <w:t xml:space="preserve">—who in the passage cited above was </w:t>
      </w:r>
      <w:r w:rsidR="000B4CB1">
        <w:t>quoting Jefferson</w:t>
      </w:r>
      <w:r w:rsidR="00603315">
        <w:t xml:space="preserve"> to tout the press’s importance</w:t>
      </w:r>
      <w:r>
        <w:t>—appears to have accepted this view.</w:t>
      </w:r>
      <w:r w:rsidR="00603315">
        <w:t xml:space="preserve"> </w:t>
      </w:r>
      <w:r>
        <w:t xml:space="preserve"> </w:t>
      </w:r>
      <w:r w:rsidR="00054F2C">
        <w:t xml:space="preserve">Ironically, that quote appeared in a dissent </w:t>
      </w:r>
      <w:r w:rsidR="00603315">
        <w:t xml:space="preserve">from the denial of certiorari in a case where the petitioner </w:t>
      </w:r>
      <w:r w:rsidR="00054F2C">
        <w:t xml:space="preserve">was asking </w:t>
      </w:r>
      <w:r w:rsidR="00603315">
        <w:t xml:space="preserve">the Court to revisit one of its most important press protections: the heightened </w:t>
      </w:r>
      <w:r w:rsidR="00603315">
        <w:lastRenderedPageBreak/>
        <w:t xml:space="preserve">standard for defamation claims that it had </w:t>
      </w:r>
      <w:proofErr w:type="gramStart"/>
      <w:r w:rsidR="00603315">
        <w:t>introduced</w:t>
      </w:r>
      <w:proofErr w:type="gramEnd"/>
      <w:r w:rsidR="00603315">
        <w:t xml:space="preserve"> in the landmark 1964 case </w:t>
      </w:r>
      <w:r w:rsidR="00603315" w:rsidRPr="00603315">
        <w:rPr>
          <w:i/>
          <w:iCs/>
        </w:rPr>
        <w:t>New York Times Co. v. Sullivan</w:t>
      </w:r>
      <w:r w:rsidR="00603315">
        <w:t>.</w:t>
      </w:r>
      <w:r w:rsidR="00603315">
        <w:rPr>
          <w:rStyle w:val="FootnoteReference"/>
        </w:rPr>
        <w:footnoteReference w:id="34"/>
      </w:r>
    </w:p>
    <w:p w14:paraId="31714AB5" w14:textId="7859815B" w:rsidR="00EE52EF" w:rsidRDefault="00823592" w:rsidP="00A316AC">
      <w:pPr>
        <w:pStyle w:val="Heading3"/>
      </w:pPr>
      <w:r>
        <w:t>I</w:t>
      </w:r>
      <w:r w:rsidRPr="00823592">
        <w:t xml:space="preserve">n practice, it grants special rights in </w:t>
      </w:r>
      <w:proofErr w:type="gramStart"/>
      <w:r w:rsidRPr="00823592">
        <w:t>a number of</w:t>
      </w:r>
      <w:proofErr w:type="gramEnd"/>
      <w:r w:rsidRPr="00823592">
        <w:t xml:space="preserve"> areas</w:t>
      </w:r>
    </w:p>
    <w:p w14:paraId="61F2F7B9" w14:textId="6D6E7B1D" w:rsidR="00F32F31" w:rsidRDefault="00054F2C" w:rsidP="0052228B">
      <w:pPr>
        <w:pStyle w:val="BodyText"/>
      </w:pPr>
      <w:r>
        <w:t xml:space="preserve">It is incontrovertible that, time and time again, the Court has </w:t>
      </w:r>
      <w:r w:rsidRPr="00054F2C">
        <w:rPr>
          <w:i/>
          <w:iCs/>
        </w:rPr>
        <w:t>said</w:t>
      </w:r>
      <w:r>
        <w:t xml:space="preserve"> the press does not get special rights.  But what the Court has </w:t>
      </w:r>
      <w:proofErr w:type="gramStart"/>
      <w:r>
        <w:t xml:space="preserve">actually </w:t>
      </w:r>
      <w:r w:rsidRPr="00054F2C">
        <w:rPr>
          <w:i/>
          <w:iCs/>
        </w:rPr>
        <w:t>done</w:t>
      </w:r>
      <w:proofErr w:type="gramEnd"/>
      <w:r>
        <w:t xml:space="preserve"> in practice is more complicated.  A close</w:t>
      </w:r>
      <w:r w:rsidR="00825F00">
        <w:t xml:space="preserve">r </w:t>
      </w:r>
      <w:r>
        <w:t>look at the case law reveals that, in fact</w:t>
      </w:r>
      <w:r w:rsidR="000F6441">
        <w:t>, the Court does grant rights and privileges to the press beyond what an individual speaker gets under the Speech Clause.</w:t>
      </w:r>
    </w:p>
    <w:p w14:paraId="330EA51F" w14:textId="338E0BC4" w:rsidR="00EE52EF" w:rsidRDefault="006045A3" w:rsidP="006045A3">
      <w:pPr>
        <w:pStyle w:val="BodyText"/>
      </w:pPr>
      <w:proofErr w:type="gramStart"/>
      <w:r>
        <w:t>A number of</w:t>
      </w:r>
      <w:proofErr w:type="gramEnd"/>
      <w:r>
        <w:t xml:space="preserve"> commentators</w:t>
      </w:r>
      <w:r w:rsidR="000F6441">
        <w:t xml:space="preserve"> have recognized this.  In 1975, the prominent First Amendment scholar Professor Melville Nimmer </w:t>
      </w:r>
      <w:r>
        <w:t>asked</w:t>
      </w:r>
      <w:r w:rsidR="00133B9C">
        <w:t xml:space="preserve"> </w:t>
      </w:r>
      <w:r w:rsidR="00EE52EF">
        <w:t>whether “any freedom [is] conferred upon ‘the press’ by the freedom of the press clause which would not be available to it (as well as to nonmedia speakers) by the freedom of speech clause.”</w:t>
      </w:r>
      <w:bookmarkStart w:id="15" w:name="_Ref212847603"/>
      <w:r w:rsidR="00EE52EF">
        <w:rPr>
          <w:rStyle w:val="FootnoteReference"/>
        </w:rPr>
        <w:footnoteReference w:id="35"/>
      </w:r>
      <w:bookmarkEnd w:id="15"/>
      <w:r w:rsidR="00EE52EF">
        <w:t xml:space="preserve">  </w:t>
      </w:r>
      <w:r>
        <w:t>After all, the Press Clause had to mean something.</w:t>
      </w:r>
      <w:r>
        <w:rPr>
          <w:rStyle w:val="FootnoteReference"/>
        </w:rPr>
        <w:footnoteReference w:id="36"/>
      </w:r>
      <w:r>
        <w:t xml:space="preserve">  And indeed, in several cases in the </w:t>
      </w:r>
      <w:r w:rsidR="00EE52EF">
        <w:t xml:space="preserve">Supreme Court’s October 1973 Term, “a tension” </w:t>
      </w:r>
      <w:r>
        <w:t>seemed to</w:t>
      </w:r>
      <w:r w:rsidR="00EE52EF">
        <w:t xml:space="preserve"> be “building between the rights of speech and of the press” in three areas: “prison visitation cases,” “right of access cases,” and “defamation cases.”</w:t>
      </w:r>
      <w:r w:rsidR="00EE52EF">
        <w:rPr>
          <w:rStyle w:val="FootnoteReference"/>
        </w:rPr>
        <w:footnoteReference w:id="37"/>
      </w:r>
    </w:p>
    <w:p w14:paraId="5EC1310B" w14:textId="2ABE344F" w:rsidR="00A31D3B" w:rsidRDefault="006045A3" w:rsidP="0052228B">
      <w:pPr>
        <w:pStyle w:val="BodyText"/>
      </w:pPr>
      <w:r>
        <w:t xml:space="preserve">For example, in a case from the second group, </w:t>
      </w:r>
      <w:r w:rsidRPr="00B2301C">
        <w:rPr>
          <w:i/>
          <w:iCs/>
        </w:rPr>
        <w:t>Miami Herald Publishing Co. v. Tornillo</w:t>
      </w:r>
      <w:r>
        <w:t>,</w:t>
      </w:r>
      <w:r w:rsidRPr="000B252E">
        <w:rPr>
          <w:rStyle w:val="FootnoteReference"/>
        </w:rPr>
        <w:footnoteReference w:id="38"/>
      </w:r>
      <w:r>
        <w:t xml:space="preserve"> the speech rights of those defending their statutory right of reply to </w:t>
      </w:r>
      <w:r>
        <w:lastRenderedPageBreak/>
        <w:t xml:space="preserve">criticisms in the newspaper’s editorial page were in direct conflict with the press right of the newspaper to </w:t>
      </w:r>
      <w:r w:rsidR="00373756">
        <w:t>make editorial decisions about what to publish.</w:t>
      </w:r>
      <w:r w:rsidR="00373756">
        <w:rPr>
          <w:rStyle w:val="FootnoteReference"/>
        </w:rPr>
        <w:footnoteReference w:id="39"/>
      </w:r>
      <w:r w:rsidR="00373756">
        <w:t xml:space="preserve">  This and </w:t>
      </w:r>
      <w:r w:rsidR="00A31D3B">
        <w:t xml:space="preserve">“[o]ther areas of actual or potential tension between speech and press” </w:t>
      </w:r>
      <w:r w:rsidR="00373756">
        <w:t>made clear</w:t>
      </w:r>
      <w:r w:rsidR="00A31D3B">
        <w:t xml:space="preserve"> “the need to articulate unstated and perhaps unconscious premises as to the relationship between these two forms of expression.”</w:t>
      </w:r>
      <w:r w:rsidR="00A31D3B">
        <w:rPr>
          <w:rStyle w:val="FootnoteReference"/>
        </w:rPr>
        <w:footnoteReference w:id="40"/>
      </w:r>
      <w:r w:rsidR="00A31D3B">
        <w:t xml:space="preserve"> </w:t>
      </w:r>
      <w:r w:rsidR="00373756">
        <w:t xml:space="preserve"> For Nimmer, “freedom of the press [was] a right recognizably distinct from that of freedom of speech.”</w:t>
      </w:r>
      <w:r w:rsidR="00373756">
        <w:rPr>
          <w:rStyle w:val="FootnoteReference"/>
        </w:rPr>
        <w:footnoteReference w:id="41"/>
      </w:r>
      <w:r w:rsidR="00A31D3B">
        <w:t xml:space="preserve"> </w:t>
      </w:r>
      <w:r w:rsidR="00373756">
        <w:t xml:space="preserve"> And the necessary consequence was that “</w:t>
      </w:r>
      <w:r w:rsidR="00A31D3B">
        <w:t>for some purposes freedom of the press should confer greater rights than does freedom of speech.”</w:t>
      </w:r>
      <w:r w:rsidR="00A31D3B">
        <w:rPr>
          <w:rStyle w:val="FootnoteReference"/>
        </w:rPr>
        <w:footnoteReference w:id="42"/>
      </w:r>
      <w:r w:rsidR="00A31D3B">
        <w:t xml:space="preserve"> </w:t>
      </w:r>
    </w:p>
    <w:p w14:paraId="4A0A0F2D" w14:textId="1EA36C16" w:rsidR="000F6441" w:rsidRDefault="00C642CF" w:rsidP="000F6441">
      <w:pPr>
        <w:pStyle w:val="BodyText"/>
      </w:pPr>
      <w:r>
        <w:t>Coincidentally, Nimmer gained a prominent ally when Justice Stewart embraced the same basic premise in a speech at Yale Law School around the same time.</w:t>
      </w:r>
      <w:bookmarkStart w:id="16" w:name="_Ref212940374"/>
      <w:r>
        <w:rPr>
          <w:rStyle w:val="FootnoteReference"/>
        </w:rPr>
        <w:footnoteReference w:id="43"/>
      </w:r>
      <w:bookmarkEnd w:id="16"/>
      <w:r>
        <w:t xml:space="preserve">  “If the Free Press guarantee meant no more than freedom of expression,” Justice Stewart said, it would be a constitutional redundancy.”</w:t>
      </w:r>
      <w:r>
        <w:rPr>
          <w:rStyle w:val="FootnoteReference"/>
        </w:rPr>
        <w:footnoteReference w:id="44"/>
      </w:r>
      <w:r>
        <w:t xml:space="preserve">  This was surely not what the Framers intended.  “By including both [speech and press] guarantees in the </w:t>
      </w:r>
      <w:r w:rsidRPr="003D51D4">
        <w:t>First Amendment,</w:t>
      </w:r>
      <w:r>
        <w:t>” they must have “</w:t>
      </w:r>
      <w:r w:rsidRPr="003D51D4">
        <w:t>quite clearly recognized the distinction between the two.”</w:t>
      </w:r>
      <w:r w:rsidRPr="003D51D4">
        <w:rPr>
          <w:rStyle w:val="FootnoteReference"/>
        </w:rPr>
        <w:footnoteReference w:id="45"/>
      </w:r>
      <w:r>
        <w:t xml:space="preserve">  The media lawyer and scholar Floyd Abrams </w:t>
      </w:r>
      <w:r w:rsidR="00243E3A">
        <w:t>also took the position that the press was “</w:t>
      </w:r>
      <w:r w:rsidR="00243E3A" w:rsidRPr="003B2F79">
        <w:t xml:space="preserve">entitled to constitutional treatment distinct from that </w:t>
      </w:r>
      <w:r w:rsidR="00243E3A" w:rsidRPr="003B2F79">
        <w:lastRenderedPageBreak/>
        <w:t>generally afforded those who exercise their freedom of expression</w:t>
      </w:r>
      <w:r w:rsidR="00243E3A">
        <w:t>.</w:t>
      </w:r>
      <w:r w:rsidR="00243E3A" w:rsidRPr="003B2F79">
        <w:t>”</w:t>
      </w:r>
      <w:bookmarkStart w:id="17" w:name="_Ref212979416"/>
      <w:r w:rsidR="00243E3A">
        <w:rPr>
          <w:rStyle w:val="FootnoteReference"/>
        </w:rPr>
        <w:footnoteReference w:id="46"/>
      </w:r>
      <w:bookmarkEnd w:id="17"/>
      <w:r w:rsidR="00243E3A">
        <w:t xml:space="preserve">  The defamation expert Rodney Smolla has also acknowledged that </w:t>
      </w:r>
      <w:r w:rsidR="000F6441">
        <w:t xml:space="preserve">the Court has </w:t>
      </w:r>
      <w:r w:rsidR="00243E3A">
        <w:t xml:space="preserve">at least </w:t>
      </w:r>
      <w:r w:rsidR="000F6441">
        <w:t xml:space="preserve">left the </w:t>
      </w:r>
      <w:r w:rsidR="00243E3A">
        <w:t>door</w:t>
      </w:r>
      <w:r w:rsidR="000F6441">
        <w:t xml:space="preserve"> open to treat</w:t>
      </w:r>
      <w:r w:rsidR="00243E3A">
        <w:t>ing</w:t>
      </w:r>
      <w:r w:rsidR="000F6441">
        <w:t xml:space="preserve"> the press differently from individual speakers.</w:t>
      </w:r>
      <w:r w:rsidR="000F6441">
        <w:rPr>
          <w:rStyle w:val="FootnoteReference"/>
        </w:rPr>
        <w:footnoteReference w:id="47"/>
      </w:r>
    </w:p>
    <w:p w14:paraId="63F9E679" w14:textId="65F4FB51" w:rsidR="00A31D3B" w:rsidRDefault="00243E3A" w:rsidP="0052228B">
      <w:pPr>
        <w:pStyle w:val="BodyText"/>
      </w:pPr>
      <w:r>
        <w:t>A close review of the Supreme Court’s press cases confirms that these eminent commentators stand on solid ground.</w:t>
      </w:r>
      <w:r>
        <w:rPr>
          <w:rStyle w:val="FootnoteReference"/>
        </w:rPr>
        <w:footnoteReference w:id="48"/>
      </w:r>
      <w:r>
        <w:t xml:space="preserve">  </w:t>
      </w:r>
      <w:r w:rsidR="00FB2860">
        <w:t>In fact, the Court has treated the press differently</w:t>
      </w:r>
      <w:r w:rsidR="00825F00">
        <w:t>—</w:t>
      </w:r>
      <w:r w:rsidR="00FB2860">
        <w:t>and better</w:t>
      </w:r>
      <w:r w:rsidR="00825F00">
        <w:t>—</w:t>
      </w:r>
      <w:r w:rsidR="00FB2860">
        <w:t xml:space="preserve">than individual speakers in number of different ways.  These </w:t>
      </w:r>
      <w:r w:rsidR="00825F00">
        <w:t xml:space="preserve">special rights </w:t>
      </w:r>
      <w:r w:rsidR="00FB2860">
        <w:t xml:space="preserve">generally fall into two groups, one affirmative and one negative: rights of access and special </w:t>
      </w:r>
      <w:proofErr w:type="gramStart"/>
      <w:r w:rsidR="00FB2860">
        <w:t>protections</w:t>
      </w:r>
      <w:proofErr w:type="gramEnd"/>
      <w:r w:rsidR="00825F00">
        <w:t>.</w:t>
      </w:r>
    </w:p>
    <w:p w14:paraId="025A34A9" w14:textId="400C4720" w:rsidR="00410372" w:rsidRDefault="00410372" w:rsidP="00410372">
      <w:pPr>
        <w:pStyle w:val="Heading4"/>
      </w:pPr>
      <w:r>
        <w:t>Special rights of access</w:t>
      </w:r>
    </w:p>
    <w:p w14:paraId="3B489A78" w14:textId="78F4F674" w:rsidR="00F32F31" w:rsidRDefault="00410372" w:rsidP="0052228B">
      <w:pPr>
        <w:pStyle w:val="BodyText"/>
      </w:pPr>
      <w:r w:rsidRPr="00410372">
        <w:rPr>
          <w:b/>
          <w:bCs/>
          <w:i/>
          <w:iCs/>
        </w:rPr>
        <w:t>To carceral settings.</w:t>
      </w:r>
      <w:r>
        <w:t xml:space="preserve">  </w:t>
      </w:r>
      <w:r w:rsidR="00825F00">
        <w:t>The Court has—while saying the opposite</w:t>
      </w:r>
      <w:r w:rsidR="00825F00">
        <w:rPr>
          <w:rStyle w:val="FootnoteReference"/>
        </w:rPr>
        <w:footnoteReference w:id="49"/>
      </w:r>
      <w:r w:rsidR="00825F00">
        <w:t xml:space="preserve">—granted the press special access to carceral settings and to the court system.  </w:t>
      </w:r>
      <w:r w:rsidR="00667F80" w:rsidRPr="00667F80">
        <w:rPr>
          <w:i/>
          <w:iCs/>
        </w:rPr>
        <w:t>Houchins</w:t>
      </w:r>
      <w:r w:rsidR="00667F80">
        <w:t xml:space="preserve">, the jail-access case discussed above, is a prime example.  There, </w:t>
      </w:r>
      <w:r w:rsidR="00A1153E">
        <w:t>the</w:t>
      </w:r>
      <w:r w:rsidR="00667F80">
        <w:t xml:space="preserve"> public radio and TV station operator</w:t>
      </w:r>
      <w:r w:rsidR="00A1153E">
        <w:t xml:space="preserve"> KQED </w:t>
      </w:r>
      <w:r w:rsidR="00667F80">
        <w:t xml:space="preserve">requested </w:t>
      </w:r>
      <w:r w:rsidR="00A1153E">
        <w:t xml:space="preserve">access to </w:t>
      </w:r>
      <w:r w:rsidR="00667F80">
        <w:t>a Bay Area jail where an incarcerated person had died by suicide.</w:t>
      </w:r>
      <w:r w:rsidR="00A1153E">
        <w:rPr>
          <w:rStyle w:val="FootnoteReference"/>
        </w:rPr>
        <w:footnoteReference w:id="50"/>
      </w:r>
      <w:r w:rsidR="00667F80">
        <w:t xml:space="preserve">  Allegedly, poor conditions had </w:t>
      </w:r>
      <w:r w:rsidR="00A1153E">
        <w:t>played a role</w:t>
      </w:r>
      <w:r w:rsidR="00667F80">
        <w:t xml:space="preserve">, and </w:t>
      </w:r>
      <w:r w:rsidR="00A1153E">
        <w:t>KQED wanted to visit and photograph the premises as part of its investigation</w:t>
      </w:r>
      <w:r w:rsidR="00667F80">
        <w:t>.</w:t>
      </w:r>
      <w:r w:rsidR="00A1153E">
        <w:rPr>
          <w:rStyle w:val="FootnoteReference"/>
        </w:rPr>
        <w:footnoteReference w:id="51"/>
      </w:r>
      <w:r w:rsidR="00667F80">
        <w:t xml:space="preserve">  </w:t>
      </w:r>
      <w:r w:rsidR="00A1153E">
        <w:t>When the jail refused, KQED sought an injunction under the First Amendment, arguing that it needed access in order to keep the public informed and provide “</w:t>
      </w:r>
      <w:r w:rsidR="00A1153E" w:rsidRPr="00873CA0">
        <w:t xml:space="preserve">full </w:t>
      </w:r>
      <w:r w:rsidR="00A1153E" w:rsidRPr="00873CA0">
        <w:lastRenderedPageBreak/>
        <w:t>and accurate news coverage</w:t>
      </w:r>
      <w:r w:rsidR="00A1153E">
        <w:t>” of the issue.</w:t>
      </w:r>
      <w:r w:rsidR="00A1153E">
        <w:rPr>
          <w:rStyle w:val="FootnoteReference"/>
        </w:rPr>
        <w:footnoteReference w:id="52"/>
      </w:r>
      <w:r w:rsidR="00A1153E">
        <w:t xml:space="preserve">  The public tours the jail had begun to offer </w:t>
      </w:r>
      <w:r w:rsidR="00312EEC">
        <w:t>were insufficient, as they were only held monthly and for limited numbers of people, they excluded the facility where the suicide had taken place, and cameras and recording devices weren’t allowed.</w:t>
      </w:r>
      <w:r w:rsidR="00312EEC">
        <w:rPr>
          <w:rStyle w:val="FootnoteReference"/>
        </w:rPr>
        <w:footnoteReference w:id="53"/>
      </w:r>
      <w:r w:rsidR="00312EEC">
        <w:t xml:space="preserve">  The district court granted an injunction allowing much more comprehensive access.</w:t>
      </w:r>
      <w:r w:rsidR="00312EEC">
        <w:rPr>
          <w:rStyle w:val="FootnoteReference"/>
        </w:rPr>
        <w:footnoteReference w:id="54"/>
      </w:r>
      <w:r w:rsidR="00312EEC">
        <w:t xml:space="preserve">  </w:t>
      </w:r>
    </w:p>
    <w:p w14:paraId="4E499CE0" w14:textId="51B776C1" w:rsidR="00FB2860" w:rsidRDefault="002079CA" w:rsidP="0052228B">
      <w:pPr>
        <w:pStyle w:val="BodyText"/>
      </w:pPr>
      <w:r>
        <w:t xml:space="preserve">A three-Justice plurality of the Supreme Court disagreed—not with the decision to </w:t>
      </w:r>
      <w:proofErr w:type="gramStart"/>
      <w:r>
        <w:t>enjoin</w:t>
      </w:r>
      <w:proofErr w:type="gramEnd"/>
      <w:r>
        <w:t xml:space="preserve"> the jail from denying access, but with the scope of the injunction.  As Chief Justice Burger explained, “</w:t>
      </w:r>
      <w:r w:rsidRPr="00BA424D">
        <w:t>the media ha</w:t>
      </w:r>
      <w:r>
        <w:t>[d]</w:t>
      </w:r>
      <w:r w:rsidRPr="00BA424D">
        <w:t xml:space="preserve"> no special right of access to the </w:t>
      </w:r>
      <w:r>
        <w:t>[jail]</w:t>
      </w:r>
      <w:r w:rsidRPr="00BA424D">
        <w:t xml:space="preserve"> different from or greater than that accorded the public generally</w:t>
      </w:r>
      <w:r>
        <w:t>.”</w:t>
      </w:r>
      <w:r>
        <w:rPr>
          <w:rStyle w:val="FootnoteReference"/>
        </w:rPr>
        <w:footnoteReference w:id="55"/>
      </w:r>
      <w:r>
        <w:t xml:space="preserve">  But for Justice Stewart</w:t>
      </w:r>
      <w:r w:rsidR="009F1035">
        <w:t xml:space="preserve">, </w:t>
      </w:r>
      <w:r>
        <w:t>the critical swing vote</w:t>
      </w:r>
      <w:r w:rsidR="009F1035">
        <w:t xml:space="preserve">, </w:t>
      </w:r>
      <w:r>
        <w:t>“</w:t>
      </w:r>
      <w:r w:rsidRPr="00027B78">
        <w:t>assur</w:t>
      </w:r>
      <w:r>
        <w:t>[ing]</w:t>
      </w:r>
      <w:r w:rsidRPr="00027B78">
        <w:t xml:space="preserve"> the public and the press equal access once government has opened its doors</w:t>
      </w:r>
      <w:r>
        <w:t>” meant something different.</w:t>
      </w:r>
      <w:r>
        <w:rPr>
          <w:rStyle w:val="FootnoteReference"/>
        </w:rPr>
        <w:footnoteReference w:id="56"/>
      </w:r>
      <w:r>
        <w:t xml:space="preserve">  </w:t>
      </w:r>
      <w:r w:rsidR="009F1035">
        <w:t>“[A]ccess that is identical in all respects”—that is, “a</w:t>
      </w:r>
      <w:r w:rsidR="009F1035" w:rsidRPr="007A5599">
        <w:t>llowing reporters to sign up for tours on the same terms as the public</w:t>
      </w:r>
      <w:r w:rsidR="009F1035">
        <w:t>”—would functionally deprive them of their First Amendment rights.</w:t>
      </w:r>
      <w:r w:rsidR="009F1035">
        <w:rPr>
          <w:rStyle w:val="FootnoteReference"/>
        </w:rPr>
        <w:footnoteReference w:id="57"/>
      </w:r>
      <w:r w:rsidR="009F1035">
        <w:t xml:space="preserve">  Reporters needed “</w:t>
      </w:r>
      <w:r w:rsidR="009F1035" w:rsidRPr="009F1035">
        <w:rPr>
          <w:i/>
          <w:iCs/>
        </w:rPr>
        <w:t>effective</w:t>
      </w:r>
      <w:r w:rsidR="009F1035">
        <w:t xml:space="preserve"> access”</w:t>
      </w:r>
      <w:r w:rsidR="003C3756">
        <w:t xml:space="preserve"> (Justice Stewart’s emphasis) to effectuate the “critical role played by the press”: “t</w:t>
      </w:r>
      <w:r w:rsidR="003C3756" w:rsidRPr="003C3756">
        <w:t>o gather information to be passed on to others</w:t>
      </w:r>
      <w:r w:rsidR="003C3756">
        <w:t>.”</w:t>
      </w:r>
      <w:r w:rsidR="003C3756">
        <w:rPr>
          <w:rStyle w:val="FootnoteReference"/>
        </w:rPr>
        <w:footnoteReference w:id="58"/>
      </w:r>
      <w:r w:rsidR="009F1035">
        <w:t xml:space="preserve">  </w:t>
      </w:r>
      <w:r w:rsidR="003C3756">
        <w:t xml:space="preserve">So, </w:t>
      </w:r>
      <w:r w:rsidR="009F1035" w:rsidRPr="009F7B7E">
        <w:t>to</w:t>
      </w:r>
      <w:r w:rsidR="009F1035">
        <w:t xml:space="preserve"> “</w:t>
      </w:r>
      <w:r w:rsidR="009F1035" w:rsidRPr="009F7B7E">
        <w:t>convey the jail</w:t>
      </w:r>
      <w:r w:rsidR="009F1035">
        <w:t>’</w:t>
      </w:r>
      <w:r w:rsidR="009F1035" w:rsidRPr="009F7B7E">
        <w:t>s sights and sounds to those who cannot personally visit the place</w:t>
      </w:r>
      <w:r w:rsidR="003C3756">
        <w:t>,</w:t>
      </w:r>
      <w:r w:rsidR="009F1035">
        <w:t>”</w:t>
      </w:r>
      <w:r w:rsidR="003C3756">
        <w:t xml:space="preserve"> reporters would need to be allowed to use cameras and recording devices and to schedule tours “on a more flexible and </w:t>
      </w:r>
      <w:r w:rsidR="003C3756">
        <w:lastRenderedPageBreak/>
        <w:t>frequent basis.”</w:t>
      </w:r>
      <w:r w:rsidR="00517284">
        <w:rPr>
          <w:rStyle w:val="FootnoteReference"/>
        </w:rPr>
        <w:footnoteReference w:id="59"/>
      </w:r>
      <w:r w:rsidR="003C3756">
        <w:t xml:space="preserve">  In this context, “</w:t>
      </w:r>
      <w:r w:rsidR="003C3756" w:rsidRPr="00027B78">
        <w:t>the practical distinctions between the press and the general publ</w:t>
      </w:r>
      <w:r w:rsidR="003C3756">
        <w:t>ic” required “more flexibility.”</w:t>
      </w:r>
      <w:r>
        <w:rPr>
          <w:rStyle w:val="FootnoteReference"/>
        </w:rPr>
        <w:footnoteReference w:id="60"/>
      </w:r>
      <w:r w:rsidR="00517284">
        <w:t xml:space="preserve">  The net result was that KQED was entitled to more frequent access to the jail than the public did, and would be afforded more privileges when it got there.</w:t>
      </w:r>
      <w:r w:rsidR="00517284">
        <w:rPr>
          <w:rStyle w:val="FootnoteReference"/>
        </w:rPr>
        <w:footnoteReference w:id="61"/>
      </w:r>
    </w:p>
    <w:p w14:paraId="20CAD3FE" w14:textId="2EFB7423" w:rsidR="009B1FFC" w:rsidRPr="009B1FFC" w:rsidRDefault="00410372" w:rsidP="0052228B">
      <w:pPr>
        <w:pStyle w:val="BodyText"/>
      </w:pPr>
      <w:r w:rsidRPr="00410372">
        <w:rPr>
          <w:b/>
          <w:bCs/>
          <w:i/>
          <w:iCs/>
        </w:rPr>
        <w:t>To the court system.</w:t>
      </w:r>
      <w:r>
        <w:t xml:space="preserve">  </w:t>
      </w:r>
      <w:r w:rsidR="00980467">
        <w:t>In addition to special access to carceral setting</w:t>
      </w:r>
      <w:r>
        <w:t>s</w:t>
      </w:r>
      <w:r w:rsidR="00980467">
        <w:t>, the Court has granted the press expansive access to the court system.  These rights refer not to priority seating in the courtroom—although that is commonly granted</w:t>
      </w:r>
      <w:r w:rsidR="00980467">
        <w:rPr>
          <w:rStyle w:val="FootnoteReference"/>
        </w:rPr>
        <w:footnoteReference w:id="62"/>
      </w:r>
      <w:r w:rsidR="00980467">
        <w:t>—but rather the right to attend trials and report on the proceedings without being subjected to a gag order.</w:t>
      </w:r>
      <w:r w:rsidR="009B1FFC">
        <w:t xml:space="preserve">  In </w:t>
      </w:r>
      <w:r w:rsidR="009B1FFC" w:rsidRPr="00063F03">
        <w:rPr>
          <w:i/>
          <w:iCs/>
        </w:rPr>
        <w:t>Richmond Newspapers, Inc. v. Virginia</w:t>
      </w:r>
      <w:r w:rsidR="009B1FFC">
        <w:t>,</w:t>
      </w:r>
      <w:r w:rsidR="009B1FFC">
        <w:rPr>
          <w:rStyle w:val="FootnoteReference"/>
        </w:rPr>
        <w:footnoteReference w:id="63"/>
      </w:r>
      <w:r w:rsidR="009B1FFC">
        <w:t xml:space="preserve"> the </w:t>
      </w:r>
      <w:r w:rsidR="00D55811">
        <w:t>plurality</w:t>
      </w:r>
      <w:r w:rsidR="009B1FFC">
        <w:t xml:space="preserve"> again claimed to see no distinction between “</w:t>
      </w:r>
      <w:r w:rsidR="009B1FFC" w:rsidRPr="00A5396F">
        <w:t>the right of the public and press</w:t>
      </w:r>
      <w:r w:rsidR="009B1FFC">
        <w:t xml:space="preserve">,” but its rationale in recognizing a “presumption of openness” was </w:t>
      </w:r>
      <w:r w:rsidR="00C230B3">
        <w:t xml:space="preserve">press-specific: </w:t>
      </w:r>
      <w:r w:rsidR="00D55811">
        <w:t xml:space="preserve">for example, </w:t>
      </w:r>
      <w:r w:rsidR="00C230B3">
        <w:t xml:space="preserve">“publicity” as a check on the judiciary, </w:t>
      </w:r>
      <w:r w:rsidR="00D55811">
        <w:t xml:space="preserve">and </w:t>
      </w:r>
      <w:r w:rsidR="00C230B3">
        <w:t xml:space="preserve">the “educative </w:t>
      </w:r>
      <w:r w:rsidR="00C230B3">
        <w:lastRenderedPageBreak/>
        <w:t>effect of . . . attendance” in assuring the public of the legitimacy of the court system</w:t>
      </w:r>
      <w:r w:rsidR="00D55811">
        <w:t>.</w:t>
      </w:r>
      <w:r w:rsidR="00C230B3">
        <w:rPr>
          <w:rStyle w:val="FootnoteReference"/>
        </w:rPr>
        <w:footnoteReference w:id="64"/>
      </w:r>
      <w:r w:rsidR="00D55811">
        <w:t xml:space="preserve">  This presumption of access was complemented by a constitutional “</w:t>
      </w:r>
      <w:r w:rsidR="00D55811" w:rsidRPr="00247225">
        <w:t>protection against exclusion</w:t>
      </w:r>
      <w:r w:rsidR="00D55811">
        <w:t>”—the “</w:t>
      </w:r>
      <w:r w:rsidR="00D55811" w:rsidRPr="00A85AA7">
        <w:t>right to attend criminal trials to hear, see, and communicate observations concerning them</w:t>
      </w:r>
      <w:r w:rsidR="00D55811">
        <w:t>”</w:t>
      </w:r>
      <w:r w:rsidR="00221A8B">
        <w:t xml:space="preserve">—which </w:t>
      </w:r>
      <w:r w:rsidR="00D55811">
        <w:t>also applies with more force to the press.</w:t>
      </w:r>
      <w:r w:rsidR="00D55811">
        <w:rPr>
          <w:rStyle w:val="FootnoteReference"/>
        </w:rPr>
        <w:footnoteReference w:id="65"/>
      </w:r>
      <w:r w:rsidR="00221A8B">
        <w:t xml:space="preserve">  Justice John Paul Stevens, the swing vote, also embraced a press-specific focus on “the </w:t>
      </w:r>
      <w:r w:rsidR="00221A8B" w:rsidRPr="00221A8B">
        <w:t>acquisition of newsworthy matter</w:t>
      </w:r>
      <w:r w:rsidR="00221A8B">
        <w:t>.”</w:t>
      </w:r>
      <w:r w:rsidR="00221A8B">
        <w:rPr>
          <w:rStyle w:val="FootnoteReference"/>
        </w:rPr>
        <w:footnoteReference w:id="66"/>
      </w:r>
    </w:p>
    <w:p w14:paraId="531A106C" w14:textId="6821C53C" w:rsidR="00825F00" w:rsidRDefault="00221A8B" w:rsidP="0052228B">
      <w:pPr>
        <w:pStyle w:val="BodyText"/>
      </w:pPr>
      <w:r>
        <w:t xml:space="preserve">And in </w:t>
      </w:r>
      <w:r w:rsidRPr="00B7282A">
        <w:rPr>
          <w:i/>
          <w:iCs/>
        </w:rPr>
        <w:t>Nebraska Press Association v. Stuart</w:t>
      </w:r>
      <w:r>
        <w:t>,</w:t>
      </w:r>
      <w:r>
        <w:rPr>
          <w:rStyle w:val="FootnoteReference"/>
        </w:rPr>
        <w:footnoteReference w:id="67"/>
      </w:r>
      <w:r>
        <w:t xml:space="preserve"> the Court made clear that, once the press is in the courtroom, it may report on what it learns there without the threat of a gag order.</w:t>
      </w:r>
      <w:r>
        <w:rPr>
          <w:rStyle w:val="FootnoteReference"/>
        </w:rPr>
        <w:footnoteReference w:id="68"/>
      </w:r>
      <w:r>
        <w:t xml:space="preserve">  Not only was this case brought by the press</w:t>
      </w:r>
      <w:r w:rsidR="00967531">
        <w:t xml:space="preserve"> </w:t>
      </w:r>
      <w:r>
        <w:t xml:space="preserve">solely </w:t>
      </w:r>
      <w:r w:rsidR="00967531">
        <w:t>under</w:t>
      </w:r>
      <w:r>
        <w:t xml:space="preserve"> the Press Clause</w:t>
      </w:r>
      <w:r w:rsidR="00967531">
        <w:t>, it its rationale was again specific to the press: “[t]</w:t>
      </w:r>
      <w:r w:rsidR="00967531" w:rsidRPr="0067486D">
        <w:t xml:space="preserve">he damage can be particularly great when </w:t>
      </w:r>
      <w:r w:rsidR="00967531">
        <w:t>[a]</w:t>
      </w:r>
      <w:r w:rsidR="00967531" w:rsidRPr="0067486D">
        <w:t xml:space="preserve"> prior restraint</w:t>
      </w:r>
      <w:r w:rsidR="00967531">
        <w:t>” like the gag order at issue</w:t>
      </w:r>
      <w:r w:rsidR="00967531" w:rsidRPr="0067486D">
        <w:t xml:space="preserve"> </w:t>
      </w:r>
      <w:r w:rsidR="00967531">
        <w:t>“</w:t>
      </w:r>
      <w:r w:rsidR="00967531" w:rsidRPr="0067486D">
        <w:t>falls upon the communication of news and commentary on current events</w:t>
      </w:r>
      <w:r w:rsidR="00967531">
        <w:t>.”</w:t>
      </w:r>
      <w:r w:rsidR="00967531">
        <w:rPr>
          <w:rStyle w:val="FootnoteReference"/>
        </w:rPr>
        <w:footnoteReference w:id="69"/>
      </w:r>
      <w:r w:rsidR="009807CF">
        <w:t xml:space="preserve">  This all but assured that a gag order directed at the press would never be upheld.</w:t>
      </w:r>
      <w:r w:rsidR="009807CF">
        <w:rPr>
          <w:rStyle w:val="FootnoteReference"/>
        </w:rPr>
        <w:footnoteReference w:id="70"/>
      </w:r>
      <w:r w:rsidR="009807CF">
        <w:t xml:space="preserve">  </w:t>
      </w:r>
      <w:r w:rsidR="004B1F60">
        <w:t xml:space="preserve">The same rationale does not apply, however, to individual speakers like the lawyer in </w:t>
      </w:r>
      <w:r w:rsidR="004B1F60" w:rsidRPr="00B7282A">
        <w:rPr>
          <w:i/>
          <w:iCs/>
        </w:rPr>
        <w:t>Gentile v. State Bar of Nevada</w:t>
      </w:r>
      <w:r w:rsidR="004B1F60">
        <w:t>,</w:t>
      </w:r>
      <w:r w:rsidR="004B1F60">
        <w:rPr>
          <w:rStyle w:val="FootnoteReference"/>
        </w:rPr>
        <w:footnoteReference w:id="71"/>
      </w:r>
      <w:r w:rsidR="004B1F60">
        <w:t xml:space="preserve"> whose challenge to a state bar rule prohibiting lawyers from making certain statements to the media was rejected.</w:t>
      </w:r>
      <w:r w:rsidR="004B1F60">
        <w:rPr>
          <w:rStyle w:val="FootnoteReference"/>
        </w:rPr>
        <w:footnoteReference w:id="72"/>
      </w:r>
      <w:r w:rsidR="004B1F60">
        <w:t xml:space="preserve">  Because “</w:t>
      </w:r>
      <w:r w:rsidR="004B1F60" w:rsidRPr="002128C8">
        <w:t xml:space="preserve">the criminal </w:t>
      </w:r>
      <w:r w:rsidR="004B1F60" w:rsidRPr="002128C8">
        <w:lastRenderedPageBreak/>
        <w:t>justice system exists in a larger context of a government ultimately of the people, who wish to be informed about happenings in the criminal justice system,</w:t>
      </w:r>
      <w:r w:rsidR="004B1F60">
        <w:t>” and “</w:t>
      </w:r>
      <w:r w:rsidR="004B1F60" w:rsidRPr="002128C8">
        <w:t xml:space="preserve">most of them acquire information </w:t>
      </w:r>
      <w:r w:rsidR="004B1F60">
        <w:t>. . .</w:t>
      </w:r>
      <w:r w:rsidR="004B1F60" w:rsidRPr="002128C8">
        <w:t xml:space="preserve"> from the media</w:t>
      </w:r>
      <w:r w:rsidR="004B1F60">
        <w:t>,”</w:t>
      </w:r>
      <w:r w:rsidR="004B1F60">
        <w:rPr>
          <w:rStyle w:val="FootnoteReference"/>
        </w:rPr>
        <w:footnoteReference w:id="73"/>
      </w:r>
      <w:r w:rsidR="004B1F60">
        <w:t xml:space="preserve"> a lawyer who merely participated in this system could not “insist on the same” heightened protections from prior restraints.</w:t>
      </w:r>
      <w:r w:rsidR="004B1F60">
        <w:rPr>
          <w:rStyle w:val="FootnoteReference"/>
        </w:rPr>
        <w:footnoteReference w:id="74"/>
      </w:r>
    </w:p>
    <w:p w14:paraId="307FD17D" w14:textId="54763204" w:rsidR="00410372" w:rsidRDefault="00410372" w:rsidP="00410372">
      <w:pPr>
        <w:pStyle w:val="Heading4"/>
      </w:pPr>
      <w:r>
        <w:t>Special protections</w:t>
      </w:r>
    </w:p>
    <w:p w14:paraId="107217D8" w14:textId="7FA322ED" w:rsidR="00FB2860" w:rsidRDefault="007C1283" w:rsidP="0052228B">
      <w:pPr>
        <w:pStyle w:val="BodyText"/>
      </w:pPr>
      <w:r>
        <w:t xml:space="preserve">In addition to these special rights of access, the Court has also recognized heightened protections for the press beyond those available to the </w:t>
      </w:r>
      <w:proofErr w:type="gramStart"/>
      <w:r>
        <w:t>general public</w:t>
      </w:r>
      <w:proofErr w:type="gramEnd"/>
      <w:r>
        <w:t>.  In addition to the most obvious—prohibitions on “paper and ink” taxes deliberately aimed at punishing certain newspapers for their publishing activities</w:t>
      </w:r>
      <w:r w:rsidR="00925DA2">
        <w:rPr>
          <w:rStyle w:val="FootnoteReference"/>
        </w:rPr>
        <w:footnoteReference w:id="75"/>
      </w:r>
      <w:r>
        <w:t xml:space="preserve">—these protections take three forms: </w:t>
      </w:r>
      <w:r w:rsidR="00FB2860">
        <w:t>the reporter’s privilege</w:t>
      </w:r>
      <w:r>
        <w:t>, plus</w:t>
      </w:r>
      <w:r w:rsidR="00FB2860">
        <w:t xml:space="preserve"> heightened standards for searches and seizures</w:t>
      </w:r>
      <w:r>
        <w:t xml:space="preserve"> and </w:t>
      </w:r>
      <w:r w:rsidR="00FB2860">
        <w:t>for liability for defamation and related torts.</w:t>
      </w:r>
    </w:p>
    <w:p w14:paraId="78CD8FC6" w14:textId="1D020434" w:rsidR="00FB2860" w:rsidRPr="00925DA2" w:rsidRDefault="00410372" w:rsidP="0052228B">
      <w:pPr>
        <w:pStyle w:val="BodyText"/>
      </w:pPr>
      <w:r w:rsidRPr="00410372">
        <w:rPr>
          <w:b/>
          <w:bCs/>
          <w:i/>
          <w:iCs/>
        </w:rPr>
        <w:t>From contempt.</w:t>
      </w:r>
      <w:r>
        <w:t xml:space="preserve">  </w:t>
      </w:r>
      <w:r w:rsidR="00925DA2">
        <w:t xml:space="preserve">The reporter’s privilege protects the press from being forced on pain of contempt to disclose confidential sources and information.  Although the reporters in </w:t>
      </w:r>
      <w:r w:rsidR="00925DA2" w:rsidRPr="008722D3">
        <w:rPr>
          <w:i/>
          <w:iCs/>
        </w:rPr>
        <w:t>Branzburg v. Hayes</w:t>
      </w:r>
      <w:r w:rsidR="00065421" w:rsidRPr="00065421">
        <w:rPr>
          <w:rStyle w:val="FootnoteReference"/>
        </w:rPr>
        <w:footnoteReference w:id="76"/>
      </w:r>
      <w:r w:rsidR="00925DA2" w:rsidRPr="00065421">
        <w:t xml:space="preserve"> </w:t>
      </w:r>
      <w:r w:rsidR="00065421">
        <w:t>had requested only a qualified privilege, the Court—acting on the assumption that a qualified privilege wouldn’t suffice—construed the request as one for an absolute privilege and denied it.</w:t>
      </w:r>
      <w:r w:rsidR="00065421">
        <w:rPr>
          <w:rStyle w:val="FootnoteReference"/>
        </w:rPr>
        <w:footnoteReference w:id="77"/>
      </w:r>
      <w:r w:rsidR="00065421">
        <w:t xml:space="preserve"> </w:t>
      </w:r>
      <w:r w:rsidR="006B53EA">
        <w:t xml:space="preserve"> </w:t>
      </w:r>
      <w:r w:rsidR="0075254F">
        <w:t xml:space="preserve">Administering the privilege, </w:t>
      </w:r>
      <w:r w:rsidR="006B53EA">
        <w:t xml:space="preserve">Justice White wrote, explaining the majority’s </w:t>
      </w:r>
      <w:r w:rsidR="006B53EA">
        <w:lastRenderedPageBreak/>
        <w:t>hesitance,</w:t>
      </w:r>
      <w:r w:rsidR="006B53EA" w:rsidRPr="00AA21F7">
        <w:t xml:space="preserve"> </w:t>
      </w:r>
      <w:r w:rsidR="0075254F">
        <w:t>“</w:t>
      </w:r>
      <w:r w:rsidR="0075254F" w:rsidRPr="0075254F">
        <w:t>would present practical and conceptual difficulties of a high order</w:t>
      </w:r>
      <w:r w:rsidR="0075254F">
        <w:t>.”</w:t>
      </w:r>
      <w:r w:rsidR="0075254F">
        <w:rPr>
          <w:rStyle w:val="FootnoteReference"/>
        </w:rPr>
        <w:footnoteReference w:id="78"/>
      </w:r>
      <w:r w:rsidR="0075254F">
        <w:t xml:space="preserve">  Namely, </w:t>
      </w:r>
      <w:r w:rsidR="006B53EA">
        <w:t>“</w:t>
      </w:r>
      <w:r w:rsidR="0075254F">
        <w:t>[s]</w:t>
      </w:r>
      <w:r w:rsidR="006B53EA" w:rsidRPr="00AA21F7">
        <w:t>ooner or later,</w:t>
      </w:r>
      <w:r w:rsidR="006B53EA">
        <w:t xml:space="preserve"> </w:t>
      </w:r>
      <w:r w:rsidR="006B53EA" w:rsidRPr="00AA21F7">
        <w:t>it would be necessary to define those categories of newsmen who qualified for the privilege</w:t>
      </w:r>
      <w:r w:rsidR="006B53EA">
        <w:t>.”</w:t>
      </w:r>
      <w:r w:rsidR="006B53EA">
        <w:rPr>
          <w:rStyle w:val="FootnoteReference"/>
        </w:rPr>
        <w:footnoteReference w:id="79"/>
      </w:r>
      <w:r w:rsidR="006B53EA">
        <w:t xml:space="preserve"> </w:t>
      </w:r>
      <w:r w:rsidR="006B53EA" w:rsidRPr="00AA21F7">
        <w:t xml:space="preserve"> </w:t>
      </w:r>
      <w:r w:rsidR="006B53EA">
        <w:t>And this was “</w:t>
      </w:r>
      <w:r w:rsidR="006B53EA" w:rsidRPr="00AA21F7">
        <w:t>a questionable procedure in light of the traditional doctrine that liberty of the press is the right of the lonely pamphleteer who uses carbon paper or a mimeograph just as much as of the large metropolitan publisher</w:t>
      </w:r>
      <w:r w:rsidR="006B53EA">
        <w:t>.”</w:t>
      </w:r>
      <w:r w:rsidR="006B53EA">
        <w:rPr>
          <w:rStyle w:val="FootnoteReference"/>
        </w:rPr>
        <w:footnoteReference w:id="80"/>
      </w:r>
      <w:r w:rsidR="006B53EA">
        <w:t xml:space="preserve">  </w:t>
      </w:r>
      <w:r w:rsidR="0075254F">
        <w:t xml:space="preserve">The Court was ultimately </w:t>
      </w:r>
      <w:r w:rsidR="006B53EA">
        <w:t>“u</w:t>
      </w:r>
      <w:r w:rsidR="006B53EA" w:rsidRPr="00AA21F7">
        <w:t>nwilling to embark the judiciary on a long and difficult journey to such an uncertain destination</w:t>
      </w:r>
      <w:r w:rsidR="006B53EA">
        <w:t>.”</w:t>
      </w:r>
      <w:r w:rsidR="006B53EA">
        <w:rPr>
          <w:rStyle w:val="FootnoteReference"/>
        </w:rPr>
        <w:footnoteReference w:id="81"/>
      </w:r>
    </w:p>
    <w:p w14:paraId="191BCF3E" w14:textId="58E77EA2" w:rsidR="00FB2860" w:rsidRDefault="0075254F" w:rsidP="0052228B">
      <w:pPr>
        <w:pStyle w:val="BodyText"/>
      </w:pPr>
      <w:r>
        <w:t xml:space="preserve">Justice Powell, </w:t>
      </w:r>
      <w:r w:rsidR="00F7471E">
        <w:t>the swing vote</w:t>
      </w:r>
      <w:r>
        <w:t>, was willing to risk it.</w:t>
      </w:r>
      <w:r w:rsidR="00F7471E">
        <w:t xml:space="preserve">  Calling the Court’s holding “limited,” he endorsed the very qualified privilege the majority had waved off.</w:t>
      </w:r>
      <w:r w:rsidR="00F7471E">
        <w:rPr>
          <w:rStyle w:val="FootnoteReference"/>
        </w:rPr>
        <w:footnoteReference w:id="82"/>
      </w:r>
      <w:r w:rsidR="00F7471E">
        <w:t xml:space="preserve">  </w:t>
      </w:r>
      <w:r w:rsidR="007E52A9">
        <w:t>It could be invoked, he explained, “if the information sought “</w:t>
      </w:r>
      <w:r w:rsidR="007E52A9" w:rsidRPr="00813099">
        <w:t>bear</w:t>
      </w:r>
      <w:r w:rsidR="007E52A9">
        <w:t>[s]</w:t>
      </w:r>
      <w:r w:rsidR="007E52A9" w:rsidRPr="00813099">
        <w:t xml:space="preserve"> only a remote and tenuous relationship to the subject of the investigation,</w:t>
      </w:r>
      <w:r w:rsidR="007E52A9">
        <w:t>” or if the reporter’s testimony would “</w:t>
      </w:r>
      <w:r w:rsidR="007E52A9" w:rsidRPr="00813099">
        <w:t>implicate</w:t>
      </w:r>
      <w:r w:rsidR="007E52A9">
        <w:t>[]</w:t>
      </w:r>
      <w:r w:rsidR="007E52A9" w:rsidRPr="00813099">
        <w:t xml:space="preserve"> confidential source relationship</w:t>
      </w:r>
      <w:r w:rsidR="007E52A9">
        <w:t>s</w:t>
      </w:r>
      <w:r w:rsidR="007E52A9" w:rsidRPr="00813099">
        <w:t xml:space="preserve"> without a legitimate need of law enforcement</w:t>
      </w:r>
      <w:r w:rsidR="007E52A9">
        <w:t>.”</w:t>
      </w:r>
      <w:r w:rsidR="007E52A9">
        <w:rPr>
          <w:rStyle w:val="FootnoteReference"/>
        </w:rPr>
        <w:footnoteReference w:id="83"/>
      </w:r>
      <w:r w:rsidR="007E52A9">
        <w:t xml:space="preserve">  Privilege claims could be evaluated case by case, allowing the court to strike “</w:t>
      </w:r>
      <w:r w:rsidR="007E52A9" w:rsidRPr="00813099">
        <w:t>a proper balance between freedom of the press and the obligation of all citizens to give relevant testimony with respect to criminal conduct</w:t>
      </w:r>
      <w:r w:rsidR="007E52A9">
        <w:t>.”</w:t>
      </w:r>
      <w:r w:rsidR="007E52A9">
        <w:rPr>
          <w:rStyle w:val="FootnoteReference"/>
        </w:rPr>
        <w:footnoteReference w:id="84"/>
      </w:r>
      <w:r w:rsidR="007E52A9">
        <w:t xml:space="preserve">  According to many </w:t>
      </w:r>
      <w:r w:rsidR="00EF1233">
        <w:t xml:space="preserve">courts and scholars, this short concurrence, in Professor Smolla’s words, “in effect superseded the majority opinion and became the </w:t>
      </w:r>
      <w:r w:rsidR="00EF1233">
        <w:lastRenderedPageBreak/>
        <w:t>prevailing law of the land.”</w:t>
      </w:r>
      <w:r w:rsidR="00EF1233">
        <w:rPr>
          <w:rStyle w:val="FootnoteReference"/>
        </w:rPr>
        <w:footnoteReference w:id="85"/>
      </w:r>
      <w:r w:rsidR="00665ED7">
        <w:t xml:space="preserve">  But whatever the actual effects of Justice Powell’s opinion, there is no doubt that almost all of the federal courts of appeals have integrated his qualified privilege into their own bodies of precedent.</w:t>
      </w:r>
      <w:r w:rsidR="00665ED7">
        <w:rPr>
          <w:rStyle w:val="FootnoteReference"/>
        </w:rPr>
        <w:footnoteReference w:id="86"/>
      </w:r>
      <w:r w:rsidR="00665ED7">
        <w:t xml:space="preserve">  As a result, members of the press throughout most of the country can claim a privilege </w:t>
      </w:r>
      <w:r w:rsidR="00DC6B01">
        <w:t>others can’t.</w:t>
      </w:r>
    </w:p>
    <w:p w14:paraId="60E4D196" w14:textId="36F652C3" w:rsidR="0052228B" w:rsidRDefault="00410372" w:rsidP="0052228B">
      <w:pPr>
        <w:pStyle w:val="BodyText"/>
        <w:rPr>
          <w:bdr w:val="none" w:sz="0" w:space="0" w:color="auto" w:frame="1"/>
          <w:shd w:val="clear" w:color="auto" w:fill="FFFFFF"/>
        </w:rPr>
      </w:pPr>
      <w:r w:rsidRPr="00410372">
        <w:rPr>
          <w:b/>
          <w:bCs/>
          <w:i/>
          <w:iCs/>
        </w:rPr>
        <w:t>From searches.</w:t>
      </w:r>
      <w:r>
        <w:t xml:space="preserve">  </w:t>
      </w:r>
      <w:r w:rsidR="00DC6B01">
        <w:t xml:space="preserve">Another protection specific to the press are the </w:t>
      </w:r>
      <w:r w:rsidR="0052228B" w:rsidRPr="00C04057">
        <w:t xml:space="preserve">heightened </w:t>
      </w:r>
      <w:r w:rsidR="0052228B">
        <w:t xml:space="preserve">the </w:t>
      </w:r>
      <w:r w:rsidR="0052228B" w:rsidRPr="00C04057">
        <w:t>standard</w:t>
      </w:r>
      <w:r w:rsidR="00DC6B01">
        <w:t>s</w:t>
      </w:r>
      <w:r w:rsidR="0052228B" w:rsidRPr="00C04057">
        <w:t xml:space="preserve"> for searches and seizures </w:t>
      </w:r>
      <w:r w:rsidR="0052228B">
        <w:t>of newsrooms</w:t>
      </w:r>
      <w:r w:rsidR="00DC6B01">
        <w:t xml:space="preserve"> that the Court adopted in </w:t>
      </w:r>
      <w:r w:rsidR="00DC6B01" w:rsidRPr="00DC6B01">
        <w:rPr>
          <w:i/>
          <w:iCs/>
        </w:rPr>
        <w:t>Zurcher</w:t>
      </w:r>
      <w:r w:rsidR="00DC6B01">
        <w:t>, even as it upheld the search at issue there.</w:t>
      </w:r>
      <w:r w:rsidR="0052228B">
        <w:rPr>
          <w:rStyle w:val="FootnoteReference"/>
        </w:rPr>
        <w:footnoteReference w:id="87"/>
      </w:r>
      <w:r w:rsidR="00BF706E">
        <w:t xml:space="preserve">  In </w:t>
      </w:r>
      <w:r w:rsidR="00BF706E" w:rsidRPr="00BF706E">
        <w:rPr>
          <w:i/>
          <w:iCs/>
        </w:rPr>
        <w:t>Zurcher</w:t>
      </w:r>
      <w:r w:rsidR="00BF706E">
        <w:t>, the offices of the Stanford Daily were searched for photographic evidence of the identities of student protestors after a protest had allegedly turned into a “violent clash” with police.</w:t>
      </w:r>
      <w:r w:rsidR="00BF706E">
        <w:rPr>
          <w:rStyle w:val="FootnoteReference"/>
        </w:rPr>
        <w:footnoteReference w:id="88"/>
      </w:r>
      <w:r w:rsidR="00A66CB2">
        <w:t xml:space="preserve">  </w:t>
      </w:r>
      <w:r w:rsidR="00A66CB2">
        <w:lastRenderedPageBreak/>
        <w:t>The Daily sued, but the Supreme Court ultimately held that the search, which was supported by a valid warrant, was reasonable.</w:t>
      </w:r>
      <w:r w:rsidR="00A66CB2">
        <w:rPr>
          <w:rStyle w:val="FootnoteReference"/>
        </w:rPr>
        <w:footnoteReference w:id="89"/>
      </w:r>
      <w:r w:rsidR="00A66CB2">
        <w:t xml:space="preserve">  The alleged First Amendment violations “</w:t>
      </w:r>
      <w:r w:rsidR="00A66CB2">
        <w:rPr>
          <w:bdr w:val="none" w:sz="0" w:space="0" w:color="auto" w:frame="1"/>
          <w:shd w:val="clear" w:color="auto" w:fill="FFFFFF"/>
        </w:rPr>
        <w:t>d[id] not make a constitutional difference.”</w:t>
      </w:r>
      <w:r w:rsidR="00A66CB2">
        <w:rPr>
          <w:rStyle w:val="FootnoteReference"/>
          <w:bdr w:val="none" w:sz="0" w:space="0" w:color="auto" w:frame="1"/>
          <w:shd w:val="clear" w:color="auto" w:fill="FFFFFF"/>
        </w:rPr>
        <w:footnoteReference w:id="90"/>
      </w:r>
    </w:p>
    <w:p w14:paraId="124770A5" w14:textId="40E3F010" w:rsidR="00A66CB2" w:rsidRDefault="00A66CB2" w:rsidP="00A66CB2">
      <w:pPr>
        <w:pStyle w:val="BodyText"/>
        <w:rPr>
          <w:bdr w:val="none" w:sz="0" w:space="0" w:color="auto" w:frame="1"/>
          <w:shd w:val="clear" w:color="auto" w:fill="FFFFFF"/>
        </w:rPr>
      </w:pPr>
      <w:r>
        <w:rPr>
          <w:bdr w:val="none" w:sz="0" w:space="0" w:color="auto" w:frame="1"/>
          <w:shd w:val="clear" w:color="auto" w:fill="FFFFFF"/>
        </w:rPr>
        <w:t xml:space="preserve">Maybe not to the outcome—but the Court did, in fact, </w:t>
      </w:r>
      <w:r w:rsidR="003B236A">
        <w:rPr>
          <w:bdr w:val="none" w:sz="0" w:space="0" w:color="auto" w:frame="1"/>
          <w:shd w:val="clear" w:color="auto" w:fill="FFFFFF"/>
        </w:rPr>
        <w:t xml:space="preserve">alter its analysis by applying </w:t>
      </w:r>
      <w:r>
        <w:rPr>
          <w:bdr w:val="none" w:sz="0" w:space="0" w:color="auto" w:frame="1"/>
          <w:shd w:val="clear" w:color="auto" w:fill="FFFFFF"/>
        </w:rPr>
        <w:t xml:space="preserve">a heightened standard </w:t>
      </w:r>
      <w:r w:rsidR="003B236A">
        <w:rPr>
          <w:bdr w:val="none" w:sz="0" w:space="0" w:color="auto" w:frame="1"/>
          <w:shd w:val="clear" w:color="auto" w:fill="FFFFFF"/>
        </w:rPr>
        <w:t>that accounted for the sensitivity of the newsroom setting</w:t>
      </w:r>
      <w:r>
        <w:rPr>
          <w:bdr w:val="none" w:sz="0" w:space="0" w:color="auto" w:frame="1"/>
          <w:shd w:val="clear" w:color="auto" w:fill="FFFFFF"/>
        </w:rPr>
        <w:t>.  Because a search might be “</w:t>
      </w:r>
      <w:r w:rsidRPr="007A5CC8">
        <w:rPr>
          <w:bdr w:val="none" w:sz="0" w:space="0" w:color="auto" w:frame="1"/>
          <w:shd w:val="clear" w:color="auto" w:fill="FFFFFF"/>
        </w:rPr>
        <w:t>reasonable as to one type of material in one setting</w:t>
      </w:r>
      <w:r>
        <w:rPr>
          <w:bdr w:val="none" w:sz="0" w:space="0" w:color="auto" w:frame="1"/>
          <w:shd w:val="clear" w:color="auto" w:fill="FFFFFF"/>
        </w:rPr>
        <w:t>” but “</w:t>
      </w:r>
      <w:r w:rsidRPr="007A5CC8">
        <w:rPr>
          <w:bdr w:val="none" w:sz="0" w:space="0" w:color="auto" w:frame="1"/>
          <w:shd w:val="clear" w:color="auto" w:fill="FFFFFF"/>
        </w:rPr>
        <w:t>unreasonable in a different setting</w:t>
      </w:r>
      <w:r>
        <w:rPr>
          <w:bdr w:val="none" w:sz="0" w:space="0" w:color="auto" w:frame="1"/>
          <w:shd w:val="clear" w:color="auto" w:fill="FFFFFF"/>
        </w:rPr>
        <w:t>,” it followed that “[w]</w:t>
      </w:r>
      <w:r w:rsidRPr="007A5CC8">
        <w:rPr>
          <w:bdr w:val="none" w:sz="0" w:space="0" w:color="auto" w:frame="1"/>
          <w:shd w:val="clear" w:color="auto" w:fill="FFFFFF"/>
        </w:rPr>
        <w:t xml:space="preserve">here the materials sought </w:t>
      </w:r>
      <w:r>
        <w:rPr>
          <w:bdr w:val="none" w:sz="0" w:space="0" w:color="auto" w:frame="1"/>
          <w:shd w:val="clear" w:color="auto" w:fill="FFFFFF"/>
        </w:rPr>
        <w:t>. . .</w:t>
      </w:r>
      <w:r w:rsidRPr="007A5CC8">
        <w:rPr>
          <w:bdr w:val="none" w:sz="0" w:space="0" w:color="auto" w:frame="1"/>
          <w:shd w:val="clear" w:color="auto" w:fill="FFFFFF"/>
        </w:rPr>
        <w:t xml:space="preserve"> may be protected by the First Amendment, the requirements of the Fourth Amendment must be applied with </w:t>
      </w:r>
      <w:r>
        <w:rPr>
          <w:bdr w:val="none" w:sz="0" w:space="0" w:color="auto" w:frame="1"/>
          <w:shd w:val="clear" w:color="auto" w:fill="FFFFFF"/>
        </w:rPr>
        <w:t>‘</w:t>
      </w:r>
      <w:r w:rsidRPr="007A5CC8">
        <w:rPr>
          <w:bdr w:val="none" w:sz="0" w:space="0" w:color="auto" w:frame="1"/>
          <w:shd w:val="clear" w:color="auto" w:fill="FFFFFF"/>
        </w:rPr>
        <w:t>scrupulous exactitude.</w:t>
      </w:r>
      <w:r>
        <w:rPr>
          <w:bdr w:val="none" w:sz="0" w:space="0" w:color="auto" w:frame="1"/>
          <w:shd w:val="clear" w:color="auto" w:fill="FFFFFF"/>
        </w:rPr>
        <w:t>’”</w:t>
      </w:r>
      <w:r>
        <w:rPr>
          <w:rStyle w:val="FootnoteReference"/>
          <w:bdr w:val="none" w:sz="0" w:space="0" w:color="auto" w:frame="1"/>
          <w:shd w:val="clear" w:color="auto" w:fill="FFFFFF"/>
        </w:rPr>
        <w:footnoteReference w:id="91"/>
      </w:r>
      <w:r>
        <w:rPr>
          <w:bdr w:val="none" w:sz="0" w:space="0" w:color="auto" w:frame="1"/>
          <w:shd w:val="clear" w:color="auto" w:fill="FFFFFF"/>
        </w:rPr>
        <w:t xml:space="preserve">  </w:t>
      </w:r>
      <w:r w:rsidR="007F1A94">
        <w:rPr>
          <w:bdr w:val="none" w:sz="0" w:space="0" w:color="auto" w:frame="1"/>
          <w:shd w:val="clear" w:color="auto" w:fill="FFFFFF"/>
        </w:rPr>
        <w:t xml:space="preserve">This means that when </w:t>
      </w:r>
      <w:r w:rsidR="003B236A">
        <w:rPr>
          <w:bdr w:val="none" w:sz="0" w:space="0" w:color="auto" w:frame="1"/>
          <w:shd w:val="clear" w:color="auto" w:fill="FFFFFF"/>
        </w:rPr>
        <w:t>a</w:t>
      </w:r>
      <w:r>
        <w:rPr>
          <w:bdr w:val="none" w:sz="0" w:space="0" w:color="auto" w:frame="1"/>
          <w:shd w:val="clear" w:color="auto" w:fill="FFFFFF"/>
        </w:rPr>
        <w:t xml:space="preserve"> search seeks </w:t>
      </w:r>
      <w:r w:rsidR="003B236A">
        <w:rPr>
          <w:bdr w:val="none" w:sz="0" w:space="0" w:color="auto" w:frame="1"/>
          <w:shd w:val="clear" w:color="auto" w:fill="FFFFFF"/>
        </w:rPr>
        <w:t xml:space="preserve">materials that are </w:t>
      </w:r>
      <w:r>
        <w:rPr>
          <w:bdr w:val="none" w:sz="0" w:space="0" w:color="auto" w:frame="1"/>
          <w:shd w:val="clear" w:color="auto" w:fill="FFFFFF"/>
        </w:rPr>
        <w:t>“</w:t>
      </w:r>
      <w:r w:rsidRPr="007A5CC8">
        <w:rPr>
          <w:bdr w:val="none" w:sz="0" w:space="0" w:color="auto" w:frame="1"/>
          <w:shd w:val="clear" w:color="auto" w:fill="FFFFFF"/>
        </w:rPr>
        <w:t>presumptively protected</w:t>
      </w:r>
      <w:r w:rsidR="003B236A">
        <w:rPr>
          <w:bdr w:val="none" w:sz="0" w:space="0" w:color="auto" w:frame="1"/>
          <w:shd w:val="clear" w:color="auto" w:fill="FFFFFF"/>
        </w:rPr>
        <w:t>” by the First Amendment,</w:t>
      </w:r>
      <w:r>
        <w:rPr>
          <w:bdr w:val="none" w:sz="0" w:space="0" w:color="auto" w:frame="1"/>
          <w:shd w:val="clear" w:color="auto" w:fill="FFFFFF"/>
        </w:rPr>
        <w:t xml:space="preserve"> “</w:t>
      </w:r>
      <w:r w:rsidRPr="007A5CC8">
        <w:rPr>
          <w:bdr w:val="none" w:sz="0" w:space="0" w:color="auto" w:frame="1"/>
          <w:shd w:val="clear" w:color="auto" w:fill="FFFFFF"/>
        </w:rPr>
        <w:t>the warrant requirement should be administered to leave as little as possible to the discretion or whim of the officer in the field.</w:t>
      </w:r>
      <w:r>
        <w:rPr>
          <w:bdr w:val="none" w:sz="0" w:space="0" w:color="auto" w:frame="1"/>
          <w:shd w:val="clear" w:color="auto" w:fill="FFFFFF"/>
        </w:rPr>
        <w:t>”</w:t>
      </w:r>
      <w:r>
        <w:rPr>
          <w:rStyle w:val="FootnoteReference"/>
          <w:bdr w:val="none" w:sz="0" w:space="0" w:color="auto" w:frame="1"/>
          <w:shd w:val="clear" w:color="auto" w:fill="FFFFFF"/>
        </w:rPr>
        <w:footnoteReference w:id="92"/>
      </w:r>
    </w:p>
    <w:p w14:paraId="7D5A7500" w14:textId="037D6684" w:rsidR="00A66CB2" w:rsidRPr="00E608FE" w:rsidRDefault="003B236A" w:rsidP="00E608FE">
      <w:pPr>
        <w:pStyle w:val="BodyText"/>
        <w:rPr>
          <w:bdr w:val="none" w:sz="0" w:space="0" w:color="auto" w:frame="1"/>
          <w:shd w:val="clear" w:color="auto" w:fill="FFFFFF"/>
        </w:rPr>
      </w:pPr>
      <w:r>
        <w:rPr>
          <w:bdr w:val="none" w:sz="0" w:space="0" w:color="auto" w:frame="1"/>
          <w:shd w:val="clear" w:color="auto" w:fill="FFFFFF"/>
        </w:rPr>
        <w:t xml:space="preserve">Overall, </w:t>
      </w:r>
      <w:r w:rsidR="00E608FE">
        <w:rPr>
          <w:bdr w:val="none" w:sz="0" w:space="0" w:color="auto" w:frame="1"/>
          <w:shd w:val="clear" w:color="auto" w:fill="FFFFFF"/>
        </w:rPr>
        <w:t>as concurring Justice Powell explained, “</w:t>
      </w:r>
      <w:r w:rsidR="00E608FE" w:rsidRPr="00EE6A3D">
        <w:rPr>
          <w:bdr w:val="none" w:sz="0" w:space="0" w:color="auto" w:frame="1"/>
          <w:shd w:val="clear" w:color="auto" w:fill="FFFFFF"/>
        </w:rPr>
        <w:t>a warrant which would be sufficient to support the search of an apartment or an automobile</w:t>
      </w:r>
      <w:r w:rsidR="00E608FE">
        <w:rPr>
          <w:bdr w:val="none" w:sz="0" w:space="0" w:color="auto" w:frame="1"/>
          <w:shd w:val="clear" w:color="auto" w:fill="FFFFFF"/>
        </w:rPr>
        <w:t>” would not “</w:t>
      </w:r>
      <w:r w:rsidR="00E608FE" w:rsidRPr="00EE6A3D">
        <w:rPr>
          <w:bdr w:val="none" w:sz="0" w:space="0" w:color="auto" w:frame="1"/>
          <w:shd w:val="clear" w:color="auto" w:fill="FFFFFF"/>
        </w:rPr>
        <w:t xml:space="preserve">necessarily </w:t>
      </w:r>
      <w:r w:rsidR="00E608FE">
        <w:rPr>
          <w:bdr w:val="none" w:sz="0" w:space="0" w:color="auto" w:frame="1"/>
          <w:shd w:val="clear" w:color="auto" w:fill="FFFFFF"/>
        </w:rPr>
        <w:t>. . .</w:t>
      </w:r>
      <w:r w:rsidR="00E608FE" w:rsidRPr="00EE6A3D">
        <w:rPr>
          <w:bdr w:val="none" w:sz="0" w:space="0" w:color="auto" w:frame="1"/>
          <w:shd w:val="clear" w:color="auto" w:fill="FFFFFF"/>
        </w:rPr>
        <w:t xml:space="preserve"> be reasonable in supporting the search of a newspaper office</w:t>
      </w:r>
      <w:r w:rsidR="00E608FE">
        <w:rPr>
          <w:bdr w:val="none" w:sz="0" w:space="0" w:color="auto" w:frame="1"/>
          <w:shd w:val="clear" w:color="auto" w:fill="FFFFFF"/>
        </w:rPr>
        <w:t>.”</w:t>
      </w:r>
      <w:r w:rsidR="00E608FE">
        <w:rPr>
          <w:rStyle w:val="FootnoteReference"/>
          <w:bdr w:val="none" w:sz="0" w:space="0" w:color="auto" w:frame="1"/>
          <w:shd w:val="clear" w:color="auto" w:fill="FFFFFF"/>
        </w:rPr>
        <w:footnoteReference w:id="93"/>
      </w:r>
      <w:r w:rsidR="00E608FE">
        <w:rPr>
          <w:bdr w:val="none" w:sz="0" w:space="0" w:color="auto" w:frame="1"/>
          <w:shd w:val="clear" w:color="auto" w:fill="FFFFFF"/>
        </w:rPr>
        <w:t xml:space="preserve">  T</w:t>
      </w:r>
      <w:r>
        <w:rPr>
          <w:bdr w:val="none" w:sz="0" w:space="0" w:color="auto" w:frame="1"/>
          <w:shd w:val="clear" w:color="auto" w:fill="FFFFFF"/>
        </w:rPr>
        <w:t xml:space="preserve">he standard for searching a newsroom is </w:t>
      </w:r>
      <w:r w:rsidR="00E608FE">
        <w:rPr>
          <w:bdr w:val="none" w:sz="0" w:space="0" w:color="auto" w:frame="1"/>
          <w:shd w:val="clear" w:color="auto" w:fill="FFFFFF"/>
        </w:rPr>
        <w:t xml:space="preserve">thus </w:t>
      </w:r>
      <w:r>
        <w:rPr>
          <w:bdr w:val="none" w:sz="0" w:space="0" w:color="auto" w:frame="1"/>
          <w:shd w:val="clear" w:color="auto" w:fill="FFFFFF"/>
        </w:rPr>
        <w:t>higher than it would be for an ordinary search—it just wasn’t high enough</w:t>
      </w:r>
      <w:r w:rsidR="00E608FE">
        <w:rPr>
          <w:bdr w:val="none" w:sz="0" w:space="0" w:color="auto" w:frame="1"/>
          <w:shd w:val="clear" w:color="auto" w:fill="FFFFFF"/>
        </w:rPr>
        <w:t xml:space="preserve"> for the Stanford Daily to prevail</w:t>
      </w:r>
      <w:r w:rsidR="00A66CB2">
        <w:rPr>
          <w:bdr w:val="none" w:sz="0" w:space="0" w:color="auto" w:frame="1"/>
          <w:shd w:val="clear" w:color="auto" w:fill="FFFFFF"/>
        </w:rPr>
        <w:t>.</w:t>
      </w:r>
      <w:r w:rsidR="00A66CB2">
        <w:rPr>
          <w:rStyle w:val="FootnoteReference"/>
          <w:bdr w:val="none" w:sz="0" w:space="0" w:color="auto" w:frame="1"/>
          <w:shd w:val="clear" w:color="auto" w:fill="FFFFFF"/>
        </w:rPr>
        <w:footnoteReference w:id="94"/>
      </w:r>
    </w:p>
    <w:p w14:paraId="28AE20D4" w14:textId="6B64AF9C" w:rsidR="002A051A" w:rsidRDefault="00410372" w:rsidP="002A051A">
      <w:pPr>
        <w:pStyle w:val="BodyText"/>
      </w:pPr>
      <w:r w:rsidRPr="00410372">
        <w:rPr>
          <w:b/>
          <w:bCs/>
          <w:i/>
          <w:iCs/>
        </w:rPr>
        <w:lastRenderedPageBreak/>
        <w:t>From liability for defamation.</w:t>
      </w:r>
      <w:r>
        <w:t xml:space="preserve">  </w:t>
      </w:r>
      <w:r w:rsidR="00B51249">
        <w:t xml:space="preserve">The final category of additional protections for the press </w:t>
      </w:r>
      <w:r w:rsidR="002A051A">
        <w:t xml:space="preserve">consists of the heightened protections the press generally enjoys from liability for defamation and related torts (e.g., “false light” and “public disclosure of private facts”).  Although the press is the primary beneficiary of this </w:t>
      </w:r>
      <w:proofErr w:type="gramStart"/>
      <w:r w:rsidR="002A051A">
        <w:t>protection</w:t>
      </w:r>
      <w:r w:rsidR="0070306E">
        <w:t>—</w:t>
      </w:r>
      <w:proofErr w:type="gramEnd"/>
      <w:r w:rsidR="0070306E">
        <w:t xml:space="preserve">it has both the power to defame at scale and the deep pockets necessary to make a lawsuit worth </w:t>
      </w:r>
      <w:proofErr w:type="gramStart"/>
      <w:r w:rsidR="0070306E">
        <w:t>prosecuting—</w:t>
      </w:r>
      <w:proofErr w:type="gramEnd"/>
      <w:r w:rsidR="00781249">
        <w:t xml:space="preserve">the rule is not framed in terms of the identity of the defendant.  Rather, </w:t>
      </w:r>
      <w:r w:rsidR="002A051A">
        <w:t xml:space="preserve">the seminal case, </w:t>
      </w:r>
      <w:r w:rsidR="002A051A" w:rsidRPr="00ED7CA4">
        <w:rPr>
          <w:i/>
          <w:iCs/>
        </w:rPr>
        <w:t>New York Times</w:t>
      </w:r>
      <w:r w:rsidR="002A051A">
        <w:rPr>
          <w:i/>
          <w:iCs/>
        </w:rPr>
        <w:t xml:space="preserve"> Co.</w:t>
      </w:r>
      <w:r w:rsidR="002A051A" w:rsidRPr="00ED7CA4">
        <w:rPr>
          <w:i/>
          <w:iCs/>
        </w:rPr>
        <w:t xml:space="preserve"> v. Sullivan</w:t>
      </w:r>
      <w:r w:rsidR="002A051A">
        <w:t>,</w:t>
      </w:r>
      <w:r w:rsidR="002A051A">
        <w:rPr>
          <w:rStyle w:val="FootnoteReference"/>
        </w:rPr>
        <w:footnoteReference w:id="95"/>
      </w:r>
      <w:r w:rsidR="002A051A">
        <w:t xml:space="preserve"> </w:t>
      </w:r>
      <w:r w:rsidR="00781249">
        <w:t>tethered</w:t>
      </w:r>
      <w:r w:rsidR="002A051A">
        <w:t xml:space="preserve"> the applicability of its</w:t>
      </w:r>
      <w:r>
        <w:t xml:space="preserve"> heightened</w:t>
      </w:r>
      <w:r w:rsidR="002A051A">
        <w:t xml:space="preserve"> “actual malice” standard</w:t>
      </w:r>
      <w:r>
        <w:t xml:space="preserve"> (“</w:t>
      </w:r>
      <w:r w:rsidRPr="00E469D4">
        <w:t xml:space="preserve">with knowledge that </w:t>
      </w:r>
      <w:r>
        <w:t>[the statement]</w:t>
      </w:r>
      <w:r w:rsidRPr="00E469D4">
        <w:t xml:space="preserve"> was false or with reckless disregard of whether it was false or not</w:t>
      </w:r>
      <w:r>
        <w:t>”)</w:t>
      </w:r>
      <w:r w:rsidR="002A051A">
        <w:t xml:space="preserve"> </w:t>
      </w:r>
      <w:r w:rsidR="00781249">
        <w:t>to</w:t>
      </w:r>
      <w:r w:rsidR="002A051A">
        <w:t xml:space="preserve"> the </w:t>
      </w:r>
      <w:r w:rsidR="002A051A" w:rsidRPr="00792644">
        <w:rPr>
          <w:i/>
          <w:iCs/>
        </w:rPr>
        <w:t>plaintiff</w:t>
      </w:r>
      <w:r w:rsidR="002A051A" w:rsidRPr="007F7410">
        <w:t>’s</w:t>
      </w:r>
      <w:r w:rsidR="002A051A">
        <w:t xml:space="preserve"> identity</w:t>
      </w:r>
      <w:r w:rsidR="00781249">
        <w:t>—</w:t>
      </w:r>
      <w:r w:rsidR="002A051A">
        <w:t>initially, as a “public official</w:t>
      </w:r>
      <w:r>
        <w:t>.</w:t>
      </w:r>
      <w:r w:rsidR="002A051A">
        <w:t>”</w:t>
      </w:r>
      <w:r>
        <w:rPr>
          <w:rStyle w:val="FootnoteReference"/>
        </w:rPr>
        <w:footnoteReference w:id="96"/>
      </w:r>
    </w:p>
    <w:p w14:paraId="64496247" w14:textId="77777777" w:rsidR="00BF63C6" w:rsidRDefault="00BD0A3E" w:rsidP="0052228B">
      <w:pPr>
        <w:pStyle w:val="BodyText"/>
      </w:pPr>
      <w:r w:rsidRPr="00BD0A3E">
        <w:rPr>
          <w:i/>
          <w:iCs/>
        </w:rPr>
        <w:t>Sullivan</w:t>
      </w:r>
      <w:r>
        <w:t xml:space="preserve"> arose from a full-page advertorial in the New York Times that had been purchased by civil rights activists.</w:t>
      </w:r>
      <w:r>
        <w:rPr>
          <w:rStyle w:val="FootnoteReference"/>
        </w:rPr>
        <w:footnoteReference w:id="97"/>
      </w:r>
      <w:r>
        <w:t xml:space="preserve">  The ad, which described protests by Black students </w:t>
      </w:r>
      <w:r w:rsidR="00F752C4">
        <w:t xml:space="preserve">in the South </w:t>
      </w:r>
      <w:r>
        <w:t>and</w:t>
      </w:r>
      <w:r w:rsidR="00F752C4">
        <w:t xml:space="preserve"> the</w:t>
      </w:r>
      <w:r>
        <w:t xml:space="preserve"> “</w:t>
      </w:r>
      <w:r w:rsidRPr="007E37C5">
        <w:t>wave of terror</w:t>
      </w:r>
      <w:r w:rsidR="00F752C4">
        <w:t xml:space="preserve">” perpetrated by the officials who opposed them, </w:t>
      </w:r>
      <w:r>
        <w:t xml:space="preserve">contained </w:t>
      </w:r>
      <w:r w:rsidR="00F752C4">
        <w:t>several</w:t>
      </w:r>
      <w:r>
        <w:t xml:space="preserve"> factual inaccuracies </w:t>
      </w:r>
      <w:r w:rsidR="00F752C4">
        <w:t>that varied in seriousness</w:t>
      </w:r>
      <w:r>
        <w:t>.</w:t>
      </w:r>
      <w:r>
        <w:rPr>
          <w:rStyle w:val="FootnoteReference"/>
        </w:rPr>
        <w:footnoteReference w:id="98"/>
      </w:r>
      <w:r>
        <w:t xml:space="preserve">  </w:t>
      </w:r>
      <w:r w:rsidR="00F752C4">
        <w:t>Montgomery, Alabama Commissioner L. B. Sullivan, who was in charge of the city’s police department, claimed the ad had defamed him.</w:t>
      </w:r>
      <w:r w:rsidR="00F752C4">
        <w:rPr>
          <w:rStyle w:val="FootnoteReference"/>
        </w:rPr>
        <w:footnoteReference w:id="99"/>
      </w:r>
      <w:r w:rsidR="00F752C4">
        <w:t xml:space="preserve">  A jury awarded Sullivan $500,000</w:t>
      </w:r>
      <w:r w:rsidR="001617D0">
        <w:t>—approximately $5</w:t>
      </w:r>
      <w:r w:rsidR="00CE2771">
        <w:t>.4M</w:t>
      </w:r>
      <w:r w:rsidR="001617D0">
        <w:t xml:space="preserve"> today—</w:t>
      </w:r>
      <w:r w:rsidR="00F752C4">
        <w:t>and the Alabama Supreme Court upheld the verdict.</w:t>
      </w:r>
      <w:r w:rsidR="00F752C4">
        <w:rPr>
          <w:rStyle w:val="FootnoteReference"/>
        </w:rPr>
        <w:footnoteReference w:id="100"/>
      </w:r>
    </w:p>
    <w:p w14:paraId="3CDE3631" w14:textId="31FB5E04" w:rsidR="009151C4" w:rsidRDefault="00CE2771" w:rsidP="0052228B">
      <w:pPr>
        <w:pStyle w:val="BodyText"/>
      </w:pPr>
      <w:r>
        <w:lastRenderedPageBreak/>
        <w:t>And this was just one of a raft of cases brought by southern officials in an impact-litigation campaign designed “to curtail media coverage of the civil rights struggle.”</w:t>
      </w:r>
      <w:bookmarkStart w:id="18" w:name="_Ref212935627"/>
      <w:r>
        <w:rPr>
          <w:rStyle w:val="FootnoteReference"/>
        </w:rPr>
        <w:footnoteReference w:id="101"/>
      </w:r>
      <w:bookmarkEnd w:id="18"/>
      <w:r w:rsidR="009151C4">
        <w:t xml:space="preserve">  This threat was real.  The press faced $300 million in total exposure—approximately $3 billion today.</w:t>
      </w:r>
      <w:r w:rsidR="009151C4">
        <w:rPr>
          <w:rStyle w:val="FootnoteReference"/>
        </w:rPr>
        <w:footnoteReference w:id="102"/>
      </w:r>
      <w:r w:rsidR="009151C4">
        <w:t xml:space="preserve">  And the plaintiff officials were winning; even before </w:t>
      </w:r>
      <w:r w:rsidR="009151C4" w:rsidRPr="009151C4">
        <w:rPr>
          <w:i/>
          <w:iCs/>
        </w:rPr>
        <w:t>Sullivan</w:t>
      </w:r>
      <w:r w:rsidR="009151C4">
        <w:t xml:space="preserve">, another plaintiff had already been awarded the full </w:t>
      </w:r>
      <w:proofErr w:type="gramStart"/>
      <w:r w:rsidR="009151C4">
        <w:t>amount</w:t>
      </w:r>
      <w:proofErr w:type="gramEnd"/>
      <w:r w:rsidR="009151C4">
        <w:t xml:space="preserve"> of damages he sought.</w:t>
      </w:r>
      <w:r w:rsidR="009151C4">
        <w:rPr>
          <w:rStyle w:val="FootnoteReference"/>
        </w:rPr>
        <w:footnoteReference w:id="103"/>
      </w:r>
      <w:r w:rsidR="00BF63C6">
        <w:t xml:space="preserve">  </w:t>
      </w:r>
      <w:r w:rsidR="009151C4">
        <w:t xml:space="preserve">The U.S. Supreme Court was aware of the potentially existential threat to the media.  Justice Hugo Black, for example, mentioned in his concurrence eleven other </w:t>
      </w:r>
      <w:r w:rsidR="00BF63C6">
        <w:t xml:space="preserve">pending </w:t>
      </w:r>
      <w:r w:rsidR="009151C4">
        <w:t xml:space="preserve">suits against the </w:t>
      </w:r>
      <w:r w:rsidR="009151C4" w:rsidRPr="009151C4">
        <w:t>Times</w:t>
      </w:r>
      <w:r w:rsidR="009151C4">
        <w:t xml:space="preserve"> (totaling $5.6</w:t>
      </w:r>
      <w:r w:rsidR="00BF63C6">
        <w:t>M)</w:t>
      </w:r>
      <w:r w:rsidR="009151C4">
        <w:t xml:space="preserve"> and five against CBS </w:t>
      </w:r>
      <w:r w:rsidR="00BF63C6">
        <w:t xml:space="preserve">(totaling </w:t>
      </w:r>
      <w:r w:rsidR="009151C4">
        <w:t>$1.7</w:t>
      </w:r>
      <w:r w:rsidR="00BF63C6">
        <w:t>M)</w:t>
      </w:r>
      <w:r w:rsidR="009151C4">
        <w:t>.</w:t>
      </w:r>
      <w:r w:rsidR="009151C4">
        <w:rPr>
          <w:rStyle w:val="FootnoteReference"/>
        </w:rPr>
        <w:footnoteReference w:id="104"/>
      </w:r>
      <w:r w:rsidR="00BF63C6">
        <w:t xml:space="preserve">  The financial stakes were also discussed behind the scenes.  The journalist and legal scholar Anthony Lewis reported in </w:t>
      </w:r>
      <w:r w:rsidR="00BF63C6" w:rsidRPr="00BF63C6">
        <w:rPr>
          <w:i/>
          <w:iCs/>
        </w:rPr>
        <w:t>Make No Law</w:t>
      </w:r>
      <w:r w:rsidR="00BF63C6">
        <w:t xml:space="preserve">, his book about </w:t>
      </w:r>
      <w:r w:rsidR="00BF63C6" w:rsidRPr="00BF63C6">
        <w:rPr>
          <w:i/>
          <w:iCs/>
        </w:rPr>
        <w:t>Sullivan</w:t>
      </w:r>
      <w:r w:rsidR="00BF63C6">
        <w:t xml:space="preserve">, that Justice </w:t>
      </w:r>
      <w:r w:rsidR="00BB143F">
        <w:t xml:space="preserve">William </w:t>
      </w:r>
      <w:r w:rsidR="00BF63C6">
        <w:t>Brennan</w:t>
      </w:r>
      <w:r w:rsidR="00BB143F">
        <w:t>, the author of the majority opinion,</w:t>
      </w:r>
      <w:r w:rsidR="00BF63C6">
        <w:t xml:space="preserve"> reminded his colleagues that “there [we]re a number of other libel suits pending in Montgomery and in Birmingham and those concerned should know what to expect in the way of judicial superintendence from this Court.”</w:t>
      </w:r>
      <w:r w:rsidR="00BF63C6">
        <w:rPr>
          <w:rStyle w:val="FootnoteReference"/>
        </w:rPr>
        <w:footnoteReference w:id="105"/>
      </w:r>
    </w:p>
    <w:p w14:paraId="3AFC7432" w14:textId="149CEA1A" w:rsidR="001D0725" w:rsidRDefault="00BF63C6" w:rsidP="00CB2B3A">
      <w:pPr>
        <w:pStyle w:val="BodyText"/>
      </w:pPr>
      <w:r>
        <w:t xml:space="preserve">If the Court’s “dominant concern . . . was to prevent recovery” in these suits, </w:t>
      </w:r>
      <w:r w:rsidR="00217CF4">
        <w:t>then-Professor Elena</w:t>
      </w:r>
      <w:r w:rsidRPr="00596F71">
        <w:t xml:space="preserve"> Kagan </w:t>
      </w:r>
      <w:r w:rsidR="00217CF4">
        <w:t>posited</w:t>
      </w:r>
      <w:r w:rsidRPr="00596F71">
        <w:t xml:space="preserve"> in a 1993 review of Lewis’s book, “</w:t>
      </w:r>
      <w:r>
        <w:t>the actual malice standard may have appeared by far the best approach.”</w:t>
      </w:r>
      <w:r>
        <w:rPr>
          <w:rStyle w:val="FootnoteReference"/>
        </w:rPr>
        <w:footnoteReference w:id="106"/>
      </w:r>
      <w:r w:rsidR="00217CF4">
        <w:t xml:space="preserve">  Indeed, the </w:t>
      </w:r>
      <w:r w:rsidR="00217CF4">
        <w:lastRenderedPageBreak/>
        <w:t xml:space="preserve">origins of actual malice remain “[o]ne of the great puzzles of </w:t>
      </w:r>
      <w:r w:rsidR="00217CF4" w:rsidRPr="00F44523">
        <w:rPr>
          <w:i/>
          <w:iCs/>
        </w:rPr>
        <w:t>Sullivan</w:t>
      </w:r>
      <w:r w:rsidR="00217CF4">
        <w:t>.”</w:t>
      </w:r>
      <w:bookmarkStart w:id="19" w:name="_Ref159189850"/>
      <w:r w:rsidR="00217CF4">
        <w:rPr>
          <w:rStyle w:val="FootnoteReference"/>
        </w:rPr>
        <w:footnoteReference w:id="107"/>
      </w:r>
      <w:bookmarkEnd w:id="19"/>
      <w:r w:rsidR="00772853">
        <w:t xml:space="preserve">  It was not </w:t>
      </w:r>
      <w:r w:rsidR="001D0725">
        <w:t>discussed in any depth</w:t>
      </w:r>
      <w:r w:rsidR="00772853">
        <w:t xml:space="preserve"> at conference or </w:t>
      </w:r>
      <w:r w:rsidR="001D0725">
        <w:t xml:space="preserve">mentioned </w:t>
      </w:r>
      <w:r w:rsidR="00772853">
        <w:t>at oral argument.</w:t>
      </w:r>
      <w:bookmarkStart w:id="20" w:name="_Ref212936251"/>
      <w:r w:rsidR="001D0725">
        <w:rPr>
          <w:rStyle w:val="FootnoteReference"/>
        </w:rPr>
        <w:footnoteReference w:id="108"/>
      </w:r>
      <w:bookmarkEnd w:id="20"/>
      <w:r w:rsidR="001D0725">
        <w:t xml:space="preserve">  It was barely even briefed.</w:t>
      </w:r>
      <w:r w:rsidR="001D0725">
        <w:rPr>
          <w:rStyle w:val="FootnoteReference"/>
        </w:rPr>
        <w:footnoteReference w:id="109"/>
      </w:r>
      <w:r w:rsidR="001D0725">
        <w:t xml:space="preserve">  In the opinion, Justice Brennan cited for the </w:t>
      </w:r>
      <w:r w:rsidR="00BB143F">
        <w:t>new constitutional rule the obscure 1908 “</w:t>
      </w:r>
      <w:r w:rsidR="00BB143F" w:rsidRPr="00645E91">
        <w:t xml:space="preserve">Kansas case of </w:t>
      </w:r>
      <w:r w:rsidR="00BB143F" w:rsidRPr="00645E91">
        <w:rPr>
          <w:i/>
          <w:iCs/>
        </w:rPr>
        <w:t>Coleman v. MacLennan</w:t>
      </w:r>
      <w:r w:rsidR="00BB143F" w:rsidRPr="00645E91">
        <w:t>,</w:t>
      </w:r>
      <w:r w:rsidR="00BB143F">
        <w:t>” which he claimed had “</w:t>
      </w:r>
      <w:r w:rsidR="00BB143F" w:rsidRPr="00645E91">
        <w:t>been adopted by a number of state courts</w:t>
      </w:r>
      <w:r w:rsidR="00BB143F">
        <w:t>.”</w:t>
      </w:r>
      <w:r w:rsidR="00BB143F">
        <w:rPr>
          <w:rStyle w:val="FootnoteReference"/>
        </w:rPr>
        <w:footnoteReference w:id="110"/>
      </w:r>
      <w:r w:rsidR="00BB143F">
        <w:t xml:space="preserve">  This was a generous characterization of the actual total: eight.</w:t>
      </w:r>
      <w:r w:rsidR="00BB143F">
        <w:rPr>
          <w:rStyle w:val="FootnoteReference"/>
        </w:rPr>
        <w:footnoteReference w:id="111"/>
      </w:r>
      <w:r w:rsidR="00546DFC">
        <w:t xml:space="preserve">  Justice Black’s note to Justice Brennan approving the draft opinion hints at the real motivation behind the actual malice standard: “Most inventions even of legal principles, come out of urgent needs.”</w:t>
      </w:r>
      <w:r w:rsidR="00546DFC">
        <w:rPr>
          <w:rStyle w:val="FootnoteReference"/>
        </w:rPr>
        <w:footnoteReference w:id="112"/>
      </w:r>
    </w:p>
    <w:p w14:paraId="02C1CA6D" w14:textId="13CE9F8A" w:rsidR="00B5306B" w:rsidRDefault="00546DFC" w:rsidP="00CB2B3A">
      <w:pPr>
        <w:pStyle w:val="BodyText"/>
      </w:pPr>
      <w:r>
        <w:t>Justice Black</w:t>
      </w:r>
      <w:r w:rsidR="00B61AB0">
        <w:t>’s</w:t>
      </w:r>
      <w:r>
        <w:t xml:space="preserve"> </w:t>
      </w:r>
      <w:r w:rsidR="00B61AB0">
        <w:t>concurrence supplies the missing piece of this puzzle.  The “urgent need” most likely referred to the use of libel suits to “</w:t>
      </w:r>
      <w:r w:rsidR="00B61AB0" w:rsidRPr="000A54FB">
        <w:t>threaten the very existence of an American press virile eno</w:t>
      </w:r>
      <w:r w:rsidR="00B61AB0">
        <w:t>ugh to publish unpopular views on public affairs and bold enough to criticize the conduct of public officials.”</w:t>
      </w:r>
      <w:r w:rsidR="00B61AB0">
        <w:rPr>
          <w:rStyle w:val="FootnoteReference"/>
        </w:rPr>
        <w:footnoteReference w:id="113"/>
      </w:r>
      <w:r w:rsidR="00B61AB0">
        <w:t xml:space="preserve">  Actual malice was a “[s]topgap measure[]” against this “deadly danger to the press.”</w:t>
      </w:r>
      <w:r w:rsidR="00B61AB0">
        <w:rPr>
          <w:rStyle w:val="FootnoteReference"/>
        </w:rPr>
        <w:footnoteReference w:id="114"/>
      </w:r>
      <w:r w:rsidR="00B61AB0">
        <w:t xml:space="preserve">  Justice </w:t>
      </w:r>
      <w:r w:rsidR="00B61AB0">
        <w:lastRenderedPageBreak/>
        <w:t xml:space="preserve">White, who joined the </w:t>
      </w:r>
      <w:r w:rsidR="00B61AB0" w:rsidRPr="006A5C02">
        <w:rPr>
          <w:i/>
          <w:iCs/>
        </w:rPr>
        <w:t>Sullivan</w:t>
      </w:r>
      <w:r w:rsidR="00B61AB0">
        <w:t xml:space="preserve"> majority somewhat reluctantly, explained his thought process in a later case.  “I</w:t>
      </w:r>
      <w:r w:rsidR="00B61AB0" w:rsidRPr="00BF363C">
        <w:t>f the press could be faced with possibly sizable damages for every mistaken publication injurious to reputation,</w:t>
      </w:r>
      <w:r w:rsidR="00B61AB0">
        <w:t>” he recalled,</w:t>
      </w:r>
      <w:r w:rsidR="00B61AB0" w:rsidRPr="00BF363C">
        <w:t xml:space="preserve"> </w:t>
      </w:r>
      <w:r w:rsidR="00B61AB0">
        <w:t>“</w:t>
      </w:r>
      <w:r w:rsidR="00B61AB0" w:rsidRPr="00BF363C">
        <w:t>the result would be an unacceptable degree of self-censorship</w:t>
      </w:r>
      <w:r w:rsidR="00B61AB0">
        <w:t>.”</w:t>
      </w:r>
      <w:r w:rsidR="00B61AB0">
        <w:rPr>
          <w:rStyle w:val="FootnoteReference"/>
        </w:rPr>
        <w:footnoteReference w:id="115"/>
      </w:r>
      <w:r w:rsidR="00B61AB0" w:rsidRPr="00BF363C">
        <w:t xml:space="preserve"> </w:t>
      </w:r>
      <w:r w:rsidR="00B61AB0">
        <w:t xml:space="preserve"> “</w:t>
      </w:r>
      <w:r w:rsidR="00B61AB0" w:rsidRPr="00BF363C">
        <w:t>The press must therefore be privileged to spread false information</w:t>
      </w:r>
      <w:r w:rsidR="00B61AB0">
        <w:t xml:space="preserve"> . . .</w:t>
      </w:r>
      <w:r w:rsidR="00B61AB0" w:rsidRPr="00BF363C">
        <w:t xml:space="preserve"> in order to encourage the full flow of the truth, which otherwise might be withheld.</w:t>
      </w:r>
      <w:r w:rsidR="00B61AB0">
        <w:t>”</w:t>
      </w:r>
      <w:r w:rsidR="00B61AB0">
        <w:rPr>
          <w:rStyle w:val="FootnoteReference"/>
        </w:rPr>
        <w:footnoteReference w:id="116"/>
      </w:r>
    </w:p>
    <w:p w14:paraId="3869307D" w14:textId="693E5079" w:rsidR="00B5306B" w:rsidRDefault="00A46780" w:rsidP="00CB2B3A">
      <w:pPr>
        <w:pStyle w:val="BodyText"/>
      </w:pPr>
      <w:r>
        <w:t xml:space="preserve">To protect the press, then, the Court imposed a heightened standard for defamation that later got even higher, was bolstered by procedural protections, and expanded beyond defamation to other types of torts.  </w:t>
      </w:r>
      <w:r w:rsidR="007A42BB">
        <w:t xml:space="preserve">Importantly, though, the majority opinion </w:t>
      </w:r>
      <w:r w:rsidR="00B75D69">
        <w:t>neither acknowledged that it was</w:t>
      </w:r>
      <w:r w:rsidR="00DF75ED">
        <w:t xml:space="preserve"> </w:t>
      </w:r>
      <w:r w:rsidR="007A42BB">
        <w:t>protecting the press</w:t>
      </w:r>
      <w:r w:rsidR="00B75D69">
        <w:t xml:space="preserve"> nor conditioned the actual malice standard </w:t>
      </w:r>
      <w:r w:rsidR="00DF75ED">
        <w:t>on the identity of the defendant as press.  Again, this time in the defamation context, the Court effectively granted special rights to press litigants without saying it was doing so.</w:t>
      </w:r>
    </w:p>
    <w:p w14:paraId="67416A9A" w14:textId="050E1DB3" w:rsidR="00B5306B" w:rsidRDefault="00C661E6" w:rsidP="00B5306B">
      <w:pPr>
        <w:pStyle w:val="Heading2"/>
      </w:pPr>
      <w:bookmarkStart w:id="21" w:name="_Toc213017909"/>
      <w:r>
        <w:t>Not acknowledging press rights has consequences</w:t>
      </w:r>
      <w:bookmarkEnd w:id="21"/>
    </w:p>
    <w:p w14:paraId="27A11681" w14:textId="14A521C4" w:rsidR="00B5306B" w:rsidRDefault="00DF75ED" w:rsidP="00CB2B3A">
      <w:pPr>
        <w:pStyle w:val="BodyText"/>
      </w:pPr>
      <w:r>
        <w:t xml:space="preserve">The Court’s staunch refusal to acknowledge that the press </w:t>
      </w:r>
      <w:r w:rsidR="002260B6">
        <w:t>gets special rights—</w:t>
      </w:r>
      <w:r w:rsidR="00A316AC">
        <w:t>even as it</w:t>
      </w:r>
      <w:r w:rsidR="002260B6">
        <w:t xml:space="preserve"> functionally award</w:t>
      </w:r>
      <w:r w:rsidR="00A316AC">
        <w:t>s</w:t>
      </w:r>
      <w:r w:rsidR="002260B6">
        <w:t xml:space="preserve"> them in </w:t>
      </w:r>
      <w:proofErr w:type="gramStart"/>
      <w:r w:rsidR="002260B6">
        <w:t>all of</w:t>
      </w:r>
      <w:proofErr w:type="gramEnd"/>
      <w:r w:rsidR="002260B6">
        <w:t xml:space="preserve"> these areas—is not benign.</w:t>
      </w:r>
      <w:r w:rsidR="00772093">
        <w:t xml:space="preserve">  It has done serious harm to the Court’s press jurisprudence</w:t>
      </w:r>
      <w:r w:rsidR="00A316AC">
        <w:t>, in the form of</w:t>
      </w:r>
      <w:r w:rsidR="00772093">
        <w:t xml:space="preserve"> (1) doctrinal inconsistency and incoherence, and (2) </w:t>
      </w:r>
      <w:r w:rsidR="00A316AC">
        <w:t>the near-total negation of the Press Clause.</w:t>
      </w:r>
    </w:p>
    <w:p w14:paraId="1E0D17B3" w14:textId="425D8103" w:rsidR="00A316AC" w:rsidRPr="00A316AC" w:rsidRDefault="00A316AC" w:rsidP="00A316AC">
      <w:pPr>
        <w:pStyle w:val="Heading3"/>
      </w:pPr>
      <w:bookmarkStart w:id="22" w:name="_Ref212984648"/>
      <w:bookmarkStart w:id="23" w:name="_Toc213017910"/>
      <w:r w:rsidRPr="00A316AC">
        <w:lastRenderedPageBreak/>
        <w:t>The doctrine has warped to reconcile what the Court says with what it does</w:t>
      </w:r>
      <w:bookmarkEnd w:id="22"/>
      <w:bookmarkEnd w:id="23"/>
    </w:p>
    <w:p w14:paraId="49940E93" w14:textId="30393EEA" w:rsidR="00B75D69" w:rsidRDefault="00CB74F5" w:rsidP="00B75D69">
      <w:pPr>
        <w:pStyle w:val="BodyText"/>
      </w:pPr>
      <w:r>
        <w:t xml:space="preserve">First, when what the Court says is at odds with what it does, the doctrine can become warped </w:t>
      </w:r>
      <w:proofErr w:type="gramStart"/>
      <w:r>
        <w:t>in an attempt to</w:t>
      </w:r>
      <w:proofErr w:type="gramEnd"/>
      <w:r>
        <w:t xml:space="preserve"> reconcile the two.  </w:t>
      </w:r>
      <w:r w:rsidRPr="00CB74F5">
        <w:rPr>
          <w:i/>
          <w:iCs/>
        </w:rPr>
        <w:t>Sullivan</w:t>
      </w:r>
      <w:r>
        <w:t>’s progeny is the best example</w:t>
      </w:r>
      <w:r w:rsidR="00B75D69">
        <w:t xml:space="preserve"> of this</w:t>
      </w:r>
      <w:r>
        <w:t xml:space="preserve">.  All evidence points to the need to protect the press as the Court’s rationale for adopting the actual malice standard.  </w:t>
      </w:r>
      <w:r w:rsidR="00C97427">
        <w:t xml:space="preserve">Had the Court simply said </w:t>
      </w:r>
      <w:proofErr w:type="gramStart"/>
      <w:r w:rsidR="00C97427">
        <w:t>this, and</w:t>
      </w:r>
      <w:proofErr w:type="gramEnd"/>
      <w:r w:rsidR="00C97427">
        <w:t xml:space="preserve"> linked the applicability of the standard to the defendant’s status as press, it would have been on solid legal ground.  After all, the Press Clause supplie</w:t>
      </w:r>
      <w:r w:rsidR="00DA0944">
        <w:t>d</w:t>
      </w:r>
      <w:r w:rsidR="00C97427">
        <w:t xml:space="preserve"> a solid textual hook for a heightened standard, and the policy </w:t>
      </w:r>
      <w:r w:rsidR="00DA0944">
        <w:t>concerns</w:t>
      </w:r>
      <w:r w:rsidR="00C97427">
        <w:t xml:space="preserve"> Justice Black articulated in his concurrence </w:t>
      </w:r>
      <w:r w:rsidR="00DA0944">
        <w:t>were valid</w:t>
      </w:r>
      <w:r w:rsidR="00C97427">
        <w:t>.</w:t>
      </w:r>
      <w:r w:rsidR="00B75D69">
        <w:t xml:space="preserve">  The Court could have stated its goal </w:t>
      </w:r>
      <w:proofErr w:type="gramStart"/>
      <w:r w:rsidR="00B75D69">
        <w:t>expressly, and</w:t>
      </w:r>
      <w:proofErr w:type="gramEnd"/>
      <w:r w:rsidR="00B75D69">
        <w:t xml:space="preserve"> made actual malice contingent on</w:t>
      </w:r>
      <w:r>
        <w:t xml:space="preserve"> the identity of the defendant as press</w:t>
      </w:r>
      <w:r w:rsidR="00B75D69">
        <w:t>.</w:t>
      </w:r>
      <w:r>
        <w:t xml:space="preserve"> </w:t>
      </w:r>
    </w:p>
    <w:p w14:paraId="0F3C0A20" w14:textId="701AD089" w:rsidR="00CB74F5" w:rsidRDefault="00B75D69" w:rsidP="00CB74F5">
      <w:pPr>
        <w:pStyle w:val="BodyText"/>
      </w:pPr>
      <w:r>
        <w:t xml:space="preserve">But instead, the Court chose to </w:t>
      </w:r>
      <w:proofErr w:type="gramStart"/>
      <w:r>
        <w:t xml:space="preserve">link </w:t>
      </w:r>
      <w:r w:rsidR="00CB74F5">
        <w:t xml:space="preserve"> the</w:t>
      </w:r>
      <w:proofErr w:type="gramEnd"/>
      <w:r w:rsidR="00CB74F5">
        <w:t xml:space="preserve"> heightened standard to whether the </w:t>
      </w:r>
      <w:r w:rsidR="00CB74F5" w:rsidRPr="00792644">
        <w:rPr>
          <w:i/>
          <w:iCs/>
        </w:rPr>
        <w:t>plaintiff</w:t>
      </w:r>
      <w:r w:rsidR="00CB74F5">
        <w:t xml:space="preserve"> </w:t>
      </w:r>
      <w:r>
        <w:t>was</w:t>
      </w:r>
      <w:r w:rsidR="00CB74F5">
        <w:t xml:space="preserve"> a “public official.”</w:t>
      </w:r>
      <w:r w:rsidR="00DA0944">
        <w:rPr>
          <w:rStyle w:val="FootnoteReference"/>
        </w:rPr>
        <w:footnoteReference w:id="117"/>
      </w:r>
      <w:r w:rsidR="00CB74F5">
        <w:t xml:space="preserve">  </w:t>
      </w:r>
      <w:r>
        <w:t xml:space="preserve">And </w:t>
      </w:r>
      <w:r w:rsidR="00DA0944">
        <w:t>this criterion, which was rooted in a seditious-libel rationale</w:t>
      </w:r>
      <w:r w:rsidR="00DA0944">
        <w:rPr>
          <w:rStyle w:val="FootnoteReference"/>
        </w:rPr>
        <w:footnoteReference w:id="118"/>
      </w:r>
      <w:r w:rsidR="00DA0944">
        <w:t xml:space="preserve">, has turned out to be an imperfect proxy for the press protections the Court was really trying to impose.  As a result, the plaintiff-centric doctrine has had to expand outward in fits and starts to fill the gaps in </w:t>
      </w:r>
      <w:r w:rsidR="008F30DC">
        <w:t>a</w:t>
      </w:r>
      <w:r w:rsidR="00DA0944">
        <w:t xml:space="preserve"> protective shield</w:t>
      </w:r>
      <w:r w:rsidR="008F30DC">
        <w:t xml:space="preserve"> that was intended for press </w:t>
      </w:r>
      <w:r w:rsidR="008F30DC" w:rsidRPr="008F30DC">
        <w:rPr>
          <w:i/>
          <w:iCs/>
        </w:rPr>
        <w:t>defendants</w:t>
      </w:r>
      <w:r w:rsidR="00DA0944">
        <w:t>.</w:t>
      </w:r>
      <w:r w:rsidR="00A85165">
        <w:t xml:space="preserve">  </w:t>
      </w:r>
      <w:r w:rsidR="008F30DC">
        <w:t>Not surprisingly, t</w:t>
      </w:r>
      <w:r w:rsidR="00CB74F5">
        <w:t xml:space="preserve">he law </w:t>
      </w:r>
      <w:r w:rsidR="00A85165">
        <w:t>in this area quickly went off the rails.</w:t>
      </w:r>
    </w:p>
    <w:p w14:paraId="4297DBC4" w14:textId="09F3AA52" w:rsidR="00C53026" w:rsidRDefault="008F30DC" w:rsidP="00CB74F5">
      <w:pPr>
        <w:pStyle w:val="BodyText"/>
      </w:pPr>
      <w:r>
        <w:lastRenderedPageBreak/>
        <w:t xml:space="preserve">According to the legal historians </w:t>
      </w:r>
      <w:r w:rsidR="00A85165">
        <w:t xml:space="preserve">Kermit </w:t>
      </w:r>
      <w:r>
        <w:t>Hall and Melvin Urofsky</w:t>
      </w:r>
      <w:r w:rsidR="00CB74F5">
        <w:t>, “[p]roblems inhered in the [</w:t>
      </w:r>
      <w:r w:rsidR="00CB74F5" w:rsidRPr="00D370E7">
        <w:rPr>
          <w:i/>
          <w:iCs/>
        </w:rPr>
        <w:t>Sullivan</w:t>
      </w:r>
      <w:r w:rsidR="00CB74F5">
        <w:t>] opinion from the start.”</w:t>
      </w:r>
      <w:bookmarkStart w:id="24" w:name="_Ref159253641"/>
      <w:r w:rsidR="00CB74F5">
        <w:rPr>
          <w:rStyle w:val="FootnoteReference"/>
        </w:rPr>
        <w:footnoteReference w:id="119"/>
      </w:r>
      <w:bookmarkEnd w:id="24"/>
      <w:r w:rsidR="00CB74F5">
        <w:t xml:space="preserve">  </w:t>
      </w:r>
      <w:r>
        <w:t>T</w:t>
      </w:r>
      <w:r w:rsidR="00CB74F5">
        <w:t>he Court</w:t>
      </w:r>
      <w:r>
        <w:t xml:space="preserve"> struggled</w:t>
      </w:r>
      <w:r w:rsidR="00CB74F5">
        <w:t xml:space="preserve"> “to fit the square pegs of many defamation cases into the round holes of </w:t>
      </w:r>
      <w:r w:rsidR="00CB74F5" w:rsidRPr="00C53940">
        <w:rPr>
          <w:i/>
          <w:iCs/>
        </w:rPr>
        <w:t>Sullivan</w:t>
      </w:r>
      <w:r w:rsidR="00CB74F5">
        <w:t>”</w:t>
      </w:r>
      <w:bookmarkStart w:id="25" w:name="_Ref212849232"/>
      <w:r>
        <w:t>—for the future Justice Kagan, a “troubling” trend.</w:t>
      </w:r>
      <w:r w:rsidR="00CB74F5">
        <w:rPr>
          <w:rStyle w:val="FootnoteReference"/>
        </w:rPr>
        <w:footnoteReference w:id="120"/>
      </w:r>
      <w:bookmarkEnd w:id="25"/>
      <w:r w:rsidR="00C53026">
        <w:t xml:space="preserve">  </w:t>
      </w:r>
      <w:r w:rsidR="00CB74F5">
        <w:t xml:space="preserve">In </w:t>
      </w:r>
      <w:r w:rsidR="00CB74F5" w:rsidRPr="00EC79D9">
        <w:rPr>
          <w:i/>
          <w:iCs/>
        </w:rPr>
        <w:t>Curtis Publishing Co. v. Butts</w:t>
      </w:r>
      <w:r w:rsidR="00CB74F5">
        <w:t>, for example</w:t>
      </w:r>
      <w:r w:rsidR="00C53026">
        <w:t xml:space="preserve">—the Court’s first opportunity to apply </w:t>
      </w:r>
      <w:r w:rsidR="00C53026" w:rsidRPr="004826BA">
        <w:rPr>
          <w:i/>
          <w:iCs/>
        </w:rPr>
        <w:t>Sullivan</w:t>
      </w:r>
      <w:r w:rsidR="00C53026">
        <w:t>—it</w:t>
      </w:r>
      <w:r w:rsidR="00CB74F5">
        <w:t xml:space="preserve"> expanded </w:t>
      </w:r>
      <w:r w:rsidR="00C53026">
        <w:t>actual malice’s reach</w:t>
      </w:r>
      <w:r w:rsidR="00CB74F5">
        <w:t xml:space="preserve"> from public officials to </w:t>
      </w:r>
      <w:r w:rsidR="00C53026">
        <w:t xml:space="preserve">a broader class of </w:t>
      </w:r>
      <w:r w:rsidR="00CB74F5">
        <w:t>“public figures</w:t>
      </w:r>
      <w:r w:rsidR="00C53026">
        <w:t>.</w:t>
      </w:r>
      <w:r w:rsidR="00CB74F5">
        <w:t>”</w:t>
      </w:r>
      <w:r w:rsidR="00CB74F5">
        <w:rPr>
          <w:rStyle w:val="FootnoteReference"/>
        </w:rPr>
        <w:footnoteReference w:id="121"/>
      </w:r>
      <w:r w:rsidR="00CB74F5">
        <w:t xml:space="preserve">  </w:t>
      </w:r>
      <w:r w:rsidR="00C53026">
        <w:t>But it was unclear who, exactly, a public figure was.  And w</w:t>
      </w:r>
      <w:r w:rsidR="00CB74F5">
        <w:t xml:space="preserve">hether the </w:t>
      </w:r>
      <w:r w:rsidR="00C53026">
        <w:t>plaintiffs</w:t>
      </w:r>
      <w:r w:rsidR="00CB74F5">
        <w:t xml:space="preserve"> could recover for defamation</w:t>
      </w:r>
      <w:r w:rsidR="00C53026">
        <w:t xml:space="preserve"> ended up turning </w:t>
      </w:r>
      <w:r w:rsidR="00CB74F5">
        <w:t xml:space="preserve">not on </w:t>
      </w:r>
      <w:r w:rsidR="00C53026">
        <w:t xml:space="preserve">whether they were public figures, but about whether the </w:t>
      </w:r>
      <w:r w:rsidR="00CB74F5">
        <w:t xml:space="preserve">stories </w:t>
      </w:r>
      <w:r w:rsidR="00C53026">
        <w:t>at issue</w:t>
      </w:r>
      <w:r w:rsidR="00CB74F5">
        <w:t xml:space="preserve"> counted as “hot news.”</w:t>
      </w:r>
      <w:r w:rsidR="00CB74F5">
        <w:rPr>
          <w:rStyle w:val="FootnoteReference"/>
        </w:rPr>
        <w:footnoteReference w:id="122"/>
      </w:r>
    </w:p>
    <w:p w14:paraId="4BC291FA" w14:textId="1F716BE5" w:rsidR="00CB74F5" w:rsidRDefault="00C53026" w:rsidP="00CB74F5">
      <w:pPr>
        <w:pStyle w:val="BodyText"/>
      </w:pPr>
      <w:r>
        <w:t>T</w:t>
      </w:r>
      <w:r w:rsidR="00CB74F5">
        <w:t xml:space="preserve">he doctrine became </w:t>
      </w:r>
      <w:r w:rsidR="0021277B">
        <w:t xml:space="preserve">even </w:t>
      </w:r>
      <w:r w:rsidR="00CB74F5">
        <w:t>less coherent from there</w:t>
      </w:r>
      <w:r w:rsidR="00B31F0B">
        <w:t>,</w:t>
      </w:r>
      <w:r w:rsidR="0021277B">
        <w:t xml:space="preserve"> as more specific </w:t>
      </w:r>
      <w:r w:rsidR="00CB74F5">
        <w:t>categories</w:t>
      </w:r>
      <w:r w:rsidR="0021277B">
        <w:t xml:space="preserve">—for example, </w:t>
      </w:r>
      <w:r w:rsidR="00CB74F5">
        <w:t>“</w:t>
      </w:r>
      <w:r w:rsidR="00CB74F5" w:rsidRPr="001E622A">
        <w:t xml:space="preserve">those who have achieved </w:t>
      </w:r>
      <w:r w:rsidR="00CB74F5">
        <w:t>‘</w:t>
      </w:r>
      <w:r w:rsidR="00CB74F5" w:rsidRPr="001E622A">
        <w:t>pervasive fame or notoriety</w:t>
      </w:r>
      <w:r w:rsidR="00CB74F5">
        <w:t>’</w:t>
      </w:r>
      <w:r w:rsidR="00CB74F5" w:rsidRPr="001E622A">
        <w:t xml:space="preserve"> and </w:t>
      </w:r>
      <w:r w:rsidR="00CB74F5">
        <w:t>. . .</w:t>
      </w:r>
      <w:r w:rsidR="00CB74F5" w:rsidRPr="001E622A">
        <w:t xml:space="preserve"> </w:t>
      </w:r>
      <w:r w:rsidR="00CB74F5">
        <w:t>‘</w:t>
      </w:r>
      <w:r w:rsidR="00CB74F5" w:rsidRPr="001E622A">
        <w:t>limited</w:t>
      </w:r>
      <w:r w:rsidR="00CB74F5">
        <w:t>’</w:t>
      </w:r>
      <w:r w:rsidR="00CB74F5" w:rsidRPr="001E622A">
        <w:t xml:space="preserve"> public figures</w:t>
      </w:r>
      <w:r w:rsidR="00CB74F5">
        <w:t>”</w:t>
      </w:r>
      <w:r w:rsidR="0021277B">
        <w:t xml:space="preserve">—splintered off of the original public-official </w:t>
      </w:r>
      <w:r w:rsidR="004826BA">
        <w:t>rule</w:t>
      </w:r>
      <w:r w:rsidR="00B31F0B">
        <w:t xml:space="preserve"> in 1974’s </w:t>
      </w:r>
      <w:r w:rsidR="00B31F0B" w:rsidRPr="00B31F0B">
        <w:rPr>
          <w:i/>
          <w:iCs/>
        </w:rPr>
        <w:t>Gertz v. Robert Welch, Inc</w:t>
      </w:r>
      <w:r w:rsidR="0021277B">
        <w:t>.</w:t>
      </w:r>
      <w:r w:rsidR="00CB74F5">
        <w:rPr>
          <w:rStyle w:val="FootnoteReference"/>
        </w:rPr>
        <w:footnoteReference w:id="123"/>
      </w:r>
      <w:r w:rsidR="0021277B">
        <w:t xml:space="preserve">  This additional degree of specificity did not, however, seem to help the Court </w:t>
      </w:r>
      <w:r w:rsidR="004826BA">
        <w:t>get to</w:t>
      </w:r>
      <w:r w:rsidR="0021277B">
        <w:t xml:space="preserve"> the right result</w:t>
      </w:r>
      <w:r w:rsidR="00364402">
        <w:t>.</w:t>
      </w:r>
      <w:r w:rsidR="0021277B">
        <w:t xml:space="preserve"> </w:t>
      </w:r>
      <w:r w:rsidR="00364402">
        <w:t xml:space="preserve"> </w:t>
      </w:r>
      <w:r w:rsidR="004826BA">
        <w:t>Oddly, actual malice</w:t>
      </w:r>
      <w:r w:rsidR="0021277B">
        <w:t xml:space="preserve"> was held not to apply to a prominent Chicago lawyer </w:t>
      </w:r>
      <w:r w:rsidR="00364402">
        <w:t>representing</w:t>
      </w:r>
      <w:r w:rsidR="0021277B">
        <w:t xml:space="preserve"> family of a victim in a </w:t>
      </w:r>
      <w:r w:rsidR="0021277B">
        <w:lastRenderedPageBreak/>
        <w:t xml:space="preserve">high-profile police brutality case, </w:t>
      </w:r>
      <w:r w:rsidR="00364402">
        <w:t>a wealthy socialite from a famous family who had attracted so much press coverage over the years that she employed a service to keep track of her clippings</w:t>
      </w:r>
      <w:r w:rsidR="0021277B">
        <w:t xml:space="preserve">, a person </w:t>
      </w:r>
      <w:r w:rsidR="00364402">
        <w:t>who had been the butt of a U.S. Senator’s joke</w:t>
      </w:r>
      <w:r w:rsidR="0021277B">
        <w:t xml:space="preserve">, and a person </w:t>
      </w:r>
      <w:r w:rsidR="00364402">
        <w:t>who had refused to testify in an investigation into Soviet espionage</w:t>
      </w:r>
      <w:r w:rsidR="0021277B">
        <w:t>.</w:t>
      </w:r>
      <w:r w:rsidR="0021277B">
        <w:rPr>
          <w:rStyle w:val="FootnoteReference"/>
        </w:rPr>
        <w:footnoteReference w:id="124"/>
      </w:r>
    </w:p>
    <w:p w14:paraId="41FBE6A3" w14:textId="2D30CFA6" w:rsidR="00CB74F5" w:rsidRDefault="00B31F0B" w:rsidP="00CB74F5">
      <w:pPr>
        <w:pStyle w:val="BodyText"/>
      </w:pPr>
      <w:r>
        <w:t xml:space="preserve">A decade later, the Court seemed to shift abruptly from a plaintiff-centric rationale to one that turned on subject matter.  </w:t>
      </w:r>
      <w:r w:rsidR="00CB74F5">
        <w:t xml:space="preserve">In </w:t>
      </w:r>
      <w:r w:rsidR="00CB74F5" w:rsidRPr="008E4A50">
        <w:rPr>
          <w:i/>
          <w:iCs/>
        </w:rPr>
        <w:t>Dun &amp; Bradstreet v. Greenmoss Builders</w:t>
      </w:r>
      <w:r w:rsidR="00CB74F5" w:rsidRPr="00472ADC">
        <w:t>,</w:t>
      </w:r>
      <w:r w:rsidR="002D6A5D">
        <w:rPr>
          <w:rStyle w:val="FootnoteReference"/>
        </w:rPr>
        <w:footnoteReference w:id="125"/>
      </w:r>
      <w:r w:rsidR="00CB74F5">
        <w:t xml:space="preserve"> the </w:t>
      </w:r>
      <w:r w:rsidR="00772093">
        <w:t>otherwise-</w:t>
      </w:r>
      <w:r w:rsidR="00CB74F5">
        <w:t xml:space="preserve">fractured Court seemed to agree </w:t>
      </w:r>
      <w:r>
        <w:t xml:space="preserve">that actual malice applied if the </w:t>
      </w:r>
      <w:r w:rsidR="00CB74F5">
        <w:t>alleged</w:t>
      </w:r>
      <w:r>
        <w:t xml:space="preserve">ly defamatory statement addressed an </w:t>
      </w:r>
      <w:r w:rsidR="00CB74F5">
        <w:t xml:space="preserve">“issue of public concern”—the very rationale </w:t>
      </w:r>
      <w:r w:rsidR="00CB74F5" w:rsidRPr="008E4A50">
        <w:rPr>
          <w:i/>
          <w:iCs/>
        </w:rPr>
        <w:t>Gertz</w:t>
      </w:r>
      <w:r w:rsidR="00CB74F5">
        <w:t xml:space="preserve"> had expressly rejected.</w:t>
      </w:r>
      <w:r w:rsidR="00CB74F5">
        <w:rPr>
          <w:rStyle w:val="FootnoteReference"/>
        </w:rPr>
        <w:footnoteReference w:id="126"/>
      </w:r>
      <w:r w:rsidR="00CB74F5">
        <w:t xml:space="preserve">  </w:t>
      </w:r>
      <w:r w:rsidR="002D6A5D">
        <w:t xml:space="preserve">The Court then changed the test yet again the very next Term, holding in </w:t>
      </w:r>
      <w:r w:rsidR="00CB74F5" w:rsidRPr="00700261">
        <w:rPr>
          <w:i/>
          <w:iCs/>
        </w:rPr>
        <w:t>Philadelphia Newspapers v. Hepps</w:t>
      </w:r>
      <w:r w:rsidR="00E061FD" w:rsidRPr="00E061FD">
        <w:rPr>
          <w:rStyle w:val="FootnoteReference"/>
        </w:rPr>
        <w:footnoteReference w:id="127"/>
      </w:r>
      <w:r w:rsidR="00CB74F5">
        <w:t xml:space="preserve"> that “</w:t>
      </w:r>
      <w:r w:rsidR="00CB74F5" w:rsidRPr="00E07D64">
        <w:t xml:space="preserve">the common-law presumption that defamatory speech is false cannot stand when a plaintiff seeks damages </w:t>
      </w:r>
      <w:r w:rsidR="00CB74F5" w:rsidRPr="002D6A5D">
        <w:rPr>
          <w:i/>
          <w:iCs/>
        </w:rPr>
        <w:t>against a media defendant</w:t>
      </w:r>
      <w:r w:rsidR="00CB74F5" w:rsidRPr="00E07D64">
        <w:t xml:space="preserve"> for speech of public concern</w:t>
      </w:r>
      <w:r w:rsidR="00CB74F5">
        <w:t>.”</w:t>
      </w:r>
      <w:r w:rsidR="00CB74F5">
        <w:rPr>
          <w:rStyle w:val="FootnoteReference"/>
        </w:rPr>
        <w:footnoteReference w:id="128"/>
      </w:r>
      <w:r w:rsidR="00CB74F5">
        <w:t xml:space="preserve">  </w:t>
      </w:r>
      <w:r w:rsidR="002D6A5D">
        <w:t xml:space="preserve">Interestingly, it was not until </w:t>
      </w:r>
      <w:r w:rsidR="002D6A5D" w:rsidRPr="00E061FD">
        <w:rPr>
          <w:i/>
          <w:iCs/>
        </w:rPr>
        <w:t>Hepps</w:t>
      </w:r>
      <w:r w:rsidR="002D6A5D">
        <w:t xml:space="preserve"> that the Court finally </w:t>
      </w:r>
      <w:r w:rsidR="00E061FD">
        <w:t xml:space="preserve">signaled some openness to hinging </w:t>
      </w:r>
      <w:r w:rsidR="002D6A5D">
        <w:t xml:space="preserve">the </w:t>
      </w:r>
      <w:r w:rsidR="00E061FD">
        <w:t xml:space="preserve">actual malice </w:t>
      </w:r>
      <w:r w:rsidR="002D6A5D">
        <w:t xml:space="preserve">rule on the identity </w:t>
      </w:r>
      <w:r w:rsidR="00E061FD">
        <w:t>of the defendant—the approach it arguably should have taken in the first place.</w:t>
      </w:r>
      <w:r w:rsidR="00CB74F5">
        <w:rPr>
          <w:rStyle w:val="FootnoteReference"/>
        </w:rPr>
        <w:footnoteReference w:id="129"/>
      </w:r>
    </w:p>
    <w:p w14:paraId="451B91EF" w14:textId="06F5BE9F" w:rsidR="002C634A" w:rsidRDefault="00E061FD" w:rsidP="00CB74F5">
      <w:pPr>
        <w:pStyle w:val="BodyText"/>
      </w:pPr>
      <w:r>
        <w:lastRenderedPageBreak/>
        <w:t xml:space="preserve">But by then, the damage was done.  </w:t>
      </w:r>
      <w:r w:rsidRPr="00D13A43">
        <w:rPr>
          <w:i/>
          <w:iCs/>
        </w:rPr>
        <w:t>Sullivan</w:t>
      </w:r>
      <w:r>
        <w:t xml:space="preserve"> and its progeny had already attracted a slew of criticism from </w:t>
      </w:r>
      <w:r w:rsidRPr="00BA6679">
        <w:t>top minds in the field, some of whom are in positions of real and direct influence.</w:t>
      </w:r>
      <w:r w:rsidR="00D13A43">
        <w:rPr>
          <w:rStyle w:val="FootnoteReference"/>
        </w:rPr>
        <w:footnoteReference w:id="130"/>
      </w:r>
      <w:r w:rsidRPr="00BA6679">
        <w:t xml:space="preserve">  </w:t>
      </w:r>
      <w:r w:rsidR="00D13A43">
        <w:t xml:space="preserve">The most prominent </w:t>
      </w:r>
      <w:r w:rsidR="00D13A43" w:rsidRPr="00D13A43">
        <w:rPr>
          <w:i/>
          <w:iCs/>
        </w:rPr>
        <w:t>Sullivan</w:t>
      </w:r>
      <w:r w:rsidR="00D13A43">
        <w:t xml:space="preserve"> critic is</w:t>
      </w:r>
      <w:r w:rsidRPr="00BA6679">
        <w:t xml:space="preserve"> Justice </w:t>
      </w:r>
      <w:r w:rsidR="00D13A43">
        <w:t xml:space="preserve">Clarence </w:t>
      </w:r>
      <w:r w:rsidRPr="00BA6679">
        <w:t>Thomas</w:t>
      </w:r>
      <w:r w:rsidR="00D13A43">
        <w:t>, who</w:t>
      </w:r>
      <w:r w:rsidRPr="00BA6679">
        <w:t xml:space="preserve"> </w:t>
      </w:r>
      <w:r w:rsidR="00D13A43">
        <w:t>shocked</w:t>
      </w:r>
      <w:r w:rsidRPr="00BA6679">
        <w:t xml:space="preserve"> the legal world</w:t>
      </w:r>
      <w:r w:rsidR="00D13A43">
        <w:t xml:space="preserve"> </w:t>
      </w:r>
      <w:r w:rsidRPr="00BA6679">
        <w:t>when he filed a lengthy opinion</w:t>
      </w:r>
      <w:r>
        <w:t xml:space="preserve"> in </w:t>
      </w:r>
      <w:r w:rsidRPr="00BA6679">
        <w:rPr>
          <w:i/>
          <w:iCs/>
        </w:rPr>
        <w:t>McKee v. Cosby</w:t>
      </w:r>
      <w:r w:rsidR="0051775D" w:rsidRPr="0051775D">
        <w:rPr>
          <w:rStyle w:val="FootnoteReference"/>
        </w:rPr>
        <w:footnoteReference w:id="131"/>
      </w:r>
      <w:r w:rsidRPr="00BA6679">
        <w:t xml:space="preserve"> concurring in </w:t>
      </w:r>
      <w:r>
        <w:t>the</w:t>
      </w:r>
      <w:r w:rsidRPr="00BA6679">
        <w:t xml:space="preserve"> denial of certiorari </w:t>
      </w:r>
      <w:r>
        <w:t xml:space="preserve">but </w:t>
      </w:r>
      <w:r w:rsidRPr="00BA6679">
        <w:t xml:space="preserve">calling for </w:t>
      </w:r>
      <w:r w:rsidRPr="00BA6679">
        <w:rPr>
          <w:i/>
          <w:iCs/>
        </w:rPr>
        <w:t>Sullivan</w:t>
      </w:r>
      <w:r w:rsidRPr="00BA6679">
        <w:t xml:space="preserve"> to be reconsidered.</w:t>
      </w:r>
      <w:r w:rsidRPr="00BA6679">
        <w:rPr>
          <w:rStyle w:val="FootnoteReference"/>
        </w:rPr>
        <w:footnoteReference w:id="132"/>
      </w:r>
      <w:r w:rsidRPr="00BA6679">
        <w:t xml:space="preserve">  He has repeated this exhortation several times since, joined on one occasion by Justice Gorsuch</w:t>
      </w:r>
      <w:r w:rsidR="004826BA">
        <w:t>, who became the third member of the Roberts Court</w:t>
      </w:r>
      <w:r w:rsidR="00772093">
        <w:t xml:space="preserve"> (along with</w:t>
      </w:r>
      <w:r w:rsidR="004826BA">
        <w:t xml:space="preserve"> Justice Kagan decades earlier</w:t>
      </w:r>
      <w:r w:rsidR="00772093">
        <w:t xml:space="preserve">) </w:t>
      </w:r>
      <w:r w:rsidR="004826BA">
        <w:t xml:space="preserve">to criticize </w:t>
      </w:r>
      <w:r w:rsidR="004826BA" w:rsidRPr="004826BA">
        <w:rPr>
          <w:i/>
          <w:iCs/>
        </w:rPr>
        <w:t>Sullivan</w:t>
      </w:r>
      <w:r w:rsidR="004826BA">
        <w:t xml:space="preserve"> on the record</w:t>
      </w:r>
      <w:r w:rsidRPr="00BA6679">
        <w:t>.</w:t>
      </w:r>
      <w:r w:rsidRPr="00BA6679">
        <w:rPr>
          <w:rStyle w:val="FootnoteReference"/>
        </w:rPr>
        <w:footnoteReference w:id="133"/>
      </w:r>
    </w:p>
    <w:p w14:paraId="7A9BD9CE" w14:textId="1C9E98A1" w:rsidR="00CB74F5" w:rsidRDefault="004826BA" w:rsidP="00CB74F5">
      <w:pPr>
        <w:pStyle w:val="BodyText"/>
      </w:pPr>
      <w:r w:rsidRPr="004826BA">
        <w:rPr>
          <w:i/>
          <w:iCs/>
        </w:rPr>
        <w:t>Sullivan</w:t>
      </w:r>
      <w:r>
        <w:t xml:space="preserve"> might not be in immediate danger,</w:t>
      </w:r>
      <w:r>
        <w:rPr>
          <w:rStyle w:val="FootnoteReference"/>
        </w:rPr>
        <w:footnoteReference w:id="134"/>
      </w:r>
      <w:r>
        <w:t xml:space="preserve"> but the fact is that the </w:t>
      </w:r>
      <w:r w:rsidR="00CB74F5">
        <w:t xml:space="preserve">Court’s original sin—inventing actual malice to protect the press without </w:t>
      </w:r>
      <w:r w:rsidR="002C634A">
        <w:t xml:space="preserve">acknowledging its goal of protecting </w:t>
      </w:r>
      <w:r w:rsidR="00CB74F5">
        <w:t>the press</w:t>
      </w:r>
      <w:r w:rsidR="002C634A">
        <w:t xml:space="preserve">, and instead taking a plaintiff-centric approach that </w:t>
      </w:r>
      <w:r w:rsidR="002C634A">
        <w:lastRenderedPageBreak/>
        <w:t>required a series of clunky readjustments over the years</w:t>
      </w:r>
      <w:r w:rsidR="00CB74F5">
        <w:t xml:space="preserve">—has </w:t>
      </w:r>
      <w:r w:rsidR="002C634A">
        <w:t>made the entire doctrine more vulnerable than it ever needed to be</w:t>
      </w:r>
      <w:r w:rsidR="00CB74F5">
        <w:t>.</w:t>
      </w:r>
    </w:p>
    <w:p w14:paraId="5BD4C746" w14:textId="6CB96BD6" w:rsidR="00647ECC" w:rsidRDefault="00A316AC" w:rsidP="00A316AC">
      <w:pPr>
        <w:pStyle w:val="Heading3"/>
      </w:pPr>
      <w:bookmarkStart w:id="26" w:name="_Toc213017911"/>
      <w:r>
        <w:t>The Press Clause has been reduced to a nullity</w:t>
      </w:r>
      <w:bookmarkEnd w:id="26"/>
    </w:p>
    <w:p w14:paraId="20E19EF3" w14:textId="2AF07E31" w:rsidR="007D04B2" w:rsidRDefault="00A316AC" w:rsidP="00CB2B3A">
      <w:pPr>
        <w:pStyle w:val="BodyText"/>
      </w:pPr>
      <w:r>
        <w:t xml:space="preserve">The second consequence of the Court’s refusal to acknowledge the </w:t>
      </w:r>
      <w:r w:rsidR="007D04B2">
        <w:t>special rights</w:t>
      </w:r>
      <w:r>
        <w:t xml:space="preserve"> it grants </w:t>
      </w:r>
      <w:r w:rsidR="007D04B2">
        <w:t xml:space="preserve">the press </w:t>
      </w:r>
      <w:r>
        <w:t xml:space="preserve">is that the Press </w:t>
      </w:r>
      <w:proofErr w:type="gramStart"/>
      <w:r>
        <w:t>Clause</w:t>
      </w:r>
      <w:r w:rsidR="007D04B2">
        <w:t>—</w:t>
      </w:r>
      <w:proofErr w:type="gramEnd"/>
      <w:r w:rsidR="007D04B2">
        <w:t>the obvious textual repository for these rights—</w:t>
      </w:r>
      <w:r>
        <w:t>has been relegated to a virtual nullity</w:t>
      </w:r>
      <w:r w:rsidR="007D04B2">
        <w:t>.  A</w:t>
      </w:r>
      <w:r>
        <w:t>s the Cour</w:t>
      </w:r>
      <w:r w:rsidR="007D04B2">
        <w:t xml:space="preserve">t has insisted that the press gets no more or better rights than anyone else, the Press Clause and Speech Clause have become conflated, and the former has largely been forgotten. </w:t>
      </w:r>
    </w:p>
    <w:p w14:paraId="7F178622" w14:textId="39D1978A" w:rsidR="000A4E71" w:rsidRDefault="00030AFB" w:rsidP="00CB2B3A">
      <w:pPr>
        <w:pStyle w:val="BodyText"/>
      </w:pPr>
      <w:r>
        <w:t>Stated simply, if the press gets no special rights</w:t>
      </w:r>
      <w:r w:rsidR="00DE5CCF">
        <w:t xml:space="preserve"> at all</w:t>
      </w:r>
      <w:r>
        <w:t>,</w:t>
      </w:r>
      <w:r w:rsidR="00DE5CCF">
        <w:t xml:space="preserve"> under either clause,</w:t>
      </w:r>
      <w:r>
        <w:t xml:space="preserve"> </w:t>
      </w:r>
      <w:r w:rsidR="00DE5CCF">
        <w:t>why bother to distinguish between the two?</w:t>
      </w:r>
      <w:r w:rsidR="00DE5CCF">
        <w:rPr>
          <w:rStyle w:val="FootnoteReference"/>
        </w:rPr>
        <w:footnoteReference w:id="135"/>
      </w:r>
      <w:r>
        <w:t xml:space="preserve"> </w:t>
      </w:r>
      <w:r w:rsidR="00DE5CCF">
        <w:t xml:space="preserve"> This explains why, even on the heels of two decades’ worth of important press cases, </w:t>
      </w:r>
      <w:r w:rsidR="000A4E71">
        <w:t>the noted scholar Professor David Anderson observed</w:t>
      </w:r>
      <w:r w:rsidR="00DE5CCF">
        <w:t xml:space="preserve"> in the early 1980s that</w:t>
      </w:r>
      <w:r w:rsidR="000A4E71">
        <w:t xml:space="preserve"> “the terms freedom of speech and freedom of press</w:t>
      </w:r>
      <w:r w:rsidR="00DE5CCF">
        <w:t>” were already being</w:t>
      </w:r>
      <w:r w:rsidR="000A4E71">
        <w:t xml:space="preserve"> </w:t>
      </w:r>
      <w:r w:rsidR="00DE5CCF">
        <w:t>“</w:t>
      </w:r>
      <w:r w:rsidR="000A4E71">
        <w:t>used more or less interchangeably.”</w:t>
      </w:r>
      <w:bookmarkStart w:id="27" w:name="_Ref212850998"/>
      <w:r w:rsidR="000A4E71">
        <w:rPr>
          <w:rStyle w:val="FootnoteReference"/>
        </w:rPr>
        <w:footnoteReference w:id="136"/>
      </w:r>
      <w:bookmarkEnd w:id="27"/>
    </w:p>
    <w:p w14:paraId="2CCD5DC6" w14:textId="4EA784DE" w:rsidR="00806A12" w:rsidRDefault="00C97427" w:rsidP="00806A12">
      <w:pPr>
        <w:pStyle w:val="BodyText"/>
      </w:pPr>
      <w:r>
        <w:t xml:space="preserve">This is </w:t>
      </w:r>
      <w:r w:rsidR="00806A12">
        <w:t>no mere semantic quibble</w:t>
      </w:r>
      <w:r>
        <w:t>.</w:t>
      </w:r>
      <w:r w:rsidR="00806A12">
        <w:t xml:space="preserve">  </w:t>
      </w:r>
      <w:proofErr w:type="gramStart"/>
      <w:r w:rsidR="00806A12">
        <w:t>To</w:t>
      </w:r>
      <w:proofErr w:type="gramEnd"/>
      <w:r w:rsidR="00806A12">
        <w:t xml:space="preserve"> the contrary, it has important </w:t>
      </w:r>
      <w:r w:rsidR="000007AD">
        <w:t xml:space="preserve">doctrinal </w:t>
      </w:r>
      <w:r w:rsidR="00806A12">
        <w:t xml:space="preserve">consequences.  </w:t>
      </w:r>
      <w:r w:rsidR="006F7FF1">
        <w:t xml:space="preserve">The scenario </w:t>
      </w:r>
      <w:r w:rsidR="00806A12">
        <w:t xml:space="preserve">Justice Stewart warned his </w:t>
      </w:r>
      <w:r w:rsidR="006F7FF1">
        <w:t xml:space="preserve">Yale </w:t>
      </w:r>
      <w:r w:rsidR="00806A12">
        <w:t xml:space="preserve">audience </w:t>
      </w:r>
      <w:r w:rsidR="006F7FF1">
        <w:t>about—that</w:t>
      </w:r>
      <w:r w:rsidR="00806A12">
        <w:t xml:space="preserve"> </w:t>
      </w:r>
      <w:r w:rsidR="006F7FF1">
        <w:t xml:space="preserve">a Press Clause that is not accorded separate treatment will be </w:t>
      </w:r>
      <w:r w:rsidR="00806A12">
        <w:t>reduced to “</w:t>
      </w:r>
      <w:r w:rsidR="00806A12" w:rsidRPr="00FD184B">
        <w:t>a constitutional redundancy with the Speech Clause</w:t>
      </w:r>
      <w:r w:rsidR="00806A12">
        <w:t>”</w:t>
      </w:r>
      <w:r w:rsidR="006F7FF1">
        <w:t>—has, in the eyes of many, come to pass.</w:t>
      </w:r>
      <w:r w:rsidR="00806A12">
        <w:rPr>
          <w:rStyle w:val="FootnoteReference"/>
        </w:rPr>
        <w:footnoteReference w:id="137"/>
      </w:r>
      <w:r w:rsidR="00806A12">
        <w:t xml:space="preserve">  </w:t>
      </w:r>
      <w:r w:rsidR="000007AD">
        <w:t xml:space="preserve">The leading Press Clause scholar Sonja West lamented in 2014 that the </w:t>
      </w:r>
      <w:r w:rsidR="000007AD">
        <w:lastRenderedPageBreak/>
        <w:t>Supreme Court has “</w:t>
      </w:r>
      <w:r w:rsidR="000007AD" w:rsidRPr="003239F2">
        <w:t>all but failed to notice</w:t>
      </w:r>
      <w:r w:rsidR="000007AD">
        <w:t xml:space="preserve"> the Press Clause’s existence.”</w:t>
      </w:r>
      <w:bookmarkStart w:id="28" w:name="_Ref212983171"/>
      <w:r w:rsidR="000007AD">
        <w:rPr>
          <w:rStyle w:val="FootnoteReference"/>
        </w:rPr>
        <w:footnoteReference w:id="138"/>
      </w:r>
      <w:bookmarkEnd w:id="28"/>
      <w:r w:rsidR="000007AD">
        <w:t xml:space="preserve">  And even when it wasn’t “neglect[ing] the Press Clause” entirely, the Court approached it “</w:t>
      </w:r>
      <w:r w:rsidR="000007AD" w:rsidRPr="003239F2">
        <w:t>with a mindset of skepticism and defeatism</w:t>
      </w:r>
      <w:r w:rsidR="000007AD">
        <w:t>.”</w:t>
      </w:r>
      <w:r w:rsidR="000007AD">
        <w:rPr>
          <w:rStyle w:val="FootnoteReference"/>
        </w:rPr>
        <w:footnoteReference w:id="139"/>
      </w:r>
      <w:r w:rsidR="000007AD">
        <w:t xml:space="preserve">  </w:t>
      </w:r>
      <w:r w:rsidR="00AC619C">
        <w:t xml:space="preserve">To the extent the Court treats press issues at all, it </w:t>
      </w:r>
      <w:r w:rsidR="00AC619C" w:rsidRPr="007B038D">
        <w:t>“has recognized virtually all of the press’s substantive protections under the umbrella of general free speech protections for all speakers, rather than in press-specific rulings</w:t>
      </w:r>
      <w:r w:rsidR="00AC619C">
        <w:t>.</w:t>
      </w:r>
      <w:r w:rsidR="00AC619C" w:rsidRPr="007B038D">
        <w:t>”</w:t>
      </w:r>
      <w:r w:rsidR="00AC619C">
        <w:rPr>
          <w:rStyle w:val="FootnoteReference"/>
        </w:rPr>
        <w:footnoteReference w:id="140"/>
      </w:r>
      <w:r w:rsidR="00AC619C">
        <w:t xml:space="preserve">  The consequence of this approach, explains another leading Press Clause scholar, RonNell Anderson Jones, is that </w:t>
      </w:r>
      <w:r w:rsidR="00806A12">
        <w:t>the Press Clause, which “</w:t>
      </w:r>
      <w:r w:rsidR="00806A12" w:rsidRPr="007B19A6">
        <w:t xml:space="preserve">on its face could house significant protection for the media, </w:t>
      </w:r>
      <w:r w:rsidR="00806A12">
        <w:t>. . .</w:t>
      </w:r>
      <w:r w:rsidR="00806A12" w:rsidRPr="007B19A6">
        <w:t xml:space="preserve"> has in fact proven to be a largely empty vessel</w:t>
      </w:r>
      <w:r w:rsidR="00806A12">
        <w:t>.”</w:t>
      </w:r>
      <w:bookmarkStart w:id="29" w:name="_Ref173234579"/>
      <w:r w:rsidR="00AC619C">
        <w:rPr>
          <w:rStyle w:val="FootnoteReference"/>
        </w:rPr>
        <w:footnoteReference w:id="141"/>
      </w:r>
      <w:bookmarkEnd w:id="29"/>
      <w:r w:rsidR="00806A12">
        <w:t xml:space="preserve">  </w:t>
      </w:r>
    </w:p>
    <w:p w14:paraId="3D09B3B9" w14:textId="77777777" w:rsidR="007C5E70" w:rsidRDefault="00E032F8" w:rsidP="007D04B2">
      <w:pPr>
        <w:pStyle w:val="BodyText"/>
      </w:pPr>
      <w:proofErr w:type="gramStart"/>
      <w:r>
        <w:t>Jones’s</w:t>
      </w:r>
      <w:proofErr w:type="gramEnd"/>
      <w:r>
        <w:t xml:space="preserve"> and West’s complaints shed light on another, more subtle consequence of the Court’s professed unwillingness to treat the press differently than individual </w:t>
      </w:r>
      <w:r w:rsidRPr="00E032F8">
        <w:t>speakers.  E</w:t>
      </w:r>
      <w:r w:rsidR="00806A12" w:rsidRPr="00E032F8">
        <w:t>ven leading advocates</w:t>
      </w:r>
      <w:r w:rsidR="00806A12">
        <w:t xml:space="preserve"> of special rights for the press have ignored the evidence of their eyes and ears that the Court is </w:t>
      </w:r>
      <w:r w:rsidR="00806A12" w:rsidRPr="00E032F8">
        <w:rPr>
          <w:i/>
          <w:iCs/>
        </w:rPr>
        <w:t>already</w:t>
      </w:r>
      <w:r w:rsidR="00806A12">
        <w:t xml:space="preserve"> granting the </w:t>
      </w:r>
      <w:r>
        <w:t xml:space="preserve">press </w:t>
      </w:r>
      <w:r w:rsidR="00806A12">
        <w:t>special rights.</w:t>
      </w:r>
      <w:r>
        <w:t xml:space="preserve">  Long before Jones and West, </w:t>
      </w:r>
      <w:r w:rsidR="007C5E70">
        <w:t xml:space="preserve">for example, </w:t>
      </w:r>
      <w:r>
        <w:t xml:space="preserve">the prominent First Amendment scholar and lawyer-turned Second Circuit judge </w:t>
      </w:r>
      <w:r w:rsidR="00806A12">
        <w:t xml:space="preserve">Robert Sack, who </w:t>
      </w:r>
      <w:r w:rsidR="007C5E70">
        <w:t xml:space="preserve">personally </w:t>
      </w:r>
      <w:r w:rsidR="00806A12">
        <w:t xml:space="preserve">rejected the idea </w:t>
      </w:r>
      <w:r w:rsidR="007C5E70">
        <w:t xml:space="preserve">that </w:t>
      </w:r>
      <w:r w:rsidR="00806A12">
        <w:t>“speech and the press are the same[]</w:t>
      </w:r>
      <w:r>
        <w:t xml:space="preserve">” favored “special protection for the press function,” </w:t>
      </w:r>
      <w:r w:rsidR="00806A12">
        <w:t xml:space="preserve">conceded that </w:t>
      </w:r>
      <w:r>
        <w:t>there was “</w:t>
      </w:r>
      <w:r w:rsidR="00806A12">
        <w:t>substantial authority</w:t>
      </w:r>
      <w:r>
        <w:t>”</w:t>
      </w:r>
      <w:r w:rsidR="00806A12">
        <w:t xml:space="preserve"> for the proposition that </w:t>
      </w:r>
      <w:r>
        <w:t xml:space="preserve">the freedoms of speech and press were intended </w:t>
      </w:r>
      <w:r>
        <w:lastRenderedPageBreak/>
        <w:t>to be “</w:t>
      </w:r>
      <w:r w:rsidR="00806A12">
        <w:t>synonymous</w:t>
      </w:r>
      <w:r>
        <w:t>[]</w:t>
      </w:r>
      <w:r w:rsidR="00806A12">
        <w:t>.”</w:t>
      </w:r>
      <w:r w:rsidR="00806A12">
        <w:rPr>
          <w:rStyle w:val="FootnoteReference"/>
        </w:rPr>
        <w:footnoteReference w:id="142"/>
      </w:r>
      <w:r w:rsidR="007C5E70">
        <w:t xml:space="preserve">  West, for her part, has written that “[f]</w:t>
      </w:r>
      <w:r w:rsidR="007C5E70" w:rsidRPr="00CE5640">
        <w:t xml:space="preserve">or constitutional purposes at least, it is entirely irrelevant to courts whether </w:t>
      </w:r>
      <w:r w:rsidR="007C5E70">
        <w:t>[journalists]</w:t>
      </w:r>
      <w:r w:rsidR="007C5E70" w:rsidRPr="00CE5640">
        <w:t xml:space="preserve"> are members of the press</w:t>
      </w:r>
      <w:r w:rsidR="007C5E70">
        <w:t>.”</w:t>
      </w:r>
      <w:r w:rsidR="007C5E70">
        <w:rPr>
          <w:rStyle w:val="FootnoteReference"/>
        </w:rPr>
        <w:footnoteReference w:id="143"/>
      </w:r>
    </w:p>
    <w:p w14:paraId="5C1B6C42" w14:textId="06416636" w:rsidR="007D04B2" w:rsidRDefault="007C5E70" w:rsidP="007D04B2">
      <w:pPr>
        <w:pStyle w:val="BodyText"/>
      </w:pPr>
      <w:r>
        <w:t>It is telling that e</w:t>
      </w:r>
      <w:r w:rsidR="007D04B2">
        <w:t xml:space="preserve">ven scholars who favor press rights have given up on distinguishing between the </w:t>
      </w:r>
      <w:r>
        <w:t xml:space="preserve">Speech Clause and the Press </w:t>
      </w:r>
      <w:proofErr w:type="gramStart"/>
      <w:r>
        <w:t>Clause, and</w:t>
      </w:r>
      <w:proofErr w:type="gramEnd"/>
      <w:r>
        <w:t xml:space="preserve"> have taken the Court at its word—despite the evidence of its actions—that the press gets no special rights.  The most powerful const</w:t>
      </w:r>
      <w:r w:rsidR="00B614CE">
        <w:t>itutional tool for protecting the press—the words “</w:t>
      </w:r>
      <w:r w:rsidR="00B614CE" w:rsidRPr="00B614CE">
        <w:t xml:space="preserve">Congress shall make no law </w:t>
      </w:r>
      <w:r w:rsidR="00B614CE">
        <w:t>. . .</w:t>
      </w:r>
      <w:r w:rsidR="00B614CE" w:rsidRPr="00B614CE">
        <w:t xml:space="preserve"> abridging the freedom </w:t>
      </w:r>
      <w:r w:rsidR="00B614CE">
        <w:t>. . .</w:t>
      </w:r>
      <w:r w:rsidR="00B614CE" w:rsidRPr="00B614CE">
        <w:t xml:space="preserve"> of the press</w:t>
      </w:r>
      <w:r w:rsidR="00B614CE">
        <w:t>—has been almost entirely eviscerated.</w:t>
      </w:r>
    </w:p>
    <w:p w14:paraId="056A2BC2" w14:textId="1E31CCAE" w:rsidR="00C661E6" w:rsidRDefault="00C661E6" w:rsidP="00C661E6">
      <w:pPr>
        <w:pStyle w:val="Heading2"/>
      </w:pPr>
      <w:bookmarkStart w:id="30" w:name="_Toc213017912"/>
      <w:r>
        <w:t>Blame rests with the definitional question</w:t>
      </w:r>
      <w:bookmarkEnd w:id="30"/>
    </w:p>
    <w:p w14:paraId="007DE1A6" w14:textId="36E1821A" w:rsidR="00BF2649" w:rsidRDefault="00B614CE" w:rsidP="00BF2649">
      <w:pPr>
        <w:pStyle w:val="BodyText"/>
      </w:pPr>
      <w:r>
        <w:t>If, as this Article argues, the U.S. Supreme Court will not say what it’s doing when it grants the press special rights</w:t>
      </w:r>
      <w:r w:rsidR="00EA6E49">
        <w:t xml:space="preserve">, the question becomes why the Court has been so reluctant.  </w:t>
      </w:r>
      <w:r w:rsidR="00BF2649">
        <w:t xml:space="preserve">The greatest obstacle may well be </w:t>
      </w:r>
      <w:r w:rsidR="00EA6E49">
        <w:t xml:space="preserve">that </w:t>
      </w:r>
      <w:r w:rsidR="00EA6E49" w:rsidRPr="003B2F79">
        <w:t>“</w:t>
      </w:r>
      <w:proofErr w:type="gramStart"/>
      <w:r w:rsidR="00EA6E49" w:rsidRPr="003B2F79">
        <w:t>according</w:t>
      </w:r>
      <w:proofErr w:type="gramEnd"/>
      <w:r w:rsidR="00EA6E49" w:rsidRPr="003B2F79">
        <w:t xml:space="preserve"> the press special rights </w:t>
      </w:r>
      <w:proofErr w:type="gramStart"/>
      <w:r w:rsidR="00EA6E49" w:rsidRPr="003B2F79">
        <w:t>presents</w:t>
      </w:r>
      <w:proofErr w:type="gramEnd"/>
      <w:r w:rsidR="00EA6E49" w:rsidRPr="003B2F79">
        <w:t xml:space="preserve"> the insolvable problem of determining who qualifies as ‘the press</w:t>
      </w:r>
      <w:r w:rsidR="00EA6E49">
        <w:t>.</w:t>
      </w:r>
      <w:r w:rsidR="00EA6E49" w:rsidRPr="003B2F79">
        <w:t>’”</w:t>
      </w:r>
      <w:r w:rsidR="00BF2649">
        <w:rPr>
          <w:rStyle w:val="FootnoteReference"/>
        </w:rPr>
        <w:footnoteReference w:id="144"/>
      </w:r>
      <w:r w:rsidR="00EA6E49">
        <w:t xml:space="preserve">  As the remaining sections will show, “insolvable” goes too far.  But to be sure, the question, “who, or what, is the press?” is challenging—challenging enough to </w:t>
      </w:r>
      <w:r w:rsidR="003A1D9A">
        <w:t>tempt a busy Court to avoid it whenever possible.</w:t>
      </w:r>
    </w:p>
    <w:p w14:paraId="72A0C99D" w14:textId="77777777" w:rsidR="003A1D9A" w:rsidRDefault="003A1D9A" w:rsidP="00BF2649">
      <w:pPr>
        <w:pStyle w:val="BodyText"/>
      </w:pPr>
      <w:r>
        <w:t>The definitional question</w:t>
      </w:r>
      <w:r w:rsidR="00BF2649">
        <w:t xml:space="preserve"> was daunting even before the Press Clause existed.  “</w:t>
      </w:r>
      <w:r w:rsidR="00BF2649" w:rsidRPr="00403230">
        <w:t xml:space="preserve">What is the liberty of the press?” </w:t>
      </w:r>
      <w:r w:rsidR="00BF2649">
        <w:t xml:space="preserve">lamented Alexander Hamilton in the </w:t>
      </w:r>
      <w:r w:rsidR="00BF2649" w:rsidRPr="00403230">
        <w:rPr>
          <w:i/>
          <w:iCs/>
        </w:rPr>
        <w:t xml:space="preserve">Federalist </w:t>
      </w:r>
      <w:r w:rsidR="00BF2649" w:rsidRPr="00403230">
        <w:rPr>
          <w:i/>
          <w:iCs/>
        </w:rPr>
        <w:lastRenderedPageBreak/>
        <w:t>Papers</w:t>
      </w:r>
      <w:r w:rsidR="00BF2649" w:rsidRPr="00403230">
        <w:t>.</w:t>
      </w:r>
      <w:bookmarkStart w:id="31" w:name="_Ref171805711"/>
      <w:r w:rsidR="00BF2649" w:rsidRPr="00FA0F3E">
        <w:rPr>
          <w:rStyle w:val="FootnoteReference"/>
          <w:rFonts w:cs="Times New Roman"/>
        </w:rPr>
        <w:footnoteReference w:id="145"/>
      </w:r>
      <w:bookmarkEnd w:id="31"/>
      <w:r w:rsidR="00BF2649" w:rsidRPr="00403230">
        <w:t xml:space="preserve">  “Who can give it any definition . . . which would not leave the utmost latitude for evasion?”</w:t>
      </w:r>
      <w:r w:rsidR="00BF2649">
        <w:rPr>
          <w:rStyle w:val="FootnoteReference"/>
        </w:rPr>
        <w:footnoteReference w:id="146"/>
      </w:r>
    </w:p>
    <w:p w14:paraId="78464011" w14:textId="08FA1D5E" w:rsidR="00BF2649" w:rsidRDefault="00BF2649" w:rsidP="00BF2649">
      <w:pPr>
        <w:pStyle w:val="BodyText"/>
      </w:pPr>
      <w:r>
        <w:t>The Supreme Court has also seemed intimidated by the question</w:t>
      </w:r>
      <w:r w:rsidR="003A1D9A">
        <w:t xml:space="preserve"> of</w:t>
      </w:r>
      <w:r>
        <w:t xml:space="preserve"> where the line should be drawn</w:t>
      </w:r>
      <w:r w:rsidR="003A1D9A">
        <w:t xml:space="preserve"> between who qualifies for press protections and who doesn’t</w:t>
      </w:r>
      <w:r>
        <w:t>.</w:t>
      </w:r>
      <w:r>
        <w:rPr>
          <w:rStyle w:val="FootnoteReference"/>
        </w:rPr>
        <w:footnoteReference w:id="147"/>
      </w:r>
      <w:r>
        <w:t xml:space="preserve">  In </w:t>
      </w:r>
      <w:r w:rsidR="003A1D9A">
        <w:t>one early press case</w:t>
      </w:r>
      <w:r>
        <w:t xml:space="preserve">, </w:t>
      </w:r>
      <w:r w:rsidR="003A1D9A">
        <w:t xml:space="preserve">1938’s </w:t>
      </w:r>
      <w:r w:rsidR="003A1D9A" w:rsidRPr="003A1D9A">
        <w:rPr>
          <w:i/>
          <w:iCs/>
        </w:rPr>
        <w:t>Lovell v. Griffin</w:t>
      </w:r>
      <w:r w:rsidR="003A1D9A">
        <w:t xml:space="preserve">, </w:t>
      </w:r>
      <w:r>
        <w:t xml:space="preserve">the Court observed </w:t>
      </w:r>
      <w:r w:rsidR="003A1D9A">
        <w:t xml:space="preserve">that </w:t>
      </w:r>
      <w:r>
        <w:t>the term “press” seemed to “</w:t>
      </w:r>
      <w:r w:rsidRPr="00BD1BF9">
        <w:t>comprehend</w:t>
      </w:r>
      <w:r>
        <w:t>[]</w:t>
      </w:r>
      <w:r w:rsidRPr="00BD1BF9">
        <w:t xml:space="preserve"> every sort of publication which affords a vehicle of information and opinion.”</w:t>
      </w:r>
      <w:r>
        <w:rPr>
          <w:rStyle w:val="FootnoteReference"/>
        </w:rPr>
        <w:footnoteReference w:id="148"/>
      </w:r>
    </w:p>
    <w:p w14:paraId="3A14D72B" w14:textId="7F3BB8F9" w:rsidR="00BF2649" w:rsidRDefault="00BF2649" w:rsidP="00BF2649">
      <w:pPr>
        <w:pStyle w:val="BodyText"/>
      </w:pPr>
      <w:r>
        <w:t xml:space="preserve">The prospect of having to sort through and categorize this potentially infinite pool of potential candidates has put the Court off on multiple occasions—with real legal consequences.  In </w:t>
      </w:r>
      <w:r w:rsidRPr="00552A89">
        <w:rPr>
          <w:i/>
          <w:iCs/>
        </w:rPr>
        <w:t>Branzburg</w:t>
      </w:r>
      <w:r>
        <w:t>, for example, the plurality declined to recognize the reporter’s privilege partly out of fear that administering it “would present practical and conceptual difficulties of a high order.”</w:t>
      </w:r>
      <w:r>
        <w:rPr>
          <w:rStyle w:val="FootnoteReference"/>
        </w:rPr>
        <w:footnoteReference w:id="149"/>
      </w:r>
      <w:r>
        <w:t xml:space="preserve">  “</w:t>
      </w:r>
      <w:r w:rsidRPr="00552A89">
        <w:t>Sooner or later,</w:t>
      </w:r>
      <w:r>
        <w:t>” Justice White predicted,</w:t>
      </w:r>
      <w:r w:rsidRPr="00552A89">
        <w:t xml:space="preserve"> it would be necessary to define those categories of newsmen who qualified for the privilege, a questionable procedure in light of the traditional doctrine that liberty of the press is the right of the lonely pamphleteer who uses carbon paper or a mimeograph just as much as of the large metropolitan publisher </w:t>
      </w:r>
      <w:r w:rsidRPr="00552A89">
        <w:lastRenderedPageBreak/>
        <w:t>who utilizes the latest photocomposition methods.</w:t>
      </w:r>
      <w:r>
        <w:t>”</w:t>
      </w:r>
      <w:r>
        <w:rPr>
          <w:rStyle w:val="FootnoteReference"/>
        </w:rPr>
        <w:footnoteReference w:id="150"/>
      </w:r>
      <w:r w:rsidR="003A1D9A">
        <w:t xml:space="preserve">  The </w:t>
      </w:r>
      <w:r w:rsidR="00BB20E6">
        <w:t>plurality</w:t>
      </w:r>
      <w:r w:rsidR="003A1D9A">
        <w:t xml:space="preserve"> decided, largely for this reason, not to recognize a privilege at all</w:t>
      </w:r>
      <w:r w:rsidR="00BB20E6">
        <w:t>.</w:t>
      </w:r>
      <w:r w:rsidR="00BB20E6">
        <w:rPr>
          <w:rStyle w:val="FootnoteReference"/>
        </w:rPr>
        <w:footnoteReference w:id="151"/>
      </w:r>
    </w:p>
    <w:p w14:paraId="43E7AAC8" w14:textId="548174E7" w:rsidR="00BB20E6" w:rsidRDefault="00BF2649" w:rsidP="007D7471">
      <w:pPr>
        <w:pStyle w:val="BodyText"/>
      </w:pPr>
      <w:r>
        <w:t>For similar reasons, Justice Brennan</w:t>
      </w:r>
      <w:r w:rsidR="007309D2">
        <w:t xml:space="preserve">, dissenting in </w:t>
      </w:r>
      <w:r w:rsidR="007309D2" w:rsidRPr="00746B60">
        <w:rPr>
          <w:i/>
          <w:iCs/>
        </w:rPr>
        <w:t>Dun &amp; Bradstreet</w:t>
      </w:r>
      <w:r w:rsidR="007309D2">
        <w:t xml:space="preserve">, </w:t>
      </w:r>
      <w:r>
        <w:t xml:space="preserve">rejected the distinction between media and nonmedia libel defendants </w:t>
      </w:r>
      <w:r w:rsidR="00BB20E6">
        <w:t xml:space="preserve">that this Article argues would have prevented the distortion of the </w:t>
      </w:r>
      <w:r w:rsidR="00BB20E6" w:rsidRPr="00BB20E6">
        <w:rPr>
          <w:i/>
          <w:iCs/>
        </w:rPr>
        <w:t>Sullivan</w:t>
      </w:r>
      <w:r w:rsidR="00BB20E6">
        <w:t xml:space="preserve"> doctrine.</w:t>
      </w:r>
      <w:r w:rsidR="00BB20E6">
        <w:rPr>
          <w:rStyle w:val="FootnoteReference"/>
        </w:rPr>
        <w:footnoteReference w:id="152"/>
      </w:r>
      <w:r w:rsidR="00BB20E6">
        <w:t xml:space="preserve">  </w:t>
      </w:r>
      <w:r w:rsidR="007D7471" w:rsidRPr="00746B60">
        <w:rPr>
          <w:i/>
          <w:iCs/>
        </w:rPr>
        <w:t>Dun &amp; Bradstreet</w:t>
      </w:r>
      <w:r w:rsidR="007D7471">
        <w:t xml:space="preserve"> arose from </w:t>
      </w:r>
      <w:r w:rsidR="007309D2">
        <w:t xml:space="preserve">a defamation claim against a credit reporting agency </w:t>
      </w:r>
      <w:r w:rsidR="00DD6AF6">
        <w:t>over an alleged</w:t>
      </w:r>
      <w:r w:rsidR="007309D2">
        <w:t xml:space="preserve"> inaccuracy on a credit report.</w:t>
      </w:r>
      <w:r w:rsidR="007309D2">
        <w:rPr>
          <w:rStyle w:val="FootnoteReference"/>
        </w:rPr>
        <w:footnoteReference w:id="153"/>
      </w:r>
      <w:r w:rsidR="007309D2">
        <w:t xml:space="preserve">  </w:t>
      </w:r>
      <w:r w:rsidR="007D7471">
        <w:t>When the case went up to t</w:t>
      </w:r>
      <w:r w:rsidR="007309D2">
        <w:t>he Vermont Supreme Court</w:t>
      </w:r>
      <w:r w:rsidR="007D7471">
        <w:t>, that court</w:t>
      </w:r>
      <w:r w:rsidR="007309D2">
        <w:t xml:space="preserve"> weighed whether </w:t>
      </w:r>
      <w:r w:rsidR="007309D2" w:rsidRPr="000B12CD">
        <w:rPr>
          <w:i/>
          <w:iCs/>
        </w:rPr>
        <w:t>Gertz</w:t>
      </w:r>
      <w:r w:rsidR="007309D2">
        <w:t>’s requirement of actual malice for presumed or punitive damages</w:t>
      </w:r>
      <w:r w:rsidR="007D7471">
        <w:t>, which had been held not to apply to the publisher Robert Welch, Inc.,</w:t>
      </w:r>
      <w:r w:rsidR="007309D2">
        <w:t xml:space="preserve"> should “be extended </w:t>
      </w:r>
      <w:r w:rsidR="007309D2" w:rsidRPr="000B12CD">
        <w:t>to actions involving nonmedia defendants.</w:t>
      </w:r>
      <w:r w:rsidR="007309D2">
        <w:t>”</w:t>
      </w:r>
      <w:r w:rsidR="007309D2">
        <w:rPr>
          <w:rStyle w:val="FootnoteReference"/>
        </w:rPr>
        <w:footnoteReference w:id="154"/>
      </w:r>
      <w:r w:rsidR="007309D2">
        <w:t xml:space="preserve">  Following the logic of other jurisdictions that had drawn a distinction based on the identity of the defendant as media or non-media—namely, that what “</w:t>
      </w:r>
      <w:r w:rsidR="007309D2" w:rsidRPr="0007610F">
        <w:t>brought the United States Supreme Court into the field of defamation law</w:t>
      </w:r>
      <w:r w:rsidR="007309D2">
        <w:t xml:space="preserve">” in the first place was the need to protect the press—the Vermont Supreme Court held that </w:t>
      </w:r>
      <w:r w:rsidR="007309D2" w:rsidRPr="00EB06DB">
        <w:rPr>
          <w:i/>
          <w:iCs/>
        </w:rPr>
        <w:t>Gertz</w:t>
      </w:r>
      <w:r w:rsidR="007309D2">
        <w:t xml:space="preserve"> did not apply</w:t>
      </w:r>
      <w:r w:rsidR="007309D2" w:rsidRPr="00210A0A">
        <w:t xml:space="preserve"> </w:t>
      </w:r>
      <w:r w:rsidR="007309D2">
        <w:t>“</w:t>
      </w:r>
      <w:r w:rsidR="007309D2" w:rsidRPr="00210A0A">
        <w:t>to nonmedia defamation actions</w:t>
      </w:r>
      <w:r w:rsidR="007309D2">
        <w:t>.”</w:t>
      </w:r>
      <w:r w:rsidR="007309D2">
        <w:rPr>
          <w:rStyle w:val="FootnoteReference"/>
        </w:rPr>
        <w:footnoteReference w:id="155"/>
      </w:r>
    </w:p>
    <w:p w14:paraId="6380E48F" w14:textId="1EDA5476" w:rsidR="007D7471" w:rsidRDefault="007D7471" w:rsidP="007D7471">
      <w:pPr>
        <w:pStyle w:val="BodyText"/>
      </w:pPr>
      <w:r>
        <w:t>The U.S. Supreme Court affirmed, but for different reasons.</w:t>
      </w:r>
      <w:r w:rsidR="00DD6AF6">
        <w:rPr>
          <w:rStyle w:val="FootnoteReference"/>
        </w:rPr>
        <w:footnoteReference w:id="156"/>
      </w:r>
      <w:r>
        <w:t xml:space="preserve">  </w:t>
      </w:r>
      <w:r w:rsidR="00DD6AF6">
        <w:t>The</w:t>
      </w:r>
      <w:r w:rsidR="00A45D99">
        <w:t xml:space="preserve"> fractured </w:t>
      </w:r>
      <w:r w:rsidR="00DD6AF6">
        <w:t xml:space="preserve">Court </w:t>
      </w:r>
      <w:r w:rsidR="003B0222">
        <w:t>settled on the rationale that, because</w:t>
      </w:r>
      <w:r w:rsidR="00DD6AF6">
        <w:t xml:space="preserve"> the defamatory statement in the credit </w:t>
      </w:r>
      <w:r w:rsidR="00DD6AF6">
        <w:lastRenderedPageBreak/>
        <w:t xml:space="preserve">report was </w:t>
      </w:r>
      <w:r w:rsidR="003B0222">
        <w:t>a “</w:t>
      </w:r>
      <w:proofErr w:type="gramStart"/>
      <w:r w:rsidR="003B0222">
        <w:t>matter[</w:t>
      </w:r>
      <w:proofErr w:type="gramEnd"/>
      <w:r w:rsidR="003B0222">
        <w:t>] of purely private concern,”</w:t>
      </w:r>
      <w:r w:rsidR="00DD6AF6">
        <w:t xml:space="preserve"> </w:t>
      </w:r>
      <w:r w:rsidR="003B0222">
        <w:t xml:space="preserve">the rule of </w:t>
      </w:r>
      <w:r w:rsidR="003B0222" w:rsidRPr="003B0222">
        <w:rPr>
          <w:i/>
          <w:iCs/>
        </w:rPr>
        <w:t>Gertz</w:t>
      </w:r>
      <w:r w:rsidR="003B0222">
        <w:t xml:space="preserve"> did not apply, and punitive damages</w:t>
      </w:r>
      <w:r w:rsidR="00DD6AF6">
        <w:t xml:space="preserve"> did not require actual malice</w:t>
      </w:r>
      <w:r w:rsidR="00DD6AF6" w:rsidRPr="00693E72">
        <w:t>.</w:t>
      </w:r>
      <w:r w:rsidR="00DD6AF6" w:rsidRPr="00693E72">
        <w:rPr>
          <w:vertAlign w:val="superscript"/>
        </w:rPr>
        <w:footnoteReference w:id="157"/>
      </w:r>
    </w:p>
    <w:p w14:paraId="6DF3FC0E" w14:textId="43FBF00A" w:rsidR="00EF60E2" w:rsidRDefault="003B0222" w:rsidP="00252435">
      <w:pPr>
        <w:pStyle w:val="BodyText"/>
      </w:pPr>
      <w:r>
        <w:t xml:space="preserve">Justice Brennan and the dissenters would have applied </w:t>
      </w:r>
      <w:r w:rsidRPr="00736F72">
        <w:rPr>
          <w:i/>
          <w:iCs/>
        </w:rPr>
        <w:t>Gertz</w:t>
      </w:r>
      <w:r>
        <w:t xml:space="preserve"> </w:t>
      </w:r>
      <w:r w:rsidR="00736F72">
        <w:t>even to private speech that fell outside the “</w:t>
      </w:r>
      <w:r w:rsidR="00736F72" w:rsidRPr="00736F72">
        <w:t>central meaning of the First Amendment</w:t>
      </w:r>
      <w:r w:rsidR="00736F72">
        <w:t>.”</w:t>
      </w:r>
      <w:r w:rsidR="00736F72">
        <w:rPr>
          <w:rStyle w:val="FootnoteReference"/>
        </w:rPr>
        <w:footnoteReference w:id="158"/>
      </w:r>
      <w:r>
        <w:t xml:space="preserve"> </w:t>
      </w:r>
      <w:r w:rsidR="00736F72">
        <w:t xml:space="preserve"> In addition to critiquing the plurality opinion on this point, Justice Brennan took issue with the Vermont Supreme Court’s “media v. non-media defendant” rationale as well.  In his view, this view was unworkable because of </w:t>
      </w:r>
      <w:r w:rsidR="007D7471">
        <w:t>the “</w:t>
      </w:r>
      <w:r w:rsidR="007D7471" w:rsidRPr="00A32F76">
        <w:t>First Amendment difficulties lurk</w:t>
      </w:r>
      <w:r w:rsidR="007D7471">
        <w:t>[ing]</w:t>
      </w:r>
      <w:r w:rsidR="007D7471" w:rsidRPr="00A32F76">
        <w:t xml:space="preserve"> in the definitional questions such an approach would generate</w:t>
      </w:r>
      <w:r w:rsidR="007D7471">
        <w:t>.”</w:t>
      </w:r>
      <w:r w:rsidR="007D7471">
        <w:rPr>
          <w:rStyle w:val="FootnoteReference"/>
        </w:rPr>
        <w:footnoteReference w:id="159"/>
      </w:r>
      <w:r w:rsidR="007D7471">
        <w:t xml:space="preserve">  </w:t>
      </w:r>
      <w:r w:rsidR="00736F72">
        <w:t>T</w:t>
      </w:r>
      <w:r w:rsidR="007D7471">
        <w:t xml:space="preserve">he Vermont Supreme Court </w:t>
      </w:r>
      <w:r w:rsidR="00736F72">
        <w:t xml:space="preserve">had been candid that </w:t>
      </w:r>
      <w:r w:rsidR="007D7471">
        <w:t>“in certain instances</w:t>
      </w:r>
      <w:r w:rsidR="00D36180">
        <w:t>”—though not the one before it—“</w:t>
      </w:r>
      <w:r w:rsidR="007D7471">
        <w:t>the distinction between media and nonmedia defendants may be difficult to draw.”</w:t>
      </w:r>
      <w:r w:rsidR="007D7471">
        <w:rPr>
          <w:rStyle w:val="FootnoteReference"/>
        </w:rPr>
        <w:footnoteReference w:id="160"/>
      </w:r>
      <w:r w:rsidR="007D7471">
        <w:t xml:space="preserve"> </w:t>
      </w:r>
      <w:r w:rsidR="00736F72">
        <w:t xml:space="preserve"> But in the end, this distinction </w:t>
      </w:r>
      <w:r w:rsidR="007D7471">
        <w:t>did not supply the “</w:t>
      </w:r>
      <w:r w:rsidR="007D7471" w:rsidRPr="00813A61">
        <w:t>clear line</w:t>
      </w:r>
      <w:r w:rsidR="007D7471">
        <w:t>” Justice Brennan was looking for.</w:t>
      </w:r>
      <w:r w:rsidR="007D7471">
        <w:rPr>
          <w:rStyle w:val="FootnoteReference"/>
        </w:rPr>
        <w:footnoteReference w:id="161"/>
      </w:r>
    </w:p>
    <w:p w14:paraId="06691925" w14:textId="0FAC7AD2" w:rsidR="00252435" w:rsidRDefault="00252435" w:rsidP="00BF2649">
      <w:pPr>
        <w:pStyle w:val="BodyText"/>
      </w:pPr>
      <w:r>
        <w:t xml:space="preserve">The U.S. Supreme Court is not alone in its aversion to the definitional question of what is press.  </w:t>
      </w:r>
      <w:r w:rsidRPr="003B2F79">
        <w:t>Other courts have</w:t>
      </w:r>
      <w:r>
        <w:t xml:space="preserve"> also</w:t>
      </w:r>
      <w:r w:rsidRPr="003B2F79">
        <w:t xml:space="preserve"> acknowledged </w:t>
      </w:r>
      <w:r>
        <w:t>its</w:t>
      </w:r>
      <w:r w:rsidRPr="003B2F79">
        <w:t xml:space="preserve"> difficulty</w:t>
      </w:r>
      <w:r>
        <w:t>—</w:t>
      </w:r>
      <w:r w:rsidRPr="003B2F79">
        <w:t>and even avoided</w:t>
      </w:r>
      <w:r>
        <w:t xml:space="preserve"> it from time to time</w:t>
      </w:r>
      <w:r w:rsidRPr="003B2F79">
        <w:t>.</w:t>
      </w:r>
      <w:r>
        <w:rPr>
          <w:rStyle w:val="FootnoteReference"/>
        </w:rPr>
        <w:footnoteReference w:id="162"/>
      </w:r>
    </w:p>
    <w:p w14:paraId="64670574" w14:textId="6E7C2F1D" w:rsidR="00341DA6" w:rsidRDefault="00341DA6" w:rsidP="00BF2649">
      <w:pPr>
        <w:pStyle w:val="BodyText"/>
      </w:pPr>
      <w:r>
        <w:t xml:space="preserve">This fear seems to be overblown in many (if not most) cases.  As </w:t>
      </w:r>
      <w:r w:rsidR="00BF2649">
        <w:t xml:space="preserve">Floyd Abrams has </w:t>
      </w:r>
      <w:r>
        <w:t>pointed out,</w:t>
      </w:r>
      <w:r w:rsidR="00BF2649">
        <w:t xml:space="preserve"> while the definitional issue raises “serious questions,” they </w:t>
      </w:r>
      <w:r w:rsidR="00BF2649">
        <w:lastRenderedPageBreak/>
        <w:t>simply do not occur all that often.</w:t>
      </w:r>
      <w:bookmarkStart w:id="32" w:name="_Ref198159202"/>
      <w:r w:rsidR="00BF2649">
        <w:rPr>
          <w:rStyle w:val="FootnoteReference"/>
        </w:rPr>
        <w:footnoteReference w:id="163"/>
      </w:r>
      <w:bookmarkEnd w:id="32"/>
      <w:r w:rsidR="00BF2649">
        <w:t xml:space="preserve">  “In the great preponderance of cases</w:t>
      </w:r>
      <w:r>
        <w:t xml:space="preserve">, </w:t>
      </w:r>
      <w:r w:rsidR="00BF2649">
        <w:t>there has been no definitional difficulty at all.”</w:t>
      </w:r>
      <w:r w:rsidR="00BF2649">
        <w:rPr>
          <w:rStyle w:val="FootnoteReference"/>
        </w:rPr>
        <w:footnoteReference w:id="164"/>
      </w:r>
      <w:r w:rsidR="00BF2649">
        <w:t xml:space="preserve">  </w:t>
      </w:r>
      <w:r w:rsidR="00351941">
        <w:t xml:space="preserve">This is because </w:t>
      </w:r>
      <w:r>
        <w:t xml:space="preserve">“in virtually every first amendment press case”—from the </w:t>
      </w:r>
      <w:r w:rsidRPr="00C3125E">
        <w:rPr>
          <w:i/>
          <w:iCs/>
        </w:rPr>
        <w:t>Sullivan</w:t>
      </w:r>
      <w:r w:rsidRPr="00341DA6">
        <w:t>-</w:t>
      </w:r>
      <w:r>
        <w:rPr>
          <w:i/>
          <w:iCs/>
        </w:rPr>
        <w:t>Gertz</w:t>
      </w:r>
      <w:r w:rsidRPr="00341DA6">
        <w:t>-</w:t>
      </w:r>
      <w:r>
        <w:rPr>
          <w:i/>
          <w:iCs/>
        </w:rPr>
        <w:t>Dun &amp; Bradstreet</w:t>
      </w:r>
      <w:r>
        <w:t>-</w:t>
      </w:r>
      <w:r>
        <w:rPr>
          <w:i/>
          <w:iCs/>
        </w:rPr>
        <w:t>Hepps</w:t>
      </w:r>
      <w:r w:rsidRPr="00341DA6">
        <w:t xml:space="preserve"> line</w:t>
      </w:r>
      <w:r>
        <w:t xml:space="preserve"> to </w:t>
      </w:r>
      <w:r w:rsidRPr="00C3125E">
        <w:rPr>
          <w:i/>
          <w:iCs/>
        </w:rPr>
        <w:t>Branzburg</w:t>
      </w:r>
      <w:r>
        <w:t xml:space="preserve"> to other classics of the era (e.g.,</w:t>
      </w:r>
      <w:r w:rsidRPr="00333AF0">
        <w:rPr>
          <w:i/>
          <w:iCs/>
        </w:rPr>
        <w:t xml:space="preserve"> Tornillo</w:t>
      </w:r>
      <w:r>
        <w:t xml:space="preserve">, </w:t>
      </w:r>
      <w:r w:rsidRPr="00341DA6">
        <w:rPr>
          <w:i/>
          <w:iCs/>
        </w:rPr>
        <w:t>Houchins</w:t>
      </w:r>
      <w:r>
        <w:t xml:space="preserve">, </w:t>
      </w:r>
      <w:r w:rsidRPr="00333AF0">
        <w:rPr>
          <w:i/>
          <w:iCs/>
        </w:rPr>
        <w:t xml:space="preserve">Nebraska Press </w:t>
      </w:r>
      <w:r>
        <w:rPr>
          <w:i/>
          <w:iCs/>
        </w:rPr>
        <w:t>Association</w:t>
      </w:r>
      <w:r>
        <w:t>,</w:t>
      </w:r>
      <w:r w:rsidR="00351941">
        <w:t xml:space="preserve"> </w:t>
      </w:r>
      <w:r w:rsidR="00351941" w:rsidRPr="00351941">
        <w:rPr>
          <w:i/>
          <w:iCs/>
        </w:rPr>
        <w:t>Zurcher</w:t>
      </w:r>
      <w:r w:rsidR="00351941">
        <w:t>, and the other cases discussed above)—it is obvious whether the rights claimant is press.</w:t>
      </w:r>
      <w:r w:rsidR="00351941">
        <w:rPr>
          <w:rStyle w:val="FootnoteReference"/>
        </w:rPr>
        <w:footnoteReference w:id="165"/>
      </w:r>
      <w:r w:rsidR="00351941">
        <w:t xml:space="preserve">  If the issue is contested at all in such cases, all that is needed to determine press status is a little common sense and life experience.</w:t>
      </w:r>
      <w:r w:rsidR="00351941">
        <w:rPr>
          <w:rStyle w:val="FootnoteReference"/>
        </w:rPr>
        <w:footnoteReference w:id="166"/>
      </w:r>
    </w:p>
    <w:p w14:paraId="276553F1" w14:textId="209B32D3" w:rsidR="00EF60E2" w:rsidRPr="00EF60E2" w:rsidRDefault="00BF2649" w:rsidP="00BF2649">
      <w:pPr>
        <w:pStyle w:val="BodyText"/>
      </w:pPr>
      <w:r>
        <w:t>But even where “definitional difficulties” do occur, Abrams reminds us, they are not “</w:t>
      </w:r>
      <w:r w:rsidRPr="00021465">
        <w:t>insurmountable.</w:t>
      </w:r>
      <w:r>
        <w:t>”</w:t>
      </w:r>
      <w:r>
        <w:rPr>
          <w:rStyle w:val="FootnoteReference"/>
        </w:rPr>
        <w:footnoteReference w:id="167"/>
      </w:r>
      <w:r>
        <w:t xml:space="preserve">  Even a “conceded definitional difficulty is hardly a basis for affording no press clause protection at all.”</w:t>
      </w:r>
      <w:r>
        <w:rPr>
          <w:rStyle w:val="FootnoteReference"/>
        </w:rPr>
        <w:footnoteReference w:id="168"/>
      </w:r>
      <w:r>
        <w:t xml:space="preserve">  Navigating nebulous concepts like “equal protection of the laws,” “</w:t>
      </w:r>
      <w:r w:rsidRPr="00F76455">
        <w:t>unreasonable searches and seizures</w:t>
      </w:r>
      <w:r>
        <w:t>,” and “</w:t>
      </w:r>
      <w:r w:rsidRPr="00F76455">
        <w:t>due process of law</w:t>
      </w:r>
      <w:r>
        <w:t>” is what courts do.</w:t>
      </w:r>
      <w:r>
        <w:rPr>
          <w:rStyle w:val="FootnoteReference"/>
        </w:rPr>
        <w:footnoteReference w:id="169"/>
      </w:r>
      <w:r>
        <w:t xml:space="preserve">  </w:t>
      </w:r>
      <w:r w:rsidR="00BD668F">
        <w:t>“[D]efining the press</w:t>
      </w:r>
      <w:r>
        <w:t>,</w:t>
      </w:r>
      <w:r w:rsidR="00BD668F">
        <w:t>”</w:t>
      </w:r>
      <w:r>
        <w:t xml:space="preserve"> Sonja West</w:t>
      </w:r>
      <w:r w:rsidR="00D50F7E">
        <w:t xml:space="preserve"> insists</w:t>
      </w:r>
      <w:r>
        <w:t xml:space="preserve">, </w:t>
      </w:r>
      <w:r w:rsidR="00BD668F">
        <w:t xml:space="preserve">can also </w:t>
      </w:r>
      <w:r w:rsidRPr="003B7BE7">
        <w:t>“be done.”</w:t>
      </w:r>
      <w:bookmarkStart w:id="33" w:name="_Ref198162275"/>
      <w:r>
        <w:rPr>
          <w:rStyle w:val="FootnoteReference"/>
        </w:rPr>
        <w:footnoteReference w:id="170"/>
      </w:r>
      <w:bookmarkEnd w:id="33"/>
    </w:p>
    <w:p w14:paraId="6CE6AD66" w14:textId="4CFD6587" w:rsidR="00B5306B" w:rsidRDefault="00894BB8" w:rsidP="00CB2B3A">
      <w:pPr>
        <w:pStyle w:val="BodyText"/>
      </w:pPr>
      <w:r>
        <w:t xml:space="preserve">Now is the time to settle on a definition that addresses the edge cases.  Infrequent though they may be, the rise and proliferation of new communication technologies and alternative media mean the number of instances in which it is </w:t>
      </w:r>
      <w:r w:rsidRPr="00894BB8">
        <w:rPr>
          <w:i/>
          <w:iCs/>
        </w:rPr>
        <w:t>not</w:t>
      </w:r>
      <w:r>
        <w:t xml:space="preserve"> </w:t>
      </w:r>
      <w:r>
        <w:lastRenderedPageBreak/>
        <w:t xml:space="preserve">clear that a </w:t>
      </w:r>
      <w:proofErr w:type="gramStart"/>
      <w:r>
        <w:t>litigant is</w:t>
      </w:r>
      <w:proofErr w:type="gramEnd"/>
      <w:r>
        <w:t xml:space="preserve"> press is likely to go up</w:t>
      </w:r>
      <w:r w:rsidR="00441C20">
        <w:t xml:space="preserve">.  As technology advances </w:t>
      </w:r>
      <w:proofErr w:type="gramStart"/>
      <w:r w:rsidR="00441C20">
        <w:t>apace</w:t>
      </w:r>
      <w:proofErr w:type="gramEnd"/>
      <w:r w:rsidR="00441C20">
        <w:t xml:space="preserve">, the line between traditional broadcast media and an individual with a smartphone will continue to blur.  The need to define the press is therefore more urgent than ever.  If the press indeed gets special rights, courts will have to determine who qualifies as press.  A workable definition to guide this analysis is </w:t>
      </w:r>
      <w:r w:rsidR="00AB4209">
        <w:t>the key that unlocks the door to these rights.</w:t>
      </w:r>
    </w:p>
    <w:p w14:paraId="00512707" w14:textId="3A8A25E1" w:rsidR="00471781" w:rsidRDefault="00053F24" w:rsidP="00471781">
      <w:pPr>
        <w:pStyle w:val="Heading1"/>
      </w:pPr>
      <w:bookmarkStart w:id="35" w:name="_Toc213017913"/>
      <w:r>
        <w:rPr>
          <w:bCs w:val="0"/>
        </w:rPr>
        <w:t>Attempts to define “press” have fallen short</w:t>
      </w:r>
      <w:bookmarkEnd w:id="35"/>
    </w:p>
    <w:p w14:paraId="3885D0C3" w14:textId="7BCB8C32" w:rsidR="00AA5342" w:rsidRDefault="00AA5342" w:rsidP="00471781">
      <w:pPr>
        <w:pStyle w:val="BodyText"/>
      </w:pPr>
      <w:r>
        <w:t>The First Amendment’s text</w:t>
      </w:r>
      <w:r w:rsidR="00A1643B">
        <w:t>, read in conjunction with the Fourteenth Amendment, proscribe</w:t>
      </w:r>
      <w:r w:rsidR="0051247D">
        <w:t>s</w:t>
      </w:r>
      <w:r w:rsidR="00A1643B">
        <w:t xml:space="preserve"> any law “</w:t>
      </w:r>
      <w:r w:rsidR="00A1643B" w:rsidRPr="00A1643B">
        <w:t xml:space="preserve">abridging the freedom </w:t>
      </w:r>
      <w:r w:rsidR="00A1643B">
        <w:t>. . .</w:t>
      </w:r>
      <w:r w:rsidR="00A1643B" w:rsidRPr="00A1643B">
        <w:t xml:space="preserve"> of the press</w:t>
      </w:r>
      <w:r w:rsidR="00A1643B">
        <w:t>.”</w:t>
      </w:r>
      <w:r w:rsidR="00A1643B">
        <w:rPr>
          <w:rStyle w:val="FootnoteReference"/>
        </w:rPr>
        <w:footnoteReference w:id="171"/>
      </w:r>
      <w:r w:rsidR="00A1643B">
        <w:t xml:space="preserve"> </w:t>
      </w:r>
      <w:r>
        <w:t xml:space="preserve"> </w:t>
      </w:r>
      <w:r w:rsidR="00A1643B">
        <w:t xml:space="preserve">If indeed </w:t>
      </w:r>
      <w:r>
        <w:t>this “</w:t>
      </w:r>
      <w:r w:rsidRPr="00F70C94">
        <w:t>provide</w:t>
      </w:r>
      <w:r w:rsidR="0051247D">
        <w:t>[s]</w:t>
      </w:r>
      <w:r w:rsidRPr="00F70C94">
        <w:t xml:space="preserve"> a special right for the press</w:t>
      </w:r>
      <w:r w:rsidR="0051247D">
        <w:t>,</w:t>
      </w:r>
      <w:r>
        <w:t>”</w:t>
      </w:r>
      <w:r w:rsidR="0051247D" w:rsidRPr="00411941">
        <w:rPr>
          <w:vertAlign w:val="superscript"/>
        </w:rPr>
        <w:footnoteReference w:id="172"/>
      </w:r>
      <w:r>
        <w:t xml:space="preserve"> </w:t>
      </w:r>
      <w:r w:rsidR="0051247D">
        <w:t>whether such rights are available turns on what “the press” is.  In the absence of clear historical record evidence</w:t>
      </w:r>
      <w:r w:rsidR="006C5359">
        <w:t xml:space="preserve"> or direction from the U.S. Supreme Court</w:t>
      </w:r>
      <w:r w:rsidR="0051247D">
        <w:t xml:space="preserve">, scholars have been left to </w:t>
      </w:r>
      <w:r w:rsidR="006C5359">
        <w:t xml:space="preserve">their own devices to attempt a definition, and none has yet </w:t>
      </w:r>
      <w:r w:rsidR="00D17C77">
        <w:t>proved</w:t>
      </w:r>
      <w:r w:rsidR="006C5359">
        <w:t xml:space="preserve"> entirely satisfying.</w:t>
      </w:r>
      <w:r w:rsidR="00D17C77">
        <w:t xml:space="preserve">  Nor have the definitions of “press” and related terms that the states have adopted for purposes of various statutes. </w:t>
      </w:r>
    </w:p>
    <w:p w14:paraId="5BB47A1B" w14:textId="6EF77BB6" w:rsidR="00471781" w:rsidRPr="00B5306B" w:rsidRDefault="00053F24" w:rsidP="00471781">
      <w:pPr>
        <w:pStyle w:val="Heading2"/>
      </w:pPr>
      <w:bookmarkStart w:id="36" w:name="_Ref213012258"/>
      <w:bookmarkStart w:id="37" w:name="_Toc213017914"/>
      <w:r>
        <w:rPr>
          <w:bCs w:val="0"/>
        </w:rPr>
        <w:t>Historical evidence is lacking</w:t>
      </w:r>
      <w:bookmarkEnd w:id="36"/>
      <w:bookmarkEnd w:id="37"/>
    </w:p>
    <w:p w14:paraId="027C20E4" w14:textId="6EBF84E9" w:rsidR="00B45326" w:rsidRDefault="00C11544" w:rsidP="007A1B57">
      <w:pPr>
        <w:pStyle w:val="BodyText"/>
      </w:pPr>
      <w:r>
        <w:t xml:space="preserve">As for the </w:t>
      </w:r>
      <w:r w:rsidR="00B45326">
        <w:t>what</w:t>
      </w:r>
      <w:r>
        <w:t xml:space="preserve"> the Framers intended</w:t>
      </w:r>
      <w:r w:rsidR="00B45326">
        <w:t xml:space="preserve"> “press” to mean</w:t>
      </w:r>
      <w:r>
        <w:t xml:space="preserve">, we know that </w:t>
      </w:r>
      <w:r w:rsidR="0030227F">
        <w:t>“</w:t>
      </w:r>
      <w:r w:rsidR="0030227F" w:rsidRPr="00411941">
        <w:t>James Madison and the Framers approved . . . a separate Press Clause”</w:t>
      </w:r>
      <w:r>
        <w:t>—but little else.</w:t>
      </w:r>
      <w:r w:rsidR="0030227F" w:rsidRPr="00411941">
        <w:rPr>
          <w:vertAlign w:val="superscript"/>
        </w:rPr>
        <w:footnoteReference w:id="173"/>
      </w:r>
      <w:r w:rsidR="0030227F" w:rsidRPr="00411941">
        <w:t xml:space="preserve"> </w:t>
      </w:r>
      <w:r w:rsidR="0030227F">
        <w:t xml:space="preserve"> </w:t>
      </w:r>
      <w:r w:rsidR="00B45326">
        <w:t xml:space="preserve">Madison’s initial draft </w:t>
      </w:r>
      <w:r w:rsidR="009D187C">
        <w:t>of the speech and press clauses, introduced in the House of Representatives in June 1789, would have provided that “[t]</w:t>
      </w:r>
      <w:r w:rsidR="009D187C" w:rsidRPr="009D187C">
        <w:t xml:space="preserve">he people shall not be </w:t>
      </w:r>
      <w:r w:rsidR="009D187C" w:rsidRPr="009D187C">
        <w:lastRenderedPageBreak/>
        <w:t>deprived or abridged of their right to speak, to write, or to publish their sentiments; and the freedom of the press, as one of the great bulwarks of liberty, shall be inviolable.</w:t>
      </w:r>
      <w:r w:rsidR="009D187C">
        <w:t>”</w:t>
      </w:r>
      <w:r w:rsidR="009D187C">
        <w:rPr>
          <w:rStyle w:val="FootnoteReference"/>
        </w:rPr>
        <w:footnoteReference w:id="174"/>
      </w:r>
      <w:r w:rsidR="009D187C">
        <w:t xml:space="preserve">  Madison had also proposed language that would have limited the power of the states with respect to the press specifically.</w:t>
      </w:r>
      <w:r w:rsidR="009D187C">
        <w:rPr>
          <w:rStyle w:val="FootnoteReference"/>
        </w:rPr>
        <w:footnoteReference w:id="175"/>
      </w:r>
      <w:r w:rsidR="009D187C">
        <w:t xml:space="preserve">   The amendment passed the House but was voted down in the Senate.</w:t>
      </w:r>
      <w:bookmarkStart w:id="38" w:name="_Ref212997364"/>
      <w:r w:rsidR="009D187C">
        <w:rPr>
          <w:rStyle w:val="FootnoteReference"/>
        </w:rPr>
        <w:footnoteReference w:id="176"/>
      </w:r>
      <w:bookmarkEnd w:id="38"/>
      <w:r w:rsidR="007A1B57">
        <w:t xml:space="preserve">  </w:t>
      </w:r>
      <w:r w:rsidR="009D187C">
        <w:t>After rewrites by a House special committee and the Senate, the First Amendment assumed its modern form.</w:t>
      </w:r>
      <w:r w:rsidR="007A1B57">
        <w:rPr>
          <w:rStyle w:val="FootnoteReference"/>
        </w:rPr>
        <w:footnoteReference w:id="177"/>
      </w:r>
      <w:r w:rsidR="009D187C">
        <w:t xml:space="preserve">  </w:t>
      </w:r>
    </w:p>
    <w:p w14:paraId="47914A4B" w14:textId="7FDD1FAD" w:rsidR="003F081B" w:rsidRDefault="007A1B57" w:rsidP="003F081B">
      <w:pPr>
        <w:pStyle w:val="BodyText"/>
      </w:pPr>
      <w:bookmarkStart w:id="40" w:name="_Hlk213017748"/>
      <w:r>
        <w:t xml:space="preserve">What little legislative history survives does not address the meaning of the term “press.”  </w:t>
      </w:r>
      <w:r w:rsidR="007A7F9A">
        <w:t>It is quite possible that it was never generated in the first place, as “[t]</w:t>
      </w:r>
      <w:r w:rsidR="007A7F9A" w:rsidRPr="007A7F9A">
        <w:t>here was relatively little debate over the speech and press clauses in the House, and there is no record of debate over the clauses in the Senate</w:t>
      </w:r>
      <w:r w:rsidR="007A7F9A">
        <w:t>.”</w:t>
      </w:r>
      <w:r w:rsidR="007A7F9A">
        <w:rPr>
          <w:rStyle w:val="FootnoteReference"/>
        </w:rPr>
        <w:footnoteReference w:id="178"/>
      </w:r>
      <w:r w:rsidR="002B77C9">
        <w:t xml:space="preserve">  </w:t>
      </w:r>
      <w:r w:rsidR="003F081B">
        <w:t>One explanation for this is that conducting proceedings in relative secrecy avoided any chilling effects and encouraged candid debate.</w:t>
      </w:r>
      <w:bookmarkEnd w:id="40"/>
      <w:r w:rsidR="003F081B">
        <w:t xml:space="preserve">  Another is that Madison actively hoped to </w:t>
      </w:r>
      <w:r w:rsidR="003F081B" w:rsidRPr="003F081B">
        <w:rPr>
          <w:i/>
          <w:iCs/>
        </w:rPr>
        <w:t>avoid</w:t>
      </w:r>
      <w:r w:rsidR="003F081B">
        <w:t xml:space="preserve"> debate.  He warned against “</w:t>
      </w:r>
      <w:r w:rsidR="003F081B" w:rsidRPr="003F081B">
        <w:t>discussing and proposing abstract propositions, of which the judgment may not be convinced</w:t>
      </w:r>
      <w:r w:rsidR="003F081B">
        <w:t xml:space="preserve">”; instead, he </w:t>
      </w:r>
      <w:r w:rsidR="002841C6">
        <w:t>encouraged the Framers to “</w:t>
      </w:r>
      <w:r w:rsidR="003F081B" w:rsidRPr="003F081B">
        <w:t xml:space="preserve">confine </w:t>
      </w:r>
      <w:r w:rsidR="002841C6">
        <w:t>[them]</w:t>
      </w:r>
      <w:r w:rsidR="003F081B" w:rsidRPr="003F081B">
        <w:t>selves to an enumeration of simple, acknowledged principles</w:t>
      </w:r>
      <w:r w:rsidR="002841C6">
        <w:t>” so that “</w:t>
      </w:r>
      <w:r w:rsidR="003F081B" w:rsidRPr="003F081B">
        <w:t>ratification will meet with but little difficulty.</w:t>
      </w:r>
      <w:r w:rsidR="002841C6">
        <w:t>”</w:t>
      </w:r>
      <w:r w:rsidR="002841C6">
        <w:rPr>
          <w:rStyle w:val="FootnoteReference"/>
        </w:rPr>
        <w:footnoteReference w:id="179"/>
      </w:r>
      <w:r w:rsidR="002841C6">
        <w:t xml:space="preserve">  Perhaps Madison hoped the </w:t>
      </w:r>
      <w:r w:rsidR="002841C6">
        <w:lastRenderedPageBreak/>
        <w:t>Framers would take for granted what “freedom of the press” meant—or at least put their differences of opinion on the subject aside for the time being.</w:t>
      </w:r>
    </w:p>
    <w:p w14:paraId="14757A26" w14:textId="00D4F2E1" w:rsidR="00B45326" w:rsidRDefault="00AA5342" w:rsidP="0030227F">
      <w:pPr>
        <w:pStyle w:val="BodyText"/>
      </w:pPr>
      <w:r>
        <w:t xml:space="preserve">It is </w:t>
      </w:r>
      <w:r w:rsidR="002841C6">
        <w:t xml:space="preserve">entirely </w:t>
      </w:r>
      <w:r>
        <w:t xml:space="preserve">possible, </w:t>
      </w:r>
      <w:r w:rsidR="002841C6">
        <w:t>if not likely</w:t>
      </w:r>
      <w:r>
        <w:t xml:space="preserve">, that the </w:t>
      </w:r>
      <w:r w:rsidR="002841C6">
        <w:t>F</w:t>
      </w:r>
      <w:r>
        <w:t xml:space="preserve">ramers themselves would </w:t>
      </w:r>
      <w:r w:rsidR="002841C6">
        <w:t xml:space="preserve">have disagreed about </w:t>
      </w:r>
      <w:r>
        <w:t>the breadth of the term “press.”</w:t>
      </w:r>
      <w:r w:rsidR="002841C6">
        <w:t xml:space="preserve">  Their views on press freedom might not have been captured in the legislative history of the First </w:t>
      </w:r>
      <w:r w:rsidR="006916F1">
        <w:t>Amendment</w:t>
      </w:r>
      <w:r w:rsidR="002841C6">
        <w:t xml:space="preserve">, </w:t>
      </w:r>
      <w:r w:rsidR="006916F1">
        <w:t>but they show up in some of their other writings.</w:t>
      </w:r>
    </w:p>
    <w:p w14:paraId="4B2FE8DA" w14:textId="6332A563" w:rsidR="00F32F31" w:rsidRDefault="00F32F31" w:rsidP="00F32F31">
      <w:pPr>
        <w:pStyle w:val="BodyText"/>
      </w:pPr>
      <w:r>
        <w:t xml:space="preserve">Madison, </w:t>
      </w:r>
      <w:r w:rsidR="006916F1">
        <w:t>for example, opposed</w:t>
      </w:r>
      <w:r>
        <w:t xml:space="preserve"> the federal Sedition Act of 1798</w:t>
      </w:r>
      <w:r w:rsidR="006916F1">
        <w:rPr>
          <w:rStyle w:val="FootnoteReference"/>
        </w:rPr>
        <w:footnoteReference w:id="180"/>
      </w:r>
      <w:r w:rsidR="006916F1">
        <w:t xml:space="preserve"> (which made it </w:t>
      </w:r>
      <w:r>
        <w:t>unlawful to “write, print, utter or publish . . . any false, scandalous and malicious writing or writings against the government of the United States . . . with the intent to defame the said government . . . or to bring [it] into contempt or disrepute”</w:t>
      </w:r>
      <w:r w:rsidR="006916F1">
        <w:rPr>
          <w:rStyle w:val="FootnoteReference"/>
        </w:rPr>
        <w:footnoteReference w:id="181"/>
      </w:r>
      <w:r w:rsidR="006916F1">
        <w:t xml:space="preserve">) by drafting a state-level </w:t>
      </w:r>
      <w:r>
        <w:t>resolution</w:t>
      </w:r>
      <w:r w:rsidR="006916F1">
        <w:t xml:space="preserve"> for</w:t>
      </w:r>
      <w:r>
        <w:t xml:space="preserve"> the Virginia General Assembly </w:t>
      </w:r>
      <w:r w:rsidR="0037128B">
        <w:t>objecting</w:t>
      </w:r>
      <w:r w:rsidR="006916F1">
        <w:t xml:space="preserve"> on the ground, among others, </w:t>
      </w:r>
      <w:r>
        <w:t xml:space="preserve">that the </w:t>
      </w:r>
      <w:r w:rsidR="0037128B">
        <w:t xml:space="preserve">Sedition </w:t>
      </w:r>
      <w:r>
        <w:t>Act limited “that right of freely examining public characters and measures, and of free communications among the people thereon, which has ever been justly deemed[] the only effectual guardian of every other right.”</w:t>
      </w:r>
      <w:r>
        <w:rPr>
          <w:rStyle w:val="FootnoteReference"/>
        </w:rPr>
        <w:footnoteReference w:id="182"/>
      </w:r>
      <w:r w:rsidR="0037128B">
        <w:t xml:space="preserve">  This description of the right suggests a broad view of press freedom.</w:t>
      </w:r>
    </w:p>
    <w:p w14:paraId="315A6703" w14:textId="687C946A" w:rsidR="00C1792D" w:rsidRDefault="006916F1" w:rsidP="00F32F31">
      <w:pPr>
        <w:pStyle w:val="BodyText"/>
      </w:pPr>
      <w:r>
        <w:lastRenderedPageBreak/>
        <w:t>Jefferson</w:t>
      </w:r>
      <w:r w:rsidR="0037128B">
        <w:t xml:space="preserve"> would have gone even further than Madison in opposing the Sedition Act</w:t>
      </w:r>
      <w:r w:rsidR="00F32F31">
        <w:t>.</w:t>
      </w:r>
      <w:r w:rsidR="00F32F31">
        <w:rPr>
          <w:rStyle w:val="FootnoteReference"/>
        </w:rPr>
        <w:footnoteReference w:id="183"/>
      </w:r>
      <w:r w:rsidR="00F32F31">
        <w:t xml:space="preserve">  </w:t>
      </w:r>
      <w:r w:rsidR="006A5E9D">
        <w:t xml:space="preserve">But in his private correspondence, he </w:t>
      </w:r>
      <w:r w:rsidR="0037128B">
        <w:t>often discussed press</w:t>
      </w:r>
      <w:r w:rsidR="006A5E9D">
        <w:t xml:space="preserve"> </w:t>
      </w:r>
      <w:r w:rsidR="0037128B">
        <w:t>freedom in the context of institutional media such as newspapers.</w:t>
      </w:r>
      <w:r w:rsidR="006A5E9D">
        <w:t xml:space="preserve">  In one example, Jefferson famously wrote,</w:t>
      </w:r>
      <w:r w:rsidR="006A5E9D" w:rsidRPr="00801533">
        <w:t xml:space="preserve"> “[W]ere it left to me to decide whether we should have a government without newspapers, or newspapers without a government, I should not hesitate a moment to prefer the latter.”</w:t>
      </w:r>
      <w:r w:rsidR="0037128B">
        <w:rPr>
          <w:rStyle w:val="FootnoteReference"/>
        </w:rPr>
        <w:footnoteReference w:id="184"/>
      </w:r>
      <w:r w:rsidR="0037128B">
        <w:t xml:space="preserve">  </w:t>
      </w:r>
      <w:r w:rsidR="006A5E9D">
        <w:t xml:space="preserve">With the exception of </w:t>
      </w:r>
      <w:r w:rsidR="00F6300A">
        <w:t>defamatory falsehoods,</w:t>
      </w:r>
      <w:r w:rsidR="00C87C1F">
        <w:rPr>
          <w:rStyle w:val="FootnoteReference"/>
        </w:rPr>
        <w:footnoteReference w:id="185"/>
      </w:r>
      <w:r w:rsidR="006A5E9D">
        <w:t xml:space="preserve"> Jefferson </w:t>
      </w:r>
      <w:r w:rsidR="00F6300A">
        <w:t>was as close as the Framers would come to a “free-press absolutist.”</w:t>
      </w:r>
      <w:r w:rsidR="00F32F31">
        <w:t xml:space="preserve">  </w:t>
      </w:r>
      <w:r w:rsidR="00C1792D">
        <w:t xml:space="preserve">In 1786, Jefferson explained to a correspondent that our very </w:t>
      </w:r>
      <w:r w:rsidR="00F32F31">
        <w:t>“liberty depends on the freedom of the press, and that cannot be limited without being lost.”</w:t>
      </w:r>
      <w:bookmarkStart w:id="41" w:name="_Ref213017641"/>
      <w:r w:rsidR="00F32F31">
        <w:rPr>
          <w:rStyle w:val="FootnoteReference"/>
        </w:rPr>
        <w:footnoteReference w:id="186"/>
      </w:r>
      <w:bookmarkEnd w:id="41"/>
      <w:r w:rsidR="00F32F31">
        <w:t xml:space="preserve">  </w:t>
      </w:r>
      <w:r w:rsidR="00335E42">
        <w:t>From that per</w:t>
      </w:r>
      <w:r w:rsidR="00C87C1F">
        <w:t xml:space="preserve">spective, Jefferson </w:t>
      </w:r>
      <w:r w:rsidR="00C1792D">
        <w:t>propos</w:t>
      </w:r>
      <w:r w:rsidR="00C87C1F">
        <w:t>ed</w:t>
      </w:r>
      <w:r w:rsidR="00C1792D">
        <w:t xml:space="preserve"> in a 1789 letter to Madison a </w:t>
      </w:r>
      <w:r w:rsidR="00C1792D">
        <w:lastRenderedPageBreak/>
        <w:t>version of the Speech and Press Clauses that would have read, “</w:t>
      </w:r>
      <w:r w:rsidR="00C1792D" w:rsidRPr="00BE384B">
        <w:t>The people shall not be deprived or abridged of their right to speak, to write or otherwise to publish anything but false facts affecting injuriously the life, liberty, property, or reputation of others or affecting the peace of the confederacy with foreign nations</w:t>
      </w:r>
      <w:r w:rsidR="00C1792D">
        <w:t>.”</w:t>
      </w:r>
      <w:r w:rsidR="00C1792D">
        <w:rPr>
          <w:rStyle w:val="FootnoteReference"/>
        </w:rPr>
        <w:footnoteReference w:id="187"/>
      </w:r>
      <w:r w:rsidR="00C87C1F">
        <w:t xml:space="preserve">  As in Madison’s case, this historical evidence suggests that Jefferson had a broad view of press freedom—but when he mentioned “the press” in casual speech, he seemed to refer to the </w:t>
      </w:r>
      <w:r w:rsidR="00C87C1F" w:rsidRPr="00C87C1F">
        <w:rPr>
          <w:i/>
          <w:iCs/>
        </w:rPr>
        <w:t>institutional</w:t>
      </w:r>
      <w:r w:rsidR="00C87C1F">
        <w:t xml:space="preserve"> press.</w:t>
      </w:r>
    </w:p>
    <w:p w14:paraId="0DD0281C" w14:textId="29F8B8DD" w:rsidR="00471781" w:rsidRDefault="00B93458" w:rsidP="003B25B2">
      <w:pPr>
        <w:pStyle w:val="BodyText"/>
      </w:pPr>
      <w:r>
        <w:t xml:space="preserve">If the Framers’ </w:t>
      </w:r>
      <w:r w:rsidR="008C0345">
        <w:t>views</w:t>
      </w:r>
      <w:r>
        <w:t xml:space="preserve"> of the press were not even internally consistent within a given individual</w:t>
      </w:r>
      <w:r w:rsidR="008C0345">
        <w:t>, it is no surprise that they left the contours of the press right undefined.</w:t>
      </w:r>
    </w:p>
    <w:p w14:paraId="06C2189E" w14:textId="15978CC8" w:rsidR="00471781" w:rsidRDefault="00AC0660" w:rsidP="00471781">
      <w:pPr>
        <w:pStyle w:val="Heading2"/>
      </w:pPr>
      <w:bookmarkStart w:id="42" w:name="_Toc213017915"/>
      <w:r>
        <w:rPr>
          <w:bCs w:val="0"/>
        </w:rPr>
        <w:t>There is no scholarly consensus</w:t>
      </w:r>
      <w:bookmarkEnd w:id="42"/>
    </w:p>
    <w:p w14:paraId="4F1A66B1" w14:textId="4144D6FF" w:rsidR="00C31F54" w:rsidRDefault="008C0345" w:rsidP="00C31F54">
      <w:pPr>
        <w:pStyle w:val="BodyText"/>
      </w:pPr>
      <w:r>
        <w:t>S</w:t>
      </w:r>
      <w:r w:rsidR="00C31F54">
        <w:t>cholars</w:t>
      </w:r>
      <w:r>
        <w:t>, left with little source material,</w:t>
      </w:r>
      <w:r w:rsidR="00C31F54">
        <w:t xml:space="preserve"> have </w:t>
      </w:r>
      <w:r>
        <w:t>taken different tacks</w:t>
      </w:r>
      <w:r w:rsidR="00C31F54">
        <w:t xml:space="preserve"> </w:t>
      </w:r>
      <w:r>
        <w:t>in their examinations of what “press” means.</w:t>
      </w:r>
    </w:p>
    <w:p w14:paraId="08F8CCD5" w14:textId="3CC240ED" w:rsidR="0077789F" w:rsidRDefault="0077789F" w:rsidP="00C31F54">
      <w:pPr>
        <w:pStyle w:val="BodyText"/>
        <w:rPr>
          <w:rFonts w:cs="Times New Roman"/>
        </w:rPr>
      </w:pPr>
      <w:bookmarkStart w:id="43" w:name="_Hlk212852420"/>
      <w:r>
        <w:t xml:space="preserve">Decades ago, Abrams grouped </w:t>
      </w:r>
      <w:r w:rsidR="006B262D">
        <w:t xml:space="preserve">the </w:t>
      </w:r>
      <w:r>
        <w:t xml:space="preserve">existing attempts </w:t>
      </w:r>
      <w:r w:rsidR="006B262D">
        <w:t>at a definition</w:t>
      </w:r>
      <w:r>
        <w:t xml:space="preserve"> into three categories: (1) “all who write,” whether “the occasional pamphleteer” or “the regularly employed journalist”; (2) a “functional” approach that would sweep in “</w:t>
      </w:r>
      <w:r>
        <w:rPr>
          <w:rFonts w:cs="Times New Roman"/>
        </w:rPr>
        <w:t>free-lance writers, radio and televi</w:t>
      </w:r>
      <w:r w:rsidRPr="004544BE">
        <w:rPr>
          <w:rFonts w:cs="Times New Roman"/>
        </w:rPr>
        <w:t xml:space="preserve">sion stations, magazines, academicians and any </w:t>
      </w:r>
      <w:r w:rsidRPr="004544BE">
        <w:rPr>
          <w:rFonts w:cs="Times New Roman"/>
        </w:rPr>
        <w:lastRenderedPageBreak/>
        <w:t>other person possessing</w:t>
      </w:r>
      <w:r>
        <w:rPr>
          <w:rFonts w:cs="Times New Roman"/>
        </w:rPr>
        <w:t xml:space="preserve"> </w:t>
      </w:r>
      <w:r w:rsidRPr="004544BE">
        <w:rPr>
          <w:rFonts w:cs="Times New Roman"/>
        </w:rPr>
        <w:t>materials in connection with the dissemination to the public</w:t>
      </w:r>
      <w:r>
        <w:rPr>
          <w:rFonts w:cs="Times New Roman"/>
        </w:rPr>
        <w:t xml:space="preserve"> </w:t>
      </w:r>
      <w:r w:rsidRPr="004544BE">
        <w:rPr>
          <w:rFonts w:cs="Times New Roman"/>
        </w:rPr>
        <w:t>of a newspaper, book, broadcast or other form of communication</w:t>
      </w:r>
      <w:r>
        <w:rPr>
          <w:rFonts w:cs="Times New Roman"/>
        </w:rPr>
        <w:t xml:space="preserve">”; and (3) “the ‘institutional press,’” often defined by state statutes such as shield laws based on organizational and economic factors like “the </w:t>
      </w:r>
      <w:r w:rsidRPr="00622F14">
        <w:rPr>
          <w:rFonts w:cs="Times New Roman"/>
        </w:rPr>
        <w:t>regularity of employment of the journalist and</w:t>
      </w:r>
      <w:r>
        <w:rPr>
          <w:rFonts w:cs="Times New Roman"/>
        </w:rPr>
        <w:t xml:space="preserve"> </w:t>
      </w:r>
      <w:r w:rsidRPr="00622F14">
        <w:rPr>
          <w:rFonts w:cs="Times New Roman"/>
        </w:rPr>
        <w:t>the regularity of publication of the newspaper involved</w:t>
      </w:r>
      <w:r>
        <w:rPr>
          <w:rFonts w:cs="Times New Roman"/>
        </w:rPr>
        <w:t>.”</w:t>
      </w:r>
      <w:r>
        <w:rPr>
          <w:rStyle w:val="FootnoteReference"/>
          <w:rFonts w:cs="Times New Roman"/>
        </w:rPr>
        <w:footnoteReference w:id="188"/>
      </w:r>
      <w:bookmarkEnd w:id="43"/>
    </w:p>
    <w:p w14:paraId="45566795" w14:textId="60B4DCEC" w:rsidR="0077789F" w:rsidRDefault="006B262D" w:rsidP="001F3E71">
      <w:pPr>
        <w:pStyle w:val="BodyText"/>
      </w:pPr>
      <w:r>
        <w:t xml:space="preserve">In the early 2010s, likely spurred by the debate among the Justices in </w:t>
      </w:r>
      <w:r w:rsidRPr="002A747A">
        <w:rPr>
          <w:i/>
          <w:iCs/>
        </w:rPr>
        <w:t>Citizens United v. FEC</w:t>
      </w:r>
      <w:r>
        <w:t xml:space="preserve"> over whether “the institutional press” has more rights under the First Amendment than other corporations,</w:t>
      </w:r>
      <w:r>
        <w:rPr>
          <w:rStyle w:val="FootnoteReference"/>
        </w:rPr>
        <w:footnoteReference w:id="189"/>
      </w:r>
      <w:r>
        <w:t xml:space="preserve"> </w:t>
      </w:r>
      <w:r w:rsidR="001F3E71">
        <w:t xml:space="preserve">three important articles—one falling into each of Abrams’ categories—rekindled scholarly interest in </w:t>
      </w:r>
      <w:r>
        <w:t xml:space="preserve">defining </w:t>
      </w:r>
      <w:r w:rsidR="001F3E71">
        <w:t xml:space="preserve">the </w:t>
      </w:r>
      <w:r>
        <w:t xml:space="preserve">press for </w:t>
      </w:r>
      <w:r w:rsidR="001F3E71">
        <w:t xml:space="preserve">the purposes of the </w:t>
      </w:r>
      <w:r>
        <w:t>Press Clause.</w:t>
      </w:r>
      <w:bookmarkStart w:id="44" w:name="_Ref159786881"/>
      <w:r>
        <w:rPr>
          <w:rStyle w:val="FootnoteReference"/>
        </w:rPr>
        <w:footnoteReference w:id="190"/>
      </w:r>
      <w:bookmarkEnd w:id="44"/>
    </w:p>
    <w:p w14:paraId="3CE28287" w14:textId="25B47675" w:rsidR="008007BA" w:rsidRPr="008007BA" w:rsidRDefault="0077789F" w:rsidP="00A316AC">
      <w:pPr>
        <w:pStyle w:val="Heading3"/>
      </w:pPr>
      <w:bookmarkStart w:id="45" w:name="_Toc213017916"/>
      <w:r>
        <w:t xml:space="preserve">Press as </w:t>
      </w:r>
      <w:r w:rsidR="00DB084C">
        <w:t xml:space="preserve">a </w:t>
      </w:r>
      <w:r>
        <w:t>technology</w:t>
      </w:r>
      <w:bookmarkEnd w:id="45"/>
    </w:p>
    <w:p w14:paraId="21B040C8" w14:textId="35F1DD4C" w:rsidR="00024DD9" w:rsidRPr="008007BA" w:rsidRDefault="001F3E71" w:rsidP="00A034C2">
      <w:pPr>
        <w:pStyle w:val="BodyText"/>
      </w:pPr>
      <w:r>
        <w:rPr>
          <w:rFonts w:eastAsia="Times New Roman" w:cs="Times New Roman"/>
          <w:color w:val="000000"/>
        </w:rPr>
        <w:t>The “</w:t>
      </w:r>
      <w:r>
        <w:t>all who write” position was, in essence, the one Eugene Volokh advocated for</w:t>
      </w:r>
      <w:r w:rsidR="00281DC3">
        <w:t xml:space="preserve"> in his 2012 article, </w:t>
      </w:r>
      <w:r w:rsidR="00281DC3" w:rsidRPr="00801533">
        <w:rPr>
          <w:i/>
          <w:iCs/>
        </w:rPr>
        <w:t>Freedom for the Press as an Industry, or for the Press as a Technology? From the Framing to Today</w:t>
      </w:r>
      <w:r w:rsidR="00281DC3">
        <w:t xml:space="preserve">.  After reviewing </w:t>
      </w:r>
      <w:r w:rsidR="00C31F54">
        <w:t xml:space="preserve">the framing-era historical record, </w:t>
      </w:r>
      <w:r w:rsidR="00281DC3">
        <w:t xml:space="preserve">as well as </w:t>
      </w:r>
      <w:r w:rsidR="00C31F54">
        <w:t xml:space="preserve">“even clearer” evidence from </w:t>
      </w:r>
      <w:r w:rsidR="00627FD6">
        <w:t xml:space="preserve">legislative history of </w:t>
      </w:r>
      <w:r w:rsidR="00627FD6">
        <w:lastRenderedPageBreak/>
        <w:t xml:space="preserve">the </w:t>
      </w:r>
      <w:r w:rsidR="00C31F54">
        <w:t>Fourteenth Amendment</w:t>
      </w:r>
      <w:r w:rsidR="00627FD6">
        <w:t xml:space="preserve">, Volokh </w:t>
      </w:r>
      <w:r w:rsidR="00C31F54">
        <w:t>conclude</w:t>
      </w:r>
      <w:r w:rsidR="00627FD6">
        <w:t>d</w:t>
      </w:r>
      <w:r w:rsidR="00C31F54">
        <w:t xml:space="preserve"> that the Press Clause “protects everyone’s use of the printing </w:t>
      </w:r>
      <w:r w:rsidR="00C31F54" w:rsidRPr="00DB3A21">
        <w:rPr>
          <w:i/>
          <w:iCs/>
        </w:rPr>
        <w:t>press</w:t>
      </w:r>
      <w:r w:rsidR="00C31F54">
        <w:t xml:space="preserve"> (and its modern equivalents) as a </w:t>
      </w:r>
      <w:r w:rsidR="00C31F54" w:rsidRPr="00DB3A21">
        <w:rPr>
          <w:i/>
          <w:iCs/>
        </w:rPr>
        <w:t>technology</w:t>
      </w:r>
      <w:r w:rsidR="00C31F54">
        <w:t>.”</w:t>
      </w:r>
      <w:r w:rsidR="00C31F54">
        <w:rPr>
          <w:rStyle w:val="FootnoteReference"/>
        </w:rPr>
        <w:footnoteReference w:id="191"/>
      </w:r>
      <w:r w:rsidR="00C31F54">
        <w:t xml:space="preserve">  This </w:t>
      </w:r>
      <w:r w:rsidR="00627FD6">
        <w:t>definition would include</w:t>
      </w:r>
      <w:r w:rsidR="00C31F54">
        <w:t xml:space="preserve"> any mechanism that </w:t>
      </w:r>
      <w:r w:rsidR="00627FD6">
        <w:t>allowed</w:t>
      </w:r>
      <w:r w:rsidR="00C31F54">
        <w:t xml:space="preserve"> </w:t>
      </w:r>
      <w:r w:rsidR="00627FD6">
        <w:t>a</w:t>
      </w:r>
      <w:r w:rsidR="00C31F54">
        <w:t xml:space="preserve"> speaker “‘to communicate with a large, unseen audience,’ even using new technologies that were not known to the Framers.”</w:t>
      </w:r>
      <w:r w:rsidR="00C31F54">
        <w:rPr>
          <w:rStyle w:val="FootnoteReference"/>
        </w:rPr>
        <w:footnoteReference w:id="192"/>
      </w:r>
      <w:r w:rsidR="00C31F54">
        <w:t xml:space="preserve">  </w:t>
      </w:r>
      <w:r w:rsidR="00627FD6">
        <w:t>B</w:t>
      </w:r>
      <w:r w:rsidR="00024DD9">
        <w:t xml:space="preserve">ecause anyone could access </w:t>
      </w:r>
      <w:r w:rsidR="00627FD6">
        <w:t>such technologies</w:t>
      </w:r>
      <w:r w:rsidR="00024DD9">
        <w:t xml:space="preserve">, there </w:t>
      </w:r>
      <w:r w:rsidR="00627FD6">
        <w:t>would be</w:t>
      </w:r>
      <w:r w:rsidR="00024DD9">
        <w:t xml:space="preserve"> no point in adding additional protections for the press beyond those individual speakers already enjoy—after all, its users </w:t>
      </w:r>
      <w:r w:rsidR="00024DD9" w:rsidRPr="00C8551A">
        <w:rPr>
          <w:i/>
          <w:iCs/>
        </w:rPr>
        <w:t>are</w:t>
      </w:r>
      <w:r w:rsidR="00024DD9">
        <w:t xml:space="preserve"> individual speakers.</w:t>
      </w:r>
      <w:r w:rsidR="00024DD9">
        <w:rPr>
          <w:rStyle w:val="FootnoteReference"/>
        </w:rPr>
        <w:footnoteReference w:id="193"/>
      </w:r>
    </w:p>
    <w:p w14:paraId="771A7856" w14:textId="7EE75A51" w:rsidR="008007BA" w:rsidRPr="008007BA" w:rsidRDefault="00DB084C" w:rsidP="0077789F">
      <w:pPr>
        <w:pStyle w:val="Heading3"/>
      </w:pPr>
      <w:bookmarkStart w:id="46" w:name="_Toc213017917"/>
      <w:r>
        <w:t>Press as a set of functions</w:t>
      </w:r>
      <w:bookmarkEnd w:id="46"/>
    </w:p>
    <w:p w14:paraId="0DA4EF17" w14:textId="04C124BA" w:rsidR="000946D8" w:rsidRDefault="00BC063E" w:rsidP="000946D8">
      <w:pPr>
        <w:pStyle w:val="BodyText"/>
      </w:pPr>
      <w:r>
        <w:t xml:space="preserve">The article published by historian Patrick Charles and law professor </w:t>
      </w:r>
      <w:r w:rsidR="00C31F54">
        <w:t>Kevin O’Neill</w:t>
      </w:r>
      <w:r>
        <w:t xml:space="preserve"> later that year, </w:t>
      </w:r>
      <w:r w:rsidRPr="00801533">
        <w:rPr>
          <w:i/>
          <w:iCs/>
        </w:rPr>
        <w:t>Saving the Press Clause from Ruin: The Customary Origins of a ‘Free Press’ as Interface to the Present and Future</w:t>
      </w:r>
      <w:r>
        <w:t>, ended up taking a functional approach—albeit a much narrower range of functions than the list Abrams had put forward.</w:t>
      </w:r>
      <w:r>
        <w:rPr>
          <w:rStyle w:val="FootnoteReference"/>
        </w:rPr>
        <w:footnoteReference w:id="194"/>
      </w:r>
      <w:r>
        <w:t xml:space="preserve">  </w:t>
      </w:r>
      <w:r w:rsidR="000946D8">
        <w:t>Like Volokh, O’Neill and Charles approached the definitional issue from a historical perspective.</w:t>
      </w:r>
      <w:r w:rsidR="000946D8">
        <w:rPr>
          <w:rStyle w:val="FootnoteReference"/>
        </w:rPr>
        <w:footnoteReference w:id="195"/>
      </w:r>
      <w:r w:rsidR="000946D8">
        <w:t xml:space="preserve">  But they took issue with Volokh’s narrow focus on the time periods in which the relevant amendments were drafted, which, they argued, gave short shrift to the “</w:t>
      </w:r>
      <w:r w:rsidR="000946D8" w:rsidRPr="00801533">
        <w:t>rich history of a free press</w:t>
      </w:r>
      <w:r w:rsidR="00CC6FB1">
        <w:t>.</w:t>
      </w:r>
      <w:r w:rsidR="000946D8">
        <w:t>”</w:t>
      </w:r>
      <w:r w:rsidR="00CC6FB1">
        <w:rPr>
          <w:rStyle w:val="FootnoteReference"/>
        </w:rPr>
        <w:footnoteReference w:id="196"/>
      </w:r>
      <w:r w:rsidR="000946D8">
        <w:t xml:space="preserve"> </w:t>
      </w:r>
      <w:r w:rsidR="00CC6FB1">
        <w:t xml:space="preserve"> According to Charles and </w:t>
      </w:r>
      <w:r w:rsidR="00CC6FB1">
        <w:lastRenderedPageBreak/>
        <w:t>O’Neill, “the constitutional significance of the liberty of the press” actually “developed much earlier, through intellectual discourse and customary practice” in the century or so leading up to the founding</w:t>
      </w:r>
      <w:r w:rsidR="000946D8">
        <w:t>.</w:t>
      </w:r>
      <w:r w:rsidR="000946D8">
        <w:rPr>
          <w:rStyle w:val="FootnoteReference"/>
        </w:rPr>
        <w:footnoteReference w:id="197"/>
      </w:r>
      <w:r w:rsidR="000946D8">
        <w:t xml:space="preserve">  </w:t>
      </w:r>
    </w:p>
    <w:p w14:paraId="09EE4884" w14:textId="72AD4435" w:rsidR="00835469" w:rsidRDefault="00CC6FB1" w:rsidP="0079522D">
      <w:pPr>
        <w:pStyle w:val="BodyText"/>
      </w:pPr>
      <w:r>
        <w:t xml:space="preserve">This tradition, they argued, foreclosed </w:t>
      </w:r>
      <w:r w:rsidR="00C31F54">
        <w:t>Volokh</w:t>
      </w:r>
      <w:r>
        <w:t xml:space="preserve">’s conclusion </w:t>
      </w:r>
      <w:r w:rsidR="00C31F54">
        <w:t>that the Press Clause was “merely . . . an extension of free speech or a right to publish through the invention of printing.”</w:t>
      </w:r>
      <w:r w:rsidR="00C31F54">
        <w:rPr>
          <w:rStyle w:val="FootnoteReference"/>
        </w:rPr>
        <w:footnoteReference w:id="198"/>
      </w:r>
      <w:r w:rsidR="00C31F54">
        <w:t xml:space="preserve">  </w:t>
      </w:r>
      <w:r>
        <w:t xml:space="preserve">Rather, press freedom </w:t>
      </w:r>
      <w:r w:rsidR="0079522D">
        <w:t>was in service of a specific function: “</w:t>
      </w:r>
      <w:r w:rsidR="00C31F54">
        <w:t>investigat</w:t>
      </w:r>
      <w:r w:rsidR="0079522D">
        <w:t>[ing]</w:t>
      </w:r>
      <w:r w:rsidR="00C31F54">
        <w:t xml:space="preserve"> and report</w:t>
      </w:r>
      <w:r w:rsidR="0079522D">
        <w:t>[ing]</w:t>
      </w:r>
      <w:r w:rsidR="00C31F54">
        <w:t xml:space="preserve"> on the activities of government.”</w:t>
      </w:r>
      <w:r w:rsidR="00C31F54">
        <w:rPr>
          <w:rStyle w:val="FootnoteReference"/>
        </w:rPr>
        <w:footnoteReference w:id="199"/>
      </w:r>
      <w:r w:rsidR="00C31F54">
        <w:t xml:space="preserve">  </w:t>
      </w:r>
      <w:r w:rsidR="0079522D">
        <w:t xml:space="preserve">The “press” therefore referred to </w:t>
      </w:r>
      <w:r w:rsidR="00024DD9">
        <w:t>“</w:t>
      </w:r>
      <w:r w:rsidR="00024DD9" w:rsidRPr="005051F0">
        <w:t>newsgathering organizations</w:t>
      </w:r>
      <w:r w:rsidR="0079522D">
        <w:t>” that engaged in these activities specifically</w:t>
      </w:r>
      <w:r w:rsidR="00024DD9">
        <w:t>.</w:t>
      </w:r>
      <w:r w:rsidR="00024DD9" w:rsidRPr="00FA0F3E">
        <w:rPr>
          <w:rStyle w:val="FootnoteReference"/>
          <w:rFonts w:cs="Times New Roman"/>
        </w:rPr>
        <w:footnoteReference w:id="200"/>
      </w:r>
    </w:p>
    <w:p w14:paraId="5E60A296" w14:textId="48AC3F35" w:rsidR="0077789F" w:rsidRPr="0077789F" w:rsidRDefault="00DB084C" w:rsidP="0077789F">
      <w:pPr>
        <w:pStyle w:val="Heading3"/>
      </w:pPr>
      <w:bookmarkStart w:id="47" w:name="_Toc213017918"/>
      <w:r>
        <w:t>Press as an institution</w:t>
      </w:r>
      <w:bookmarkEnd w:id="47"/>
    </w:p>
    <w:p w14:paraId="4291DF9D" w14:textId="4D5EF892" w:rsidR="00DB084C" w:rsidRDefault="00DB084C" w:rsidP="00C31F54">
      <w:pPr>
        <w:pStyle w:val="BodyText"/>
      </w:pPr>
      <w:r>
        <w:t>Abrams’ third category, the “institutional press,”</w:t>
      </w:r>
      <w:r w:rsidR="00CB5A92">
        <w:rPr>
          <w:rStyle w:val="FootnoteReference"/>
          <w:rFonts w:cs="Times New Roman"/>
        </w:rPr>
        <w:footnoteReference w:id="201"/>
      </w:r>
      <w:r>
        <w:t xml:space="preserve"> is represented by Sonja West’s 2011 article, </w:t>
      </w:r>
      <w:r w:rsidRPr="00DB084C">
        <w:rPr>
          <w:i/>
          <w:iCs/>
        </w:rPr>
        <w:t>Awakening the Press Clause</w:t>
      </w:r>
      <w:r>
        <w:t>.</w:t>
      </w:r>
      <w:r w:rsidR="00CB5A92">
        <w:rPr>
          <w:rStyle w:val="FootnoteReference"/>
        </w:rPr>
        <w:footnoteReference w:id="202"/>
      </w:r>
      <w:r>
        <w:t xml:space="preserve">  Although West did not purport to “settl[e] the definitional question” in that piece, her proposed </w:t>
      </w:r>
      <w:r w:rsidR="00CB5A92">
        <w:t>approach focused on “</w:t>
      </w:r>
      <w:r w:rsidR="00CB5A92" w:rsidRPr="00CB5A92">
        <w:t>the unique functions of the press qua press</w:t>
      </w:r>
      <w:r w:rsidR="00CB5A92">
        <w:t>.”</w:t>
      </w:r>
      <w:r w:rsidR="00CB5A92">
        <w:rPr>
          <w:rStyle w:val="FootnoteReference"/>
        </w:rPr>
        <w:footnoteReference w:id="203"/>
      </w:r>
      <w:r w:rsidR="00CB5A92">
        <w:t xml:space="preserve">  Although West identified two functions that evoke Charles and O-Neill’s conclusion—“gather[ing] and convey[ing] information to the public about newsworthy matters” and </w:t>
      </w:r>
      <w:r w:rsidR="00D81E73">
        <w:t>“serv[ing] as a check on the government”—her adoption of “</w:t>
      </w:r>
      <w:r w:rsidR="00D81E73" w:rsidRPr="00D81E73">
        <w:t>distinguishing criteria</w:t>
      </w:r>
      <w:r w:rsidR="00D81E73">
        <w:t xml:space="preserve">” to “separate the repeat journalist from the occasional contributor to the public debate” has a distinctly </w:t>
      </w:r>
      <w:r w:rsidR="00D81E73">
        <w:lastRenderedPageBreak/>
        <w:t>institutional flavor.</w:t>
      </w:r>
      <w:r w:rsidR="00D81E73">
        <w:rPr>
          <w:rStyle w:val="FootnoteReference"/>
        </w:rPr>
        <w:footnoteReference w:id="204"/>
      </w:r>
      <w:r w:rsidR="00D81E73">
        <w:t xml:space="preserve">  In her view, criteria such as </w:t>
      </w:r>
      <w:r w:rsidRPr="00CA0727">
        <w:t>the “medium of communication or news affiliation,” “news-related activities,” “circulation or regularity of publication,” and “wage earning or livelihood”</w:t>
      </w:r>
      <w:r w:rsidR="00D81E73">
        <w:t xml:space="preserve"> </w:t>
      </w:r>
      <w:r>
        <w:t xml:space="preserve">were </w:t>
      </w:r>
      <w:r w:rsidR="00D81E73">
        <w:t>needed</w:t>
      </w:r>
      <w:r>
        <w:t xml:space="preserve"> </w:t>
      </w:r>
      <w:r w:rsidR="00D81E73">
        <w:t>in order to keep the focus on</w:t>
      </w:r>
      <w:r>
        <w:t xml:space="preserve"> </w:t>
      </w:r>
      <w:r w:rsidRPr="00C17511">
        <w:t>“people and entities who devote far more time, experience, expertise, and resources to being the press</w:t>
      </w:r>
      <w:r w:rsidR="00D81E73">
        <w:t>.</w:t>
      </w:r>
      <w:r w:rsidRPr="00C17511">
        <w:t>”</w:t>
      </w:r>
      <w:r>
        <w:rPr>
          <w:rStyle w:val="FootnoteReference"/>
        </w:rPr>
        <w:footnoteReference w:id="205"/>
      </w:r>
      <w:r>
        <w:t xml:space="preserve">  </w:t>
      </w:r>
      <w:r w:rsidR="0084644D">
        <w:t>If just anyone could act as press,</w:t>
      </w:r>
      <w:r>
        <w:t xml:space="preserve"> </w:t>
      </w:r>
      <w:r w:rsidR="0084644D">
        <w:t xml:space="preserve">there would be </w:t>
      </w:r>
      <w:r w:rsidRPr="00C17511">
        <w:t>“virtually complete overlap between press and speech</w:t>
      </w:r>
      <w:r w:rsidR="0084644D">
        <w:t>,</w:t>
      </w:r>
      <w:r>
        <w:t xml:space="preserve">” </w:t>
      </w:r>
      <w:r w:rsidR="0084644D">
        <w:t>and</w:t>
      </w:r>
      <w:r>
        <w:t xml:space="preserve"> the Press Clause </w:t>
      </w:r>
      <w:r w:rsidR="0084644D">
        <w:t xml:space="preserve">would lose its </w:t>
      </w:r>
      <w:r>
        <w:t>independent significance.</w:t>
      </w:r>
      <w:r w:rsidRPr="00FA0F3E">
        <w:rPr>
          <w:rStyle w:val="FootnoteReference"/>
          <w:rFonts w:cs="Times New Roman"/>
        </w:rPr>
        <w:footnoteReference w:id="206"/>
      </w:r>
    </w:p>
    <w:p w14:paraId="40742868" w14:textId="4D9D9F7B" w:rsidR="00024DD9" w:rsidRPr="00024DD9" w:rsidRDefault="00024DD9" w:rsidP="00C31F54">
      <w:pPr>
        <w:pStyle w:val="BodyText"/>
      </w:pPr>
      <w:r>
        <w:t xml:space="preserve">These proposed definitions each offer </w:t>
      </w:r>
      <w:r w:rsidR="00592664">
        <w:t>important insights</w:t>
      </w:r>
      <w:r>
        <w:t xml:space="preserve">.  West’s concern that </w:t>
      </w:r>
      <w:r w:rsidR="00592664">
        <w:t>the definition of press be narrow and specific enough to serve as a basis for press rights that are distinct from speech rights is an important consideration.  And the</w:t>
      </w:r>
      <w:r>
        <w:t xml:space="preserve"> Volokh and Charles-O’Neill articles account for the historical origins of the Press Clause</w:t>
      </w:r>
      <w:r w:rsidR="00592664">
        <w:t xml:space="preserve">, which, </w:t>
      </w:r>
      <w:r>
        <w:t xml:space="preserve">in </w:t>
      </w:r>
      <w:r w:rsidR="003A279C">
        <w:t>an</w:t>
      </w:r>
      <w:r>
        <w:t xml:space="preserve"> era of </w:t>
      </w:r>
      <w:r w:rsidR="00592664">
        <w:t xml:space="preserve">originalism </w:t>
      </w:r>
      <w:r w:rsidR="003A279C">
        <w:t>embraced</w:t>
      </w:r>
      <w:r w:rsidR="00592664">
        <w:t xml:space="preserve"> by the </w:t>
      </w:r>
      <w:r>
        <w:t>Roberts Court</w:t>
      </w:r>
      <w:r w:rsidR="00592664">
        <w:t xml:space="preserve">, </w:t>
      </w:r>
      <w:r>
        <w:t>can no longer be ignored.</w:t>
      </w:r>
      <w:r>
        <w:rPr>
          <w:rStyle w:val="FootnoteReference"/>
        </w:rPr>
        <w:footnoteReference w:id="207"/>
      </w:r>
    </w:p>
    <w:p w14:paraId="05B82AE3" w14:textId="4DDB6D15" w:rsidR="003A279C" w:rsidRDefault="003A279C" w:rsidP="003A279C">
      <w:pPr>
        <w:pStyle w:val="BodyText"/>
      </w:pPr>
      <w:r>
        <w:t xml:space="preserve">None of these definitions, however, </w:t>
      </w:r>
      <w:proofErr w:type="gramStart"/>
      <w:r>
        <w:t>provides</w:t>
      </w:r>
      <w:proofErr w:type="gramEnd"/>
      <w:r>
        <w:t xml:space="preserve"> a completely satisfying answer to the definitional question.  West’s definition, limited by criteria that all but restrict the press to credentialed professional journalists, is underinclusive in an </w:t>
      </w:r>
      <w:r>
        <w:lastRenderedPageBreak/>
        <w:t>era in which the functions of the press as she sees them have been democratized.  But these functions—newsgathering, specifically for the purpose of keeping the government honest—are themselves too narrow.  Charles and O’Neill’s functional definition suffers from the same problem.</w:t>
      </w:r>
    </w:p>
    <w:p w14:paraId="0FA24323" w14:textId="4854FCAE" w:rsidR="00024DD9" w:rsidRDefault="00516A56" w:rsidP="00C31F54">
      <w:pPr>
        <w:pStyle w:val="BodyText"/>
      </w:pPr>
      <w:r>
        <w:t xml:space="preserve">Volokh’s definition, by contrast, is too broad.  If the press is viewed as a </w:t>
      </w:r>
      <w:proofErr w:type="gramStart"/>
      <w:r>
        <w:t>technology—a</w:t>
      </w:r>
      <w:proofErr w:type="gramEnd"/>
      <w:r>
        <w:t xml:space="preserve"> mere tool by which speech is reduced to </w:t>
      </w:r>
      <w:proofErr w:type="gramStart"/>
      <w:r>
        <w:t>writing—</w:t>
      </w:r>
      <w:proofErr w:type="gramEnd"/>
      <w:r>
        <w:t>the definition becomes meaningless.  The press is indeed a means to an end, but the end is relevant.  The First Amendment speaks not only of “the press” but of “the freedom . . . of the press</w:t>
      </w:r>
      <w:r w:rsidR="00BD668F">
        <w:t xml:space="preserve">”—the freedom </w:t>
      </w:r>
      <w:r w:rsidR="00BD668F" w:rsidRPr="00BD668F">
        <w:rPr>
          <w:i/>
          <w:iCs/>
        </w:rPr>
        <w:t>to do what</w:t>
      </w:r>
      <w:r w:rsidR="00BD668F">
        <w:t xml:space="preserve"> with it?</w:t>
      </w:r>
      <w:r w:rsidR="00BD668F">
        <w:rPr>
          <w:rStyle w:val="FootnoteReference"/>
        </w:rPr>
        <w:footnoteReference w:id="208"/>
      </w:r>
      <w:r>
        <w:t xml:space="preserve"> </w:t>
      </w:r>
      <w:r w:rsidR="003B25B2">
        <w:t xml:space="preserve"> </w:t>
      </w:r>
    </w:p>
    <w:p w14:paraId="40BF59E4" w14:textId="5BED4F36" w:rsidR="00835469" w:rsidRPr="00C31F54" w:rsidRDefault="00BD668F" w:rsidP="00BD668F">
      <w:pPr>
        <w:pStyle w:val="BodyText"/>
      </w:pPr>
      <w:r>
        <w:t>Even though none of these articles</w:t>
      </w:r>
      <w:r w:rsidR="00835469">
        <w:t xml:space="preserve"> has settled the question of what “the press”</w:t>
      </w:r>
      <w:r>
        <w:t xml:space="preserve"> means, they provide value in another way</w:t>
      </w:r>
      <w:r w:rsidR="00835469">
        <w:t xml:space="preserve">.  </w:t>
      </w:r>
      <w:r w:rsidR="009E7ADE">
        <w:t>They prove</w:t>
      </w:r>
      <w:r>
        <w:t xml:space="preserve"> that, in at least three different ways, </w:t>
      </w:r>
      <w:r w:rsidR="00835469">
        <w:t>“</w:t>
      </w:r>
      <w:r w:rsidR="00835469" w:rsidRPr="00B6162B">
        <w:t>defining the press can be done</w:t>
      </w:r>
      <w:r w:rsidR="00835469">
        <w:t>.”</w:t>
      </w:r>
      <w:r w:rsidR="00835469">
        <w:rPr>
          <w:rStyle w:val="FootnoteReference"/>
        </w:rPr>
        <w:footnoteReference w:id="209"/>
      </w:r>
    </w:p>
    <w:p w14:paraId="2250AAA6" w14:textId="4B275246" w:rsidR="00053F24" w:rsidRDefault="00B56217" w:rsidP="00AC0660">
      <w:pPr>
        <w:pStyle w:val="Heading2"/>
        <w:ind w:left="2160" w:hanging="720"/>
      </w:pPr>
      <w:bookmarkStart w:id="48" w:name="_Ref213017558"/>
      <w:bookmarkStart w:id="49" w:name="_Toc213017919"/>
      <w:r w:rsidRPr="00B56217">
        <w:t>Statutory definitions fail to account for technological change</w:t>
      </w:r>
      <w:bookmarkEnd w:id="48"/>
      <w:bookmarkEnd w:id="49"/>
    </w:p>
    <w:p w14:paraId="2245E4D5" w14:textId="5E584AF9" w:rsidR="00835469" w:rsidRDefault="009E7ADE" w:rsidP="00053F24">
      <w:pPr>
        <w:pStyle w:val="BodyText"/>
      </w:pPr>
      <w:r w:rsidRPr="009E7ADE">
        <w:t>More proof of concept can be found in the form of state</w:t>
      </w:r>
      <w:r>
        <w:t xml:space="preserve"> and federal</w:t>
      </w:r>
      <w:r w:rsidRPr="009E7ADE">
        <w:t xml:space="preserve"> </w:t>
      </w:r>
      <w:r>
        <w:t>statutes</w:t>
      </w:r>
      <w:r w:rsidRPr="009E7ADE">
        <w:t xml:space="preserve"> </w:t>
      </w:r>
      <w:r>
        <w:t xml:space="preserve">that have long defined “press” and similar terms (e.g., “media” or “journalist”) for purposes of </w:t>
      </w:r>
      <w:r w:rsidRPr="009E7ADE">
        <w:t>sunshine and shield laws</w:t>
      </w:r>
      <w:r>
        <w:t>, among other</w:t>
      </w:r>
      <w:r w:rsidRPr="009E7ADE">
        <w:t xml:space="preserve"> privileges</w:t>
      </w:r>
      <w:r w:rsidR="00835469" w:rsidRPr="009E7ADE">
        <w:t>.</w:t>
      </w:r>
      <w:r w:rsidR="00835469" w:rsidRPr="009E7ADE">
        <w:rPr>
          <w:rStyle w:val="FootnoteReference"/>
        </w:rPr>
        <w:footnoteReference w:id="210"/>
      </w:r>
      <w:r w:rsidR="001E7BD6">
        <w:t xml:space="preserve">  The downside is that these definitions, which often refer to specific forms of media or require certain employment statuses or corporate forms, tend to be far too formalistic to accommodate today’s </w:t>
      </w:r>
      <w:r w:rsidR="00C06D66">
        <w:t xml:space="preserve">decentralized and </w:t>
      </w:r>
      <w:r w:rsidR="001E7BD6">
        <w:t>rapidly shifting media environment.</w:t>
      </w:r>
    </w:p>
    <w:p w14:paraId="73D30B19" w14:textId="7C821527" w:rsidR="001E7BD6" w:rsidRDefault="001E7BD6" w:rsidP="001F10A6">
      <w:pPr>
        <w:pStyle w:val="BodyText"/>
      </w:pPr>
      <w:r>
        <w:lastRenderedPageBreak/>
        <w:t>Some of these laws are almost absurdly</w:t>
      </w:r>
      <w:r w:rsidR="001F10A6">
        <w:t xml:space="preserve"> outdated.  The Pennsylvania Shield Law, for example, extends an absolute reporter’s privilege to “</w:t>
      </w:r>
      <w:r w:rsidR="001F10A6" w:rsidRPr="00537DA4">
        <w:t>person engaged on, connected with, or employed by any newspaper of general circulation or any press association or any radio or television station, or any magazine of general circulation, for the purpose of gathering, procuring, compiling, editing or publishing news</w:t>
      </w:r>
      <w:r w:rsidR="001F10A6">
        <w:t>.”</w:t>
      </w:r>
      <w:r w:rsidR="001F10A6">
        <w:rPr>
          <w:rStyle w:val="FootnoteReference"/>
        </w:rPr>
        <w:footnoteReference w:id="211"/>
      </w:r>
      <w:r w:rsidR="001F10A6">
        <w:t xml:space="preserve"> </w:t>
      </w:r>
      <w:r w:rsidR="00C06D66">
        <w:t xml:space="preserve"> On its face, it would appear to exclude anyone who is self-employed or works for an internet-based publishing company.</w:t>
      </w:r>
    </w:p>
    <w:p w14:paraId="5B76DB82" w14:textId="3D36A134" w:rsidR="00B56217" w:rsidRDefault="001F10A6" w:rsidP="001F10A6">
      <w:pPr>
        <w:pStyle w:val="BodyText"/>
      </w:pPr>
      <w:r>
        <w:t>New York’s Shield Law is equally rigid in a slightly different way; it requires the claimant to be a “professional journalist or newscaster presently or having previously been employed or otherwise associated with any newspaper, magazine, news agency, press association, wire service, radio or television transmission station or network or other professional medium of communicating news or information to the public.”</w:t>
      </w:r>
      <w:r>
        <w:rPr>
          <w:rStyle w:val="FootnoteReference"/>
        </w:rPr>
        <w:footnoteReference w:id="212"/>
      </w:r>
      <w:r>
        <w:t xml:space="preserve">  Its requirement of “professional” credentials—or at least “</w:t>
      </w:r>
      <w:r w:rsidRPr="00686D6A">
        <w:t>gain or livelihood</w:t>
      </w:r>
      <w:r>
        <w:t>” for engaging in press activity</w:t>
      </w:r>
      <w:r>
        <w:rPr>
          <w:rStyle w:val="FootnoteReference"/>
        </w:rPr>
        <w:footnoteReference w:id="213"/>
      </w:r>
      <w:r>
        <w:t>—is vastly underinclusive given the democratization of the media environment that the internet has enabled.</w:t>
      </w:r>
    </w:p>
    <w:p w14:paraId="7D836C41" w14:textId="0AF1F21B" w:rsidR="00835469" w:rsidRPr="00835469" w:rsidRDefault="00C06D66" w:rsidP="001304B1">
      <w:pPr>
        <w:pStyle w:val="BodyText"/>
      </w:pPr>
      <w:r>
        <w:t xml:space="preserve">Other state laws have been interpreted by courts to impose similar formal requirements. </w:t>
      </w:r>
      <w:r w:rsidR="001304B1">
        <w:t xml:space="preserve"> In </w:t>
      </w:r>
      <w:r w:rsidR="001304B1" w:rsidRPr="00801533">
        <w:rPr>
          <w:i/>
          <w:iCs/>
        </w:rPr>
        <w:t>Green v. Pierce County</w:t>
      </w:r>
      <w:r w:rsidR="001304B1" w:rsidRPr="00801533">
        <w:t>,</w:t>
      </w:r>
      <w:r w:rsidR="001304B1">
        <w:rPr>
          <w:rStyle w:val="FootnoteReference"/>
        </w:rPr>
        <w:footnoteReference w:id="214"/>
      </w:r>
      <w:r w:rsidR="001304B1" w:rsidRPr="00801533">
        <w:t xml:space="preserve"> </w:t>
      </w:r>
      <w:r w:rsidR="001304B1">
        <w:t xml:space="preserve">for example, the Washington Supreme Court </w:t>
      </w:r>
      <w:r w:rsidR="00B63BBD">
        <w:t>read</w:t>
      </w:r>
      <w:r w:rsidR="001304B1">
        <w:t xml:space="preserve"> </w:t>
      </w:r>
      <w:r w:rsidR="001304B1" w:rsidRPr="00B63BBD">
        <w:t>the state’s Public Records Act</w:t>
      </w:r>
      <w:r w:rsidR="00B63BBD" w:rsidRPr="00B63BBD">
        <w:t>’s</w:t>
      </w:r>
      <w:r w:rsidR="001304B1" w:rsidRPr="00B63BBD">
        <w:t xml:space="preserve"> </w:t>
      </w:r>
      <w:r w:rsidRPr="00B63BBD">
        <w:t>exemption from certain public records protections to require that</w:t>
      </w:r>
      <w:r w:rsidRPr="00801533">
        <w:t xml:space="preserve"> a </w:t>
      </w:r>
      <w:r w:rsidR="001304B1">
        <w:t xml:space="preserve">qualifying </w:t>
      </w:r>
      <w:r w:rsidRPr="00801533">
        <w:t xml:space="preserve">news media “entity” have “a legal identity </w:t>
      </w:r>
      <w:r w:rsidRPr="00801533">
        <w:lastRenderedPageBreak/>
        <w:t>separate from the individual” and “be engaged in bona fide news gathering</w:t>
      </w:r>
      <w:r w:rsidR="001304B1">
        <w:t>.</w:t>
      </w:r>
      <w:r w:rsidRPr="00801533">
        <w:t>”</w:t>
      </w:r>
      <w:r w:rsidR="001304B1">
        <w:rPr>
          <w:rStyle w:val="FootnoteReference"/>
        </w:rPr>
        <w:footnoteReference w:id="215"/>
      </w:r>
      <w:r w:rsidR="001304B1">
        <w:t xml:space="preserve">  The Court held that </w:t>
      </w:r>
      <w:r w:rsidR="00835469">
        <w:t xml:space="preserve">a YouTuber </w:t>
      </w:r>
      <w:r w:rsidR="001304B1">
        <w:t>did not fit within the exemption</w:t>
      </w:r>
      <w:r w:rsidR="00835469">
        <w:t xml:space="preserve"> because he was neither “news media” nor a media “entity</w:t>
      </w:r>
      <w:r w:rsidR="00B63BBD">
        <w:t>,</w:t>
      </w:r>
      <w:r w:rsidR="00835469">
        <w:t>”</w:t>
      </w:r>
      <w:r w:rsidR="00B63BBD">
        <w:t xml:space="preserve"> even though he had 6,000 followers.</w:t>
      </w:r>
      <w:r w:rsidR="00835469">
        <w:rPr>
          <w:rStyle w:val="FootnoteReference"/>
        </w:rPr>
        <w:footnoteReference w:id="216"/>
      </w:r>
    </w:p>
    <w:p w14:paraId="1DE3A0E2" w14:textId="00EB0CF8" w:rsidR="00053F24" w:rsidRDefault="002C04DF" w:rsidP="00471781">
      <w:pPr>
        <w:pStyle w:val="BodyText"/>
      </w:pPr>
      <w:r>
        <w:t>Obviously, these statutory definitions are too rigid—whether by letter, or as interpreted—to accommodate the realities of modern communications technologies.</w:t>
      </w:r>
    </w:p>
    <w:p w14:paraId="05D15C6A" w14:textId="5A7C2BE8" w:rsidR="00471781" w:rsidRDefault="00DE5E08" w:rsidP="008A30A4">
      <w:pPr>
        <w:pStyle w:val="Heading1"/>
        <w:ind w:left="1440" w:hanging="720"/>
      </w:pPr>
      <w:bookmarkStart w:id="50" w:name="_Toc213017920"/>
      <w:r>
        <w:rPr>
          <w:bCs w:val="0"/>
        </w:rPr>
        <w:t>The modern media era demands a broad functional definition</w:t>
      </w:r>
      <w:r w:rsidR="008A30A4">
        <w:rPr>
          <w:bCs w:val="0"/>
        </w:rPr>
        <w:t xml:space="preserve"> of “press”</w:t>
      </w:r>
      <w:bookmarkEnd w:id="50"/>
    </w:p>
    <w:p w14:paraId="37D848FF" w14:textId="77777777" w:rsidR="00A92EBA" w:rsidRDefault="00D77931" w:rsidP="009A5B0C">
      <w:pPr>
        <w:pStyle w:val="BodyText"/>
      </w:pPr>
      <w:r>
        <w:t xml:space="preserve">Despite the drawbacks of these various approaches, each in its way helps to shed light on the features of a definition that </w:t>
      </w:r>
      <w:r w:rsidRPr="00D77931">
        <w:rPr>
          <w:i/>
          <w:iCs/>
        </w:rPr>
        <w:t>does</w:t>
      </w:r>
      <w:r>
        <w:t xml:space="preserve"> work.  </w:t>
      </w:r>
      <w:r w:rsidR="00894BB8">
        <w:t>“The first step to a workable definition</w:t>
      </w:r>
      <w:r>
        <w:t>,” Professor West suggests,</w:t>
      </w:r>
      <w:r w:rsidR="00894BB8">
        <w:t xml:space="preserve"> is to accept that an identifiable press exists and that it is more selective than the general public but not necessarily limited to traditional news outlets.”</w:t>
      </w:r>
      <w:r w:rsidR="00894BB8">
        <w:rPr>
          <w:rStyle w:val="FootnoteReference"/>
        </w:rPr>
        <w:footnoteReference w:id="217"/>
      </w:r>
    </w:p>
    <w:p w14:paraId="4D8BE2EF" w14:textId="1D4BBC2D" w:rsidR="00A92EBA" w:rsidRDefault="00E4506C" w:rsidP="00E4506C">
      <w:pPr>
        <w:pStyle w:val="Heading2"/>
        <w:ind w:left="2160" w:hanging="720"/>
      </w:pPr>
      <w:bookmarkStart w:id="51" w:name="_Toc213017921"/>
      <w:r>
        <w:t xml:space="preserve">Approach: </w:t>
      </w:r>
      <w:r w:rsidR="00A92EBA">
        <w:t>“Press” must be defined in terms of function, not status</w:t>
      </w:r>
      <w:bookmarkEnd w:id="51"/>
    </w:p>
    <w:p w14:paraId="7C05596D" w14:textId="5C824307" w:rsidR="009A5B0C" w:rsidRPr="00525F40" w:rsidRDefault="00A92EBA" w:rsidP="009A5B0C">
      <w:pPr>
        <w:pStyle w:val="BodyText"/>
      </w:pPr>
      <w:r>
        <w:t>I</w:t>
      </w:r>
      <w:r w:rsidR="009A5B0C">
        <w:t>t is indeed important to narrow the definition of “press”</w:t>
      </w:r>
      <w:r>
        <w:t xml:space="preserve">; </w:t>
      </w:r>
      <w:r w:rsidR="009A5B0C">
        <w:t xml:space="preserve">otherwise, as West </w:t>
      </w:r>
      <w:r>
        <w:t xml:space="preserve">has </w:t>
      </w:r>
      <w:r w:rsidR="009A5B0C">
        <w:t>explained, the distinction between speech rights and press rights becomes meaningless</w:t>
      </w:r>
      <w:r>
        <w:t xml:space="preserve">.  But </w:t>
      </w:r>
      <w:r w:rsidRPr="00A92EBA">
        <w:rPr>
          <w:i/>
          <w:iCs/>
        </w:rPr>
        <w:t>who</w:t>
      </w:r>
      <w:r>
        <w:t xml:space="preserve"> should count as press—that is, what type of person or entity—is the wrong question.</w:t>
      </w:r>
    </w:p>
    <w:p w14:paraId="7E260828" w14:textId="77777777" w:rsidR="00024DD9" w:rsidRDefault="00024DD9" w:rsidP="00024DD9">
      <w:pPr>
        <w:pStyle w:val="BodyText"/>
      </w:pPr>
      <w:r>
        <w:t xml:space="preserve">From slightly different angles, West, Volokh, and Charles and O’Neill wrestled with the same problem: whether “press” can mean anything at all if </w:t>
      </w:r>
      <w:r w:rsidRPr="009A42AE">
        <w:rPr>
          <w:i/>
          <w:iCs/>
        </w:rPr>
        <w:t>any</w:t>
      </w:r>
      <w:r>
        <w:t xml:space="preserve"> of us can engage in press activities—especially in this era, when, instead of meeting </w:t>
      </w:r>
      <w:r>
        <w:lastRenderedPageBreak/>
        <w:t>Deep Throat late at night in a shadowy Washington, D.C. parking garage, we can all post to social media from our phones while sitting on the couch in our pajamas.</w:t>
      </w:r>
    </w:p>
    <w:p w14:paraId="19B162CF" w14:textId="77777777" w:rsidR="001C4470" w:rsidRDefault="00024DD9" w:rsidP="00024DD9">
      <w:pPr>
        <w:pStyle w:val="BodyText"/>
      </w:pPr>
      <w:r>
        <w:t xml:space="preserve">At least, </w:t>
      </w:r>
      <w:r w:rsidRPr="00171129">
        <w:t>in theory</w:t>
      </w:r>
      <w:r w:rsidR="00A92EBA">
        <w:t>, we can</w:t>
      </w:r>
      <w:r>
        <w:t>.</w:t>
      </w:r>
      <w:r w:rsidR="00A92EBA">
        <w:t xml:space="preserve">  The fact </w:t>
      </w:r>
      <w:proofErr w:type="gramStart"/>
      <w:r w:rsidR="00A92EBA">
        <w:t>is,</w:t>
      </w:r>
      <w:proofErr w:type="gramEnd"/>
      <w:r w:rsidR="00A92EBA">
        <w:t xml:space="preserve"> most of us don’t.</w:t>
      </w:r>
      <w:r>
        <w:t xml:space="preserve">  </w:t>
      </w:r>
      <w:proofErr w:type="gramStart"/>
      <w:r w:rsidR="00A92EBA">
        <w:t>In reality,</w:t>
      </w:r>
      <w:r>
        <w:t xml:space="preserve"> we</w:t>
      </w:r>
      <w:proofErr w:type="gramEnd"/>
      <w:r>
        <w:t xml:space="preserve"> do not </w:t>
      </w:r>
      <w:r w:rsidRPr="001F5892">
        <w:rPr>
          <w:i/>
          <w:iCs/>
        </w:rPr>
        <w:t>all</w:t>
      </w:r>
      <w:r>
        <w:t xml:space="preserve"> engage in press activities.  Even those who </w:t>
      </w:r>
      <w:r w:rsidRPr="00171129">
        <w:rPr>
          <w:i/>
          <w:iCs/>
        </w:rPr>
        <w:t>do</w:t>
      </w:r>
      <w:r>
        <w:t xml:space="preserve"> engage in these activities are not engaged in them </w:t>
      </w:r>
      <w:proofErr w:type="gramStart"/>
      <w:r>
        <w:t>all of</w:t>
      </w:r>
      <w:proofErr w:type="gramEnd"/>
      <w:r>
        <w:t xml:space="preserve"> the time.  And even if they were, they </w:t>
      </w:r>
      <w:r w:rsidR="001C4470">
        <w:t>would</w:t>
      </w:r>
      <w:r>
        <w:t xml:space="preserve"> not enjoy the protection of the Press Clause for all purposes.</w:t>
      </w:r>
      <w:r>
        <w:rPr>
          <w:rStyle w:val="FootnoteReference"/>
        </w:rPr>
        <w:footnoteReference w:id="218"/>
      </w:r>
      <w:r>
        <w:t xml:space="preserve">  This is why the question “</w:t>
      </w:r>
      <w:r w:rsidRPr="00E048BD">
        <w:rPr>
          <w:i/>
          <w:iCs/>
        </w:rPr>
        <w:t>who</w:t>
      </w:r>
      <w:r>
        <w:t xml:space="preserve"> is press” is so unhelpful.  </w:t>
      </w:r>
    </w:p>
    <w:p w14:paraId="6D69A37F" w14:textId="77777777" w:rsidR="001C4470" w:rsidRDefault="001C4470" w:rsidP="00024DD9">
      <w:pPr>
        <w:pStyle w:val="BodyText"/>
      </w:pPr>
      <w:r>
        <w:t xml:space="preserve">The problem with most of the definitions discussed above is that they presume “press” for purposes of the Press Clause is coextensive with identity: either one </w:t>
      </w:r>
      <w:r w:rsidRPr="00CA5255">
        <w:rPr>
          <w:i/>
          <w:iCs/>
        </w:rPr>
        <w:t>is</w:t>
      </w:r>
      <w:r>
        <w:t xml:space="preserve"> press or isn’t.  Within this binary framework, the availability of the press right turns on whether claimants can fit themselves into a category with rigid boundaries that depend on where they work (as a journalist or otherwise within the “institutional press”), or what limited set of activities they’re engaging in (writing), or what they’re reporting on (the workings of government).  If not, they’re out of luck; lumped in with “everyone” else who “exercise[s] their freedom of expression.”</w:t>
      </w:r>
      <w:r>
        <w:rPr>
          <w:rStyle w:val="FootnoteReference"/>
        </w:rPr>
        <w:footnoteReference w:id="219"/>
      </w:r>
    </w:p>
    <w:p w14:paraId="36FB6864" w14:textId="066BB774" w:rsidR="001C4470" w:rsidRDefault="001C4470" w:rsidP="00024DD9">
      <w:pPr>
        <w:pStyle w:val="BodyText"/>
      </w:pPr>
      <w:r>
        <w:t xml:space="preserve">Speaking of “everyone else,” it cannot be that </w:t>
      </w:r>
      <w:r w:rsidRPr="007F5891">
        <w:rPr>
          <w:i/>
          <w:iCs/>
        </w:rPr>
        <w:t>everyone</w:t>
      </w:r>
      <w:r>
        <w:t xml:space="preserve">—and therefore no one—enjoys freedom of the press because they are merely </w:t>
      </w:r>
      <w:r w:rsidRPr="007F5891">
        <w:rPr>
          <w:i/>
          <w:iCs/>
        </w:rPr>
        <w:t>capable</w:t>
      </w:r>
      <w:r>
        <w:t xml:space="preserve"> of “</w:t>
      </w:r>
      <w:r w:rsidRPr="007F5891">
        <w:t xml:space="preserve">us[ing] </w:t>
      </w:r>
      <w:r>
        <w:t>. . .</w:t>
      </w:r>
      <w:r w:rsidRPr="007F5891">
        <w:t xml:space="preserve"> the </w:t>
      </w:r>
      <w:r w:rsidRPr="007F5891">
        <w:lastRenderedPageBreak/>
        <w:t>printing press (and its modern equivalents)</w:t>
      </w:r>
      <w:r>
        <w:t>.”</w:t>
      </w:r>
      <w:r>
        <w:rPr>
          <w:rStyle w:val="FootnoteReference"/>
        </w:rPr>
        <w:footnoteReference w:id="220"/>
      </w:r>
      <w:r>
        <w:t xml:space="preserve">  They need to </w:t>
      </w:r>
      <w:proofErr w:type="gramStart"/>
      <w:r w:rsidRPr="0013639B">
        <w:rPr>
          <w:i/>
          <w:iCs/>
        </w:rPr>
        <w:t xml:space="preserve">actually </w:t>
      </w:r>
      <w:r w:rsidRPr="006452BA">
        <w:rPr>
          <w:i/>
          <w:iCs/>
        </w:rPr>
        <w:t>do</w:t>
      </w:r>
      <w:proofErr w:type="gramEnd"/>
      <w:r w:rsidRPr="006452BA">
        <w:rPr>
          <w:i/>
          <w:iCs/>
        </w:rPr>
        <w:t xml:space="preserve"> something</w:t>
      </w:r>
      <w:r>
        <w:t xml:space="preserve"> with it—and to need constitutional protection </w:t>
      </w:r>
      <w:proofErr w:type="gramStart"/>
      <w:r>
        <w:t>as a result of</w:t>
      </w:r>
      <w:proofErr w:type="gramEnd"/>
      <w:r>
        <w:t xml:space="preserve"> those activities.</w:t>
      </w:r>
    </w:p>
    <w:p w14:paraId="67FFEDF7" w14:textId="2E247E0C" w:rsidR="00024DD9" w:rsidRDefault="00024DD9" w:rsidP="00024DD9">
      <w:pPr>
        <w:pStyle w:val="BodyText"/>
      </w:pPr>
      <w:r w:rsidRPr="00E048BD">
        <w:rPr>
          <w:i/>
          <w:iCs/>
        </w:rPr>
        <w:t>What</w:t>
      </w:r>
      <w:r>
        <w:t xml:space="preserve"> the person or organization in question is doing is far more salient</w:t>
      </w:r>
      <w:r w:rsidR="00E86B53">
        <w:t xml:space="preserve"> for purposes of defining the press than who they are</w:t>
      </w:r>
      <w:r>
        <w:t xml:space="preserve">. </w:t>
      </w:r>
      <w:r w:rsidR="00E86B53">
        <w:t xml:space="preserve"> </w:t>
      </w:r>
      <w:r>
        <w:t xml:space="preserve">And the functions that are covered must be broad, if they are to capture </w:t>
      </w:r>
      <w:proofErr w:type="gramStart"/>
      <w:r>
        <w:t>all of</w:t>
      </w:r>
      <w:proofErr w:type="gramEnd"/>
      <w:r>
        <w:t xml:space="preserve"> the relevant activity.  </w:t>
      </w:r>
      <w:r w:rsidR="00E86B53">
        <w:t>Since the founding era, p</w:t>
      </w:r>
      <w:r>
        <w:t>ress freedom has never been available only to “newspapers and periodicals” and other institutional media.</w:t>
      </w:r>
      <w:r>
        <w:rPr>
          <w:rStyle w:val="FootnoteReference"/>
        </w:rPr>
        <w:footnoteReference w:id="221"/>
      </w:r>
      <w:r>
        <w:t xml:space="preserve">  “[P]amphlets and leaflets” have long been recognized as “weapons in the defense of liberty” that are entitled to press freedom—as has “every [other] sort of publication which affords a vehicle of information and opinion.”</w:t>
      </w:r>
      <w:r>
        <w:rPr>
          <w:rStyle w:val="FootnoteReference"/>
        </w:rPr>
        <w:footnoteReference w:id="222"/>
      </w:r>
      <w:r>
        <w:t xml:space="preserve">  </w:t>
      </w:r>
      <w:r w:rsidR="00EC025E">
        <w:t>Although it has gone out of its way to avoid the definitional question, t</w:t>
      </w:r>
      <w:r>
        <w:t xml:space="preserve">he Court has </w:t>
      </w:r>
      <w:r w:rsidR="00EC025E">
        <w:t xml:space="preserve">at least </w:t>
      </w:r>
      <w:r>
        <w:t>been clear that “liberty of the press is the right of the lonely pamphleteer who uses carbon paper or a mimeograph just as much as of the large metropolitan publisher who utilizes the latest photocomposition methods.”</w:t>
      </w:r>
      <w:r>
        <w:rPr>
          <w:rStyle w:val="FootnoteReference"/>
        </w:rPr>
        <w:footnoteReference w:id="223"/>
      </w:r>
    </w:p>
    <w:p w14:paraId="5360D13F" w14:textId="55797545" w:rsidR="00525F40" w:rsidRDefault="00EC025E" w:rsidP="00525F40">
      <w:pPr>
        <w:pStyle w:val="BodyText"/>
      </w:pPr>
      <w:r>
        <w:t xml:space="preserve">Nor has there ever been any requirement that “press” must be engaged in gathering news or serving as a government watchdog, as West and Charles and O’Neill suggest.  Surely not all “lonely pamphleteers” are engaged in such noble and wholesome activities—and it shouldn’t matter.  The press has historically been used for a far wider variety of purposes, and they are no less entitled to protection even if </w:t>
      </w:r>
      <w:r>
        <w:lastRenderedPageBreak/>
        <w:t>they do not obviously support the democratic process or enhance the knowledge of the citizenry.</w:t>
      </w:r>
    </w:p>
    <w:p w14:paraId="1ED3F567" w14:textId="4CFCBF6C" w:rsidR="00471781" w:rsidRPr="00D76FF6" w:rsidRDefault="00DB16A6" w:rsidP="00DE5E08">
      <w:pPr>
        <w:pStyle w:val="BodyText"/>
      </w:pPr>
      <w:r>
        <w:t>Any attempt to define the press should also resist</w:t>
      </w:r>
      <w:r w:rsidR="00DE5E08" w:rsidRPr="00DE5E08">
        <w:t xml:space="preserve"> the temptation to</w:t>
      </w:r>
      <w:r>
        <w:t xml:space="preserve"> reference</w:t>
      </w:r>
      <w:r w:rsidR="00DE5E08" w:rsidRPr="00DE5E08">
        <w:t xml:space="preserve"> specific technologies</w:t>
      </w:r>
      <w:r>
        <w:t xml:space="preserve">.  </w:t>
      </w:r>
      <w:r w:rsidR="00D76FF6">
        <w:t xml:space="preserve">In today’s rapidly-evolving technological landscape, any list of </w:t>
      </w:r>
      <w:r>
        <w:t xml:space="preserve">specific </w:t>
      </w:r>
      <w:r w:rsidR="00D76FF6">
        <w:t>activities the press right attaches to “</w:t>
      </w:r>
      <w:r w:rsidR="00D76FF6" w:rsidRPr="00B70159">
        <w:t>would likely be born an anachronism</w:t>
      </w:r>
      <w:r w:rsidR="00D76FF6">
        <w:t>.”</w:t>
      </w:r>
      <w:r w:rsidR="00D76FF6">
        <w:rPr>
          <w:rStyle w:val="FootnoteReference"/>
        </w:rPr>
        <w:footnoteReference w:id="224"/>
      </w:r>
      <w:r w:rsidR="00D76FF6">
        <w:t xml:space="preserve">  The quaint-sounding references to “mimeographs” in </w:t>
      </w:r>
      <w:r w:rsidR="00D76FF6" w:rsidRPr="005D31E2">
        <w:rPr>
          <w:i/>
          <w:iCs/>
        </w:rPr>
        <w:t>Branzburg</w:t>
      </w:r>
      <w:r w:rsidR="00D76FF6">
        <w:t xml:space="preserve"> and “newspaper[s] of general circulation” in </w:t>
      </w:r>
      <w:r>
        <w:t>Pennsylvania’s</w:t>
      </w:r>
      <w:r w:rsidR="00D76FF6">
        <w:t xml:space="preserve"> reporter’s privilege statute serve as cautionary tales.</w:t>
      </w:r>
      <w:r w:rsidR="00D76FF6">
        <w:rPr>
          <w:rStyle w:val="FootnoteReference"/>
        </w:rPr>
        <w:footnoteReference w:id="225"/>
      </w:r>
      <w:r w:rsidR="00D76FF6">
        <w:t xml:space="preserve">  A durable definition must be open-ended enough to capture both of these technologies, as well as others that have not even been invented yet.</w:t>
      </w:r>
      <w:r w:rsidR="00E91CC7">
        <w:t xml:space="preserve">  T</w:t>
      </w:r>
      <w:r w:rsidR="00D76FF6">
        <w:t xml:space="preserve">he activity, not the </w:t>
      </w:r>
      <w:r w:rsidR="007F0E94">
        <w:t>medium</w:t>
      </w:r>
      <w:r w:rsidR="00D76FF6">
        <w:t xml:space="preserve">, is what defines “press.”  </w:t>
      </w:r>
    </w:p>
    <w:p w14:paraId="03C5AF77" w14:textId="4D491A4A" w:rsidR="00471781" w:rsidRDefault="00E4506C" w:rsidP="00471781">
      <w:pPr>
        <w:pStyle w:val="Heading2"/>
      </w:pPr>
      <w:bookmarkStart w:id="53" w:name="_Toc213017922"/>
      <w:r>
        <w:rPr>
          <w:bCs w:val="0"/>
        </w:rPr>
        <w:t>Definition</w:t>
      </w:r>
      <w:r w:rsidR="00DE5E08">
        <w:rPr>
          <w:bCs w:val="0"/>
        </w:rPr>
        <w:t xml:space="preserve">: </w:t>
      </w:r>
      <w:r w:rsidR="009F6EB0">
        <w:rPr>
          <w:bCs w:val="0"/>
        </w:rPr>
        <w:t>H</w:t>
      </w:r>
      <w:r w:rsidR="00DE5E08">
        <w:rPr>
          <w:bCs w:val="0"/>
        </w:rPr>
        <w:t>allmarks of “acting as press”</w:t>
      </w:r>
      <w:bookmarkEnd w:id="53"/>
    </w:p>
    <w:p w14:paraId="760CA99B" w14:textId="550E4AEE" w:rsidR="00471781" w:rsidRPr="00D76FF6" w:rsidRDefault="00F248E2" w:rsidP="00471781">
      <w:pPr>
        <w:pStyle w:val="BodyText"/>
      </w:pPr>
      <w:r>
        <w:t xml:space="preserve">Again, </w:t>
      </w:r>
      <w:r w:rsidR="001E6F3F">
        <w:t>what it means to act as press must not be limited to the technologies of the past.</w:t>
      </w:r>
      <w:r w:rsidR="001E6F3F">
        <w:rPr>
          <w:rStyle w:val="FootnoteReference"/>
        </w:rPr>
        <w:footnoteReference w:id="226"/>
      </w:r>
      <w:r>
        <w:t xml:space="preserve"> </w:t>
      </w:r>
      <w:r w:rsidR="001E6F3F">
        <w:t xml:space="preserve"> It must accommodate the modern—and future—press as well.  </w:t>
      </w:r>
      <w:r>
        <w:t xml:space="preserve">To deduce the </w:t>
      </w:r>
      <w:r w:rsidR="001E6F3F">
        <w:t xml:space="preserve">hallmarks of </w:t>
      </w:r>
      <w:r>
        <w:t xml:space="preserve">the </w:t>
      </w:r>
      <w:r w:rsidRPr="00F248E2">
        <w:rPr>
          <w:i/>
          <w:iCs/>
        </w:rPr>
        <w:t>modern</w:t>
      </w:r>
      <w:r>
        <w:t xml:space="preserve"> press</w:t>
      </w:r>
      <w:r w:rsidR="001E6F3F">
        <w:t xml:space="preserve">, and, in the process, </w:t>
      </w:r>
      <w:r>
        <w:t>narrow the definition enough for it to be useful</w:t>
      </w:r>
      <w:r w:rsidR="00E536ED">
        <w:t xml:space="preserve">, an examination of how lower federal courts and </w:t>
      </w:r>
      <w:r w:rsidR="00E536ED">
        <w:lastRenderedPageBreak/>
        <w:t>state courts</w:t>
      </w:r>
      <w:r>
        <w:t xml:space="preserve"> </w:t>
      </w:r>
      <w:r w:rsidR="00E536ED">
        <w:t>approach new-media litigants was instructive.</w:t>
      </w:r>
      <w:r w:rsidR="00E536ED">
        <w:rPr>
          <w:rStyle w:val="FootnoteReference"/>
        </w:rPr>
        <w:footnoteReference w:id="227"/>
      </w:r>
      <w:r w:rsidR="00E536ED">
        <w:t xml:space="preserve">  Certain recurring indicia emerge that would be equally helpful in evaluating a claim involving a </w:t>
      </w:r>
      <w:r w:rsidR="00D76FF6">
        <w:t>print shop in 1791 or</w:t>
      </w:r>
      <w:r>
        <w:t xml:space="preserve"> on</w:t>
      </w:r>
      <w:r w:rsidR="00D76FF6">
        <w:t xml:space="preserve"> a smartphone in 2025</w:t>
      </w:r>
      <w:r w:rsidR="00E536ED">
        <w:t xml:space="preserve">.  They can be summed up in a single, </w:t>
      </w:r>
      <w:r w:rsidR="00E4506C">
        <w:t>multi-factor</w:t>
      </w:r>
      <w:r w:rsidR="00E536ED">
        <w:t xml:space="preserve"> definition:</w:t>
      </w:r>
      <w:r w:rsidR="00D76FF6">
        <w:t xml:space="preserve"> someone is acting as press when they </w:t>
      </w:r>
      <w:bookmarkStart w:id="54" w:name="_Hlk206682989"/>
      <w:r w:rsidR="00D76FF6" w:rsidRPr="00AC1E94">
        <w:rPr>
          <w:i/>
          <w:iCs/>
        </w:rPr>
        <w:t>(</w:t>
      </w:r>
      <w:r w:rsidR="00D76FF6">
        <w:rPr>
          <w:i/>
          <w:iCs/>
        </w:rPr>
        <w:t>1</w:t>
      </w:r>
      <w:r w:rsidR="00D76FF6" w:rsidRPr="00AC1E94">
        <w:rPr>
          <w:i/>
          <w:iCs/>
        </w:rPr>
        <w:t>)</w:t>
      </w:r>
      <w:r w:rsidR="00D76FF6">
        <w:t xml:space="preserve"> </w:t>
      </w:r>
      <w:r w:rsidR="00D76FF6" w:rsidRPr="00B32B16">
        <w:rPr>
          <w:i/>
          <w:iCs/>
        </w:rPr>
        <w:t xml:space="preserve">invest significant </w:t>
      </w:r>
      <w:r w:rsidR="00D76FF6" w:rsidRPr="00B32B16">
        <w:rPr>
          <w:i/>
          <w:iCs/>
        </w:rPr>
        <w:lastRenderedPageBreak/>
        <w:t xml:space="preserve">resources </w:t>
      </w:r>
      <w:r w:rsidR="00D76FF6">
        <w:rPr>
          <w:i/>
          <w:iCs/>
        </w:rPr>
        <w:t xml:space="preserve">(2) </w:t>
      </w:r>
      <w:r w:rsidR="00D76FF6" w:rsidRPr="00B32B16">
        <w:rPr>
          <w:i/>
          <w:iCs/>
        </w:rPr>
        <w:t xml:space="preserve">to </w:t>
      </w:r>
      <w:proofErr w:type="gramStart"/>
      <w:r w:rsidR="00D76FF6">
        <w:rPr>
          <w:i/>
          <w:iCs/>
        </w:rPr>
        <w:t xml:space="preserve">a </w:t>
      </w:r>
      <w:r w:rsidR="00D76FF6" w:rsidRPr="00B32B16">
        <w:rPr>
          <w:i/>
          <w:iCs/>
        </w:rPr>
        <w:t>generate</w:t>
      </w:r>
      <w:proofErr w:type="gramEnd"/>
      <w:r w:rsidR="00D76FF6" w:rsidRPr="00B32B16">
        <w:rPr>
          <w:i/>
          <w:iCs/>
        </w:rPr>
        <w:t xml:space="preserve"> message </w:t>
      </w:r>
      <w:r w:rsidR="00D76FF6">
        <w:rPr>
          <w:i/>
          <w:iCs/>
        </w:rPr>
        <w:t>(3) about an issue of public concern</w:t>
      </w:r>
      <w:r w:rsidR="00D76FF6" w:rsidRPr="00AC1E94">
        <w:rPr>
          <w:i/>
          <w:iCs/>
        </w:rPr>
        <w:t xml:space="preserve"> (</w:t>
      </w:r>
      <w:r w:rsidR="00D76FF6">
        <w:rPr>
          <w:i/>
          <w:iCs/>
        </w:rPr>
        <w:t>4</w:t>
      </w:r>
      <w:r w:rsidR="00D76FF6" w:rsidRPr="00AC1E94">
        <w:rPr>
          <w:i/>
          <w:iCs/>
        </w:rPr>
        <w:t>)</w:t>
      </w:r>
      <w:r w:rsidR="00D76FF6">
        <w:t> </w:t>
      </w:r>
      <w:bookmarkEnd w:id="54"/>
      <w:r w:rsidR="00D76FF6">
        <w:rPr>
          <w:i/>
          <w:iCs/>
        </w:rPr>
        <w:t>that is reasonably calculated to reach a mass audience</w:t>
      </w:r>
      <w:r w:rsidR="00D76FF6">
        <w:t>.</w:t>
      </w:r>
    </w:p>
    <w:p w14:paraId="7564EFE3" w14:textId="31253E4F" w:rsidR="00471781" w:rsidRDefault="00525F40" w:rsidP="00A316AC">
      <w:pPr>
        <w:pStyle w:val="Heading3"/>
      </w:pPr>
      <w:bookmarkStart w:id="55" w:name="_Toc213017923"/>
      <w:r>
        <w:t>Investing significant resources . . .</w:t>
      </w:r>
      <w:bookmarkEnd w:id="55"/>
    </w:p>
    <w:p w14:paraId="7191DB61" w14:textId="60B54889" w:rsidR="00471781" w:rsidRDefault="00D76FF6" w:rsidP="008C7070">
      <w:pPr>
        <w:pStyle w:val="BodyText"/>
      </w:pPr>
      <w:r>
        <w:t xml:space="preserve">To get the benefit of press protections, one must first invest a significant </w:t>
      </w:r>
      <w:proofErr w:type="gramStart"/>
      <w:r>
        <w:t>amount</w:t>
      </w:r>
      <w:proofErr w:type="gramEnd"/>
      <w:r>
        <w:t xml:space="preserve"> of resources—whether financial or “sweat equity”—into creating a message.  This element captures Professor West’s narrowing criterion that </w:t>
      </w:r>
      <w:r w:rsidRPr="00FA0F3E">
        <w:rPr>
          <w:rFonts w:cs="Times New Roman"/>
        </w:rPr>
        <w:t>the press consists of “people and entities who devote far more time, experience, expertise, and resources to being the press</w:t>
      </w:r>
      <w:r>
        <w:rPr>
          <w:rFonts w:cs="Times New Roman"/>
        </w:rPr>
        <w:t>,</w:t>
      </w:r>
      <w:r w:rsidRPr="00FA0F3E">
        <w:rPr>
          <w:rFonts w:cs="Times New Roman"/>
        </w:rPr>
        <w:t xml:space="preserve">” </w:t>
      </w:r>
      <w:r>
        <w:rPr>
          <w:rFonts w:cs="Times New Roman"/>
        </w:rPr>
        <w:t xml:space="preserve">but excludes </w:t>
      </w:r>
      <w:r w:rsidRPr="00FA0F3E">
        <w:rPr>
          <w:rFonts w:cs="Times New Roman"/>
        </w:rPr>
        <w:t>those who are merely “regular participant[s] in our public debate.”</w:t>
      </w:r>
      <w:r w:rsidRPr="00FA0F3E">
        <w:rPr>
          <w:rStyle w:val="FootnoteReference"/>
          <w:rFonts w:cs="Times New Roman"/>
        </w:rPr>
        <w:footnoteReference w:id="228"/>
      </w:r>
      <w:r>
        <w:rPr>
          <w:rFonts w:cs="Times New Roman"/>
        </w:rPr>
        <w:t xml:space="preserve">  A formulation that allows those resources to take other forms besides money is more democratic, however.  Jeff Bezos’s purchase of the </w:t>
      </w:r>
      <w:r w:rsidRPr="00964F3F">
        <w:rPr>
          <w:rFonts w:cs="Times New Roman"/>
          <w:i/>
          <w:iCs/>
        </w:rPr>
        <w:t>Washington Post</w:t>
      </w:r>
      <w:r>
        <w:rPr>
          <w:rFonts w:cs="Times New Roman"/>
        </w:rPr>
        <w:t xml:space="preserve"> for $250 million obviously counts as an investment of “significant resources.”</w:t>
      </w:r>
      <w:r>
        <w:rPr>
          <w:rStyle w:val="FootnoteReference"/>
          <w:rFonts w:cs="Times New Roman"/>
        </w:rPr>
        <w:footnoteReference w:id="229"/>
      </w:r>
      <w:r>
        <w:rPr>
          <w:rFonts w:cs="Times New Roman"/>
        </w:rPr>
        <w:t xml:space="preserve">  But the label “press” must not be reserved only for the super-rich.  The modern equivalent of the “lonely pamphleteer” might spend significant time</w:t>
      </w:r>
      <w:r w:rsidRPr="00964F3F">
        <w:rPr>
          <w:rFonts w:cs="Times New Roman"/>
        </w:rPr>
        <w:t xml:space="preserve"> </w:t>
      </w:r>
      <w:r>
        <w:rPr>
          <w:rFonts w:cs="Times New Roman"/>
        </w:rPr>
        <w:t>and effort but little money preparing messages to contribute to the discourse—and they should count, too.</w:t>
      </w:r>
      <w:r>
        <w:rPr>
          <w:rStyle w:val="FootnoteReference"/>
          <w:rFonts w:cs="Times New Roman"/>
        </w:rPr>
        <w:footnoteReference w:id="230"/>
      </w:r>
    </w:p>
    <w:p w14:paraId="039A1393" w14:textId="4CE98E37" w:rsidR="00471781" w:rsidRDefault="00525F40" w:rsidP="00A316AC">
      <w:pPr>
        <w:pStyle w:val="Heading3"/>
      </w:pPr>
      <w:bookmarkStart w:id="56" w:name="_Toc213017924"/>
      <w:r>
        <w:t>. . . to generate a message . . .</w:t>
      </w:r>
      <w:bookmarkEnd w:id="56"/>
    </w:p>
    <w:p w14:paraId="4A884D86" w14:textId="26094113" w:rsidR="00DE5E08" w:rsidRDefault="00D76FF6" w:rsidP="00DE5E08">
      <w:pPr>
        <w:pStyle w:val="BodyText"/>
      </w:pPr>
      <w:r>
        <w:t>The form the message takes must be broadly conceptualized as well.  Online “content”—a ubiquitous buzzword in the 2020s—can consist of “</w:t>
      </w:r>
      <w:r w:rsidRPr="007B34B9">
        <w:t xml:space="preserve">text, images, </w:t>
      </w:r>
      <w:r w:rsidRPr="007B34B9">
        <w:lastRenderedPageBreak/>
        <w:t>animations, music and videos</w:t>
      </w:r>
      <w:r>
        <w:t>.”</w:t>
      </w:r>
      <w:r>
        <w:rPr>
          <w:rStyle w:val="FootnoteReference"/>
        </w:rPr>
        <w:footnoteReference w:id="231"/>
      </w:r>
      <w:r>
        <w:t xml:space="preserve">  All of these vehicles coincide with forms of expression (e.g., music, cartoons, and expressive conduct) that have long been protected under the First Amendment, and there is no reason to exempt them.</w:t>
      </w:r>
      <w:bookmarkStart w:id="57" w:name="_Hlk203062352"/>
      <w:r>
        <w:rPr>
          <w:rStyle w:val="FootnoteReference"/>
        </w:rPr>
        <w:footnoteReference w:id="232"/>
      </w:r>
      <w:bookmarkEnd w:id="57"/>
    </w:p>
    <w:p w14:paraId="03C5CB1F" w14:textId="4B09993E" w:rsidR="00525F40" w:rsidRDefault="00525F40" w:rsidP="00A316AC">
      <w:pPr>
        <w:pStyle w:val="Heading3"/>
      </w:pPr>
      <w:bookmarkStart w:id="59" w:name="_Toc213017925"/>
      <w:r>
        <w:t>. . . about an issue of public concern . . .</w:t>
      </w:r>
      <w:bookmarkEnd w:id="59"/>
    </w:p>
    <w:p w14:paraId="08DAF635" w14:textId="5BADE281" w:rsidR="009C07BC" w:rsidRPr="005F001A" w:rsidRDefault="00C44990" w:rsidP="009C07BC">
      <w:pPr>
        <w:pStyle w:val="BodyText"/>
      </w:pPr>
      <w:r>
        <w:t>T</w:t>
      </w:r>
      <w:r w:rsidR="009C07BC">
        <w:t>he profusion of material online means that defining press in terms of the publication of “information and opinion” requires a limiting principle.</w:t>
      </w:r>
      <w:r w:rsidR="009C07BC">
        <w:rPr>
          <w:rStyle w:val="FootnoteReference"/>
        </w:rPr>
        <w:footnoteReference w:id="233"/>
      </w:r>
      <w:r w:rsidR="009C07BC">
        <w:t xml:space="preserve">  The addition of so-called “AI slop”—that is, “</w:t>
      </w:r>
      <w:r w:rsidR="009C07BC" w:rsidRPr="0087227D">
        <w:t>shoddy or unwanted A.I. content in social media, art, books</w:t>
      </w:r>
      <w:r w:rsidR="009C07BC">
        <w:t xml:space="preserve">,” and elsewhere—to the mix as artificial intelligence becomes </w:t>
      </w:r>
      <w:r w:rsidR="009C07BC" w:rsidRPr="005F001A">
        <w:t>increasingly accessible to internet users will only exacerbate this problem.</w:t>
      </w:r>
      <w:r w:rsidR="009C07BC" w:rsidRPr="005F001A">
        <w:rPr>
          <w:rStyle w:val="FootnoteReference"/>
        </w:rPr>
        <w:footnoteReference w:id="234"/>
      </w:r>
    </w:p>
    <w:p w14:paraId="53240BCC" w14:textId="1EE2AF3B" w:rsidR="009C07BC" w:rsidRDefault="009C07BC" w:rsidP="009C07BC">
      <w:pPr>
        <w:pStyle w:val="BodyText"/>
      </w:pPr>
      <w:r w:rsidRPr="005F001A">
        <w:t>This is a job for the “issue of public concern” test.  Even as the Court has purported to “avoid[] any reliance” on this rationale,</w:t>
      </w:r>
      <w:r w:rsidRPr="005F001A">
        <w:rPr>
          <w:rStyle w:val="FootnoteReference"/>
        </w:rPr>
        <w:footnoteReference w:id="235"/>
      </w:r>
      <w:r w:rsidRPr="005F001A">
        <w:t xml:space="preserve"> in a pinch, it has</w:t>
      </w:r>
      <w:r>
        <w:t xml:space="preserve"> turned to it again and again in cases like </w:t>
      </w:r>
      <w:r>
        <w:rPr>
          <w:i/>
          <w:iCs/>
        </w:rPr>
        <w:t>Dun &amp; Bradstreet</w:t>
      </w:r>
      <w:r>
        <w:t xml:space="preserve"> and </w:t>
      </w:r>
      <w:r w:rsidRPr="00D03B3A">
        <w:rPr>
          <w:i/>
          <w:iCs/>
        </w:rPr>
        <w:t>Hepps</w:t>
      </w:r>
      <w:r w:rsidRPr="00BC297C">
        <w:t>.</w:t>
      </w:r>
      <w:r>
        <w:rPr>
          <w:rStyle w:val="FootnoteReference"/>
        </w:rPr>
        <w:footnoteReference w:id="236"/>
      </w:r>
      <w:r>
        <w:t xml:space="preserve">  More recently, in </w:t>
      </w:r>
      <w:r w:rsidRPr="00D03B3A">
        <w:rPr>
          <w:i/>
          <w:iCs/>
        </w:rPr>
        <w:t>Snyder v. Phelps</w:t>
      </w:r>
      <w:r>
        <w:t>,</w:t>
      </w:r>
      <w:r>
        <w:rPr>
          <w:rStyle w:val="FootnoteReference"/>
        </w:rPr>
        <w:footnoteReference w:id="237"/>
      </w:r>
      <w:r>
        <w:t xml:space="preserve"> the Court upheld the Westboro Baptist Church’s right to protest at military funerals on the ground that, deranged and offensive though they </w:t>
      </w:r>
      <w:r>
        <w:lastRenderedPageBreak/>
        <w:t>may be, they nonetheless involved “</w:t>
      </w:r>
      <w:r w:rsidRPr="002730BB">
        <w:t>matters of public import</w:t>
      </w:r>
      <w:r>
        <w:t>.”</w:t>
      </w:r>
      <w:r>
        <w:rPr>
          <w:rStyle w:val="FootnoteReference"/>
        </w:rPr>
        <w:footnoteReference w:id="238"/>
      </w:r>
      <w:r>
        <w:t xml:space="preserve">  In a way, it is unsurprising that the Court has never repudiated this test, as the distinction between issues that “</w:t>
      </w:r>
      <w:r w:rsidRPr="00D03B3A">
        <w:t>hav</w:t>
      </w:r>
      <w:r>
        <w:t>[e]</w:t>
      </w:r>
      <w:r w:rsidRPr="00D03B3A">
        <w:t xml:space="preserve"> or lack</w:t>
      </w:r>
      <w:r>
        <w:t>[]</w:t>
      </w:r>
      <w:r w:rsidRPr="00D03B3A">
        <w:t xml:space="preserve"> public significance</w:t>
      </w:r>
      <w:r>
        <w:t>” has “</w:t>
      </w:r>
      <w:r w:rsidRPr="00D03B3A">
        <w:t>great intuitive appeal</w:t>
      </w:r>
      <w:r>
        <w:t>.”</w:t>
      </w:r>
      <w:r>
        <w:rPr>
          <w:rStyle w:val="FootnoteReference"/>
        </w:rPr>
        <w:footnoteReference w:id="239"/>
      </w:r>
    </w:p>
    <w:p w14:paraId="02EBCD79" w14:textId="7B962368" w:rsidR="009C07BC" w:rsidRDefault="009C07BC" w:rsidP="009C07BC">
      <w:pPr>
        <w:pStyle w:val="BodyText"/>
        <w:rPr>
          <w:rFonts w:cs="Times New Roman"/>
        </w:rPr>
      </w:pPr>
      <w:r w:rsidRPr="00C44990">
        <w:t xml:space="preserve">The scholars and judges who have advocated for </w:t>
      </w:r>
      <w:r w:rsidR="00C44990">
        <w:t xml:space="preserve">the public-concern test (most often </w:t>
      </w:r>
      <w:r w:rsidR="00C44990" w:rsidRPr="00C44990">
        <w:t xml:space="preserve">as a potential replacement for the plaintiff-centric public-figure approach of </w:t>
      </w:r>
      <w:r w:rsidR="00C44990" w:rsidRPr="00C44990">
        <w:rPr>
          <w:i/>
          <w:iCs/>
        </w:rPr>
        <w:t>Sullivan</w:t>
      </w:r>
      <w:r w:rsidR="00C44990">
        <w:t>)</w:t>
      </w:r>
      <w:r w:rsidRPr="00C44990">
        <w:t xml:space="preserve"> would apply actual</w:t>
      </w:r>
      <w:r>
        <w:t xml:space="preserve"> malice to “speech on governmental affairs—or, stated more broadly, speech on matters of public importance—or, stated still more broadly, speech on matters of public concern or interest.”</w:t>
      </w:r>
      <w:r>
        <w:rPr>
          <w:rStyle w:val="FootnoteReference"/>
        </w:rPr>
        <w:footnoteReference w:id="240"/>
      </w:r>
      <w:r>
        <w:t xml:space="preserve">  The latter formulation is the best choice.  “[M]</w:t>
      </w:r>
      <w:r w:rsidRPr="00D03B3A">
        <w:t>atters of public concern</w:t>
      </w:r>
      <w:r>
        <w:t xml:space="preserve">” are those that can </w:t>
      </w:r>
      <w:r w:rsidRPr="00D03B3A">
        <w:t xml:space="preserve">“be fairly considered as relating to any matter of political, social, or other concern to the community” </w:t>
      </w:r>
      <w:r>
        <w:t>or are “</w:t>
      </w:r>
      <w:r w:rsidRPr="00D03B3A">
        <w:t>subject</w:t>
      </w:r>
      <w:r>
        <w:t>[s]</w:t>
      </w:r>
      <w:r w:rsidRPr="00D03B3A">
        <w:t xml:space="preserve"> of general interest and of value and concern to the public</w:t>
      </w:r>
      <w:r>
        <w:t>.”</w:t>
      </w:r>
      <w:r>
        <w:rPr>
          <w:rStyle w:val="FootnoteReference"/>
        </w:rPr>
        <w:footnoteReference w:id="241"/>
      </w:r>
      <w:r>
        <w:t xml:space="preserve">  This definition sweeps more broadly than—though it includes—West’s </w:t>
      </w:r>
      <w:r w:rsidRPr="00F0571C">
        <w:t>“news-related activities”</w:t>
      </w:r>
      <w:r w:rsidRPr="00FA0F3E">
        <w:rPr>
          <w:rStyle w:val="FootnoteReference"/>
          <w:rFonts w:cs="Times New Roman"/>
        </w:rPr>
        <w:footnoteReference w:id="242"/>
      </w:r>
      <w:r w:rsidRPr="00F0571C">
        <w:t xml:space="preserve"> </w:t>
      </w:r>
      <w:r>
        <w:t>and Charles and O’Neill’s interest in “</w:t>
      </w:r>
      <w:r w:rsidRPr="00163402">
        <w:t>investigat</w:t>
      </w:r>
      <w:r>
        <w:t>[ing]</w:t>
      </w:r>
      <w:r w:rsidRPr="00163402">
        <w:t xml:space="preserve"> and report</w:t>
      </w:r>
      <w:r>
        <w:t>[ing]</w:t>
      </w:r>
      <w:r w:rsidRPr="00163402">
        <w:t xml:space="preserve"> on the activities of government</w:t>
      </w:r>
      <w:r>
        <w:t>.”</w:t>
      </w:r>
      <w:r w:rsidRPr="00FA0F3E">
        <w:rPr>
          <w:rStyle w:val="FootnoteReference"/>
          <w:rFonts w:cs="Times New Roman"/>
        </w:rPr>
        <w:footnoteReference w:id="243"/>
      </w:r>
      <w:r w:rsidRPr="00FA0F3E">
        <w:rPr>
          <w:rFonts w:ascii="Times New Roman" w:hAnsi="Times New Roman" w:cs="Times New Roman"/>
        </w:rPr>
        <w:t xml:space="preserve"> </w:t>
      </w:r>
      <w:r>
        <w:t xml:space="preserve"> At the same time, it is far more focused, and </w:t>
      </w:r>
      <w:r>
        <w:lastRenderedPageBreak/>
        <w:t>therefore practical, than Floyd Abrams’ functional definition (“</w:t>
      </w:r>
      <w:r w:rsidRPr="004544BE">
        <w:rPr>
          <w:rFonts w:cs="Times New Roman"/>
        </w:rPr>
        <w:t>possessing</w:t>
      </w:r>
      <w:r>
        <w:rPr>
          <w:rFonts w:cs="Times New Roman"/>
        </w:rPr>
        <w:t xml:space="preserve"> </w:t>
      </w:r>
      <w:r w:rsidRPr="004544BE">
        <w:rPr>
          <w:rFonts w:cs="Times New Roman"/>
        </w:rPr>
        <w:t>materials in connection with the dissemination to the public</w:t>
      </w:r>
      <w:r>
        <w:rPr>
          <w:rFonts w:cs="Times New Roman"/>
        </w:rPr>
        <w:t xml:space="preserve"> </w:t>
      </w:r>
      <w:r w:rsidRPr="004544BE">
        <w:rPr>
          <w:rFonts w:cs="Times New Roman"/>
        </w:rPr>
        <w:t>of a newspaper, book, broadcast or other form of communication</w:t>
      </w:r>
      <w:r>
        <w:rPr>
          <w:rFonts w:cs="Times New Roman"/>
        </w:rPr>
        <w:t>”), which is so broad and nebulous as to lose all meaning in the modern era of communication technology.</w:t>
      </w:r>
      <w:r>
        <w:rPr>
          <w:rStyle w:val="FootnoteReference"/>
          <w:rFonts w:cs="Times New Roman"/>
        </w:rPr>
        <w:footnoteReference w:id="244"/>
      </w:r>
    </w:p>
    <w:p w14:paraId="2B3649CA" w14:textId="77777777" w:rsidR="009C07BC" w:rsidRDefault="009C07BC" w:rsidP="009C07BC">
      <w:pPr>
        <w:pStyle w:val="BodyText"/>
      </w:pPr>
      <w:r>
        <w:rPr>
          <w:rFonts w:cs="Times New Roman"/>
        </w:rPr>
        <w:t>According to Justice Kagan, the ultimate touchstone for whether a heightened standard should apply to defamation claims is, “</w:t>
      </w:r>
      <w:r>
        <w:t>[D]oes [the speech at issue] truly enhance public discourse?”</w:t>
      </w:r>
      <w:r>
        <w:rPr>
          <w:rStyle w:val="FootnoteReference"/>
        </w:rPr>
        <w:footnoteReference w:id="245"/>
      </w:r>
      <w:r>
        <w:t xml:space="preserve">  The “issue of public concern” element, which has always been “</w:t>
      </w:r>
      <w:r w:rsidRPr="009D50A6">
        <w:t>at the heart of the First Amendment</w:t>
      </w:r>
      <w:r>
        <w:t>[],” ensures that the answer is yes, therefore “</w:t>
      </w:r>
      <w:r w:rsidRPr="00C9058C">
        <w:t>entitl</w:t>
      </w:r>
      <w:r>
        <w:t>[ing the communicative act]</w:t>
      </w:r>
      <w:r w:rsidRPr="00C9058C">
        <w:t xml:space="preserve"> to special protection</w:t>
      </w:r>
      <w:r>
        <w:t>.”</w:t>
      </w:r>
      <w:r>
        <w:rPr>
          <w:rStyle w:val="FootnoteReference"/>
        </w:rPr>
        <w:footnoteReference w:id="246"/>
      </w:r>
      <w:r>
        <w:t xml:space="preserve"> </w:t>
      </w:r>
    </w:p>
    <w:p w14:paraId="33811EB5" w14:textId="0EC6B26C" w:rsidR="00525F40" w:rsidRDefault="00525F40" w:rsidP="00A316AC">
      <w:pPr>
        <w:pStyle w:val="Heading3"/>
      </w:pPr>
      <w:bookmarkStart w:id="60" w:name="_Toc213017926"/>
      <w:r>
        <w:t xml:space="preserve">. . . </w:t>
      </w:r>
      <w:r w:rsidR="00106BDA">
        <w:t>that is</w:t>
      </w:r>
      <w:r>
        <w:t xml:space="preserve"> reasonably calculated to reach a mass audience</w:t>
      </w:r>
      <w:bookmarkEnd w:id="60"/>
    </w:p>
    <w:p w14:paraId="5B8F58F0" w14:textId="4C4998D6" w:rsidR="00911C26" w:rsidRDefault="0074666C" w:rsidP="00911C26">
      <w:pPr>
        <w:pStyle w:val="BodyText"/>
      </w:pPr>
      <w:r>
        <w:t xml:space="preserve">Another longstanding basis for distinguishing those acting as press from any other </w:t>
      </w:r>
      <w:r w:rsidRPr="00FA0F3E">
        <w:t>“participant in our public debate”</w:t>
      </w:r>
      <w:r w:rsidRPr="00FA0F3E">
        <w:rPr>
          <w:rStyle w:val="FootnoteReference"/>
          <w:rFonts w:cs="Times New Roman"/>
        </w:rPr>
        <w:footnoteReference w:id="247"/>
      </w:r>
      <w:r>
        <w:t xml:space="preserve"> is that the message must be “for public consumption.”</w:t>
      </w:r>
      <w:r>
        <w:rPr>
          <w:rStyle w:val="FootnoteReference"/>
          <w:rFonts w:cs="Times New Roman"/>
        </w:rPr>
        <w:footnoteReference w:id="248"/>
      </w:r>
      <w:r>
        <w:t xml:space="preserve">  Volokh, quoting Chief Justice Burger, has identified </w:t>
      </w:r>
      <w:r w:rsidRPr="00FA0F3E">
        <w:t>“communicat</w:t>
      </w:r>
      <w:r>
        <w:t>[ing]</w:t>
      </w:r>
      <w:r w:rsidRPr="00FA0F3E">
        <w:t xml:space="preserve"> with a large, unseen audience”</w:t>
      </w:r>
      <w:r>
        <w:t xml:space="preserve"> as a hallmark of the press.</w:t>
      </w:r>
      <w:r w:rsidRPr="00FA0F3E">
        <w:rPr>
          <w:rStyle w:val="FootnoteReference"/>
          <w:rFonts w:cs="Times New Roman"/>
        </w:rPr>
        <w:footnoteReference w:id="249"/>
      </w:r>
      <w:r>
        <w:t xml:space="preserve">  </w:t>
      </w:r>
      <w:r w:rsidR="00911C26">
        <w:t xml:space="preserve">How numerous does an audience need to be for it to be considered “mass”?  There is no </w:t>
      </w:r>
      <w:r w:rsidR="00911C26">
        <w:lastRenderedPageBreak/>
        <w:t>set number.  For Chief Justice Burger, it needed only to be “large” and “unseen.”</w:t>
      </w:r>
      <w:r w:rsidR="00911C26">
        <w:rPr>
          <w:rStyle w:val="FootnoteReference"/>
        </w:rPr>
        <w:footnoteReference w:id="250"/>
      </w:r>
      <w:r w:rsidR="00911C26">
        <w:t xml:space="preserve">  Although unsatisfying at first glance, a description like this leaves open the possibility of defining what constitutes a “mass” audience differently, depending on the context.  For a pamphleteer or soapbox speaker, an audience of 100 might be considered “mass”; for a television broadcast in a large city, that number might be 100,000.</w:t>
      </w:r>
    </w:p>
    <w:p w14:paraId="1D82B05C" w14:textId="1AA1504A" w:rsidR="00D76FF6" w:rsidRDefault="00B03D58" w:rsidP="00D76FF6">
      <w:pPr>
        <w:pStyle w:val="BodyText"/>
      </w:pPr>
      <w:r>
        <w:t xml:space="preserve">The more important consideration in the context of the </w:t>
      </w:r>
      <w:r w:rsidR="00D76FF6">
        <w:t xml:space="preserve">modern media </w:t>
      </w:r>
      <w:proofErr w:type="gramStart"/>
      <w:r w:rsidR="00D76FF6">
        <w:t>environment,</w:t>
      </w:r>
      <w:proofErr w:type="gramEnd"/>
      <w:r w:rsidR="00D76FF6">
        <w:t xml:space="preserve"> </w:t>
      </w:r>
      <w:r>
        <w:t xml:space="preserve">is that </w:t>
      </w:r>
      <w:r w:rsidR="00D76FF6">
        <w:t xml:space="preserve">the message must be </w:t>
      </w:r>
      <w:r w:rsidR="00D76FF6" w:rsidRPr="009C56B3">
        <w:rPr>
          <w:i/>
          <w:iCs/>
        </w:rPr>
        <w:t>intended</w:t>
      </w:r>
      <w:r w:rsidR="00D76FF6">
        <w:t xml:space="preserve"> to reach a mass audience.</w:t>
      </w:r>
      <w:r w:rsidR="00911C26">
        <w:t xml:space="preserve">  </w:t>
      </w:r>
      <w:r w:rsidR="00D76FF6">
        <w:t>This criterion is designed to screen out messages that unexpectedly go viral online</w:t>
      </w:r>
      <w:r>
        <w:t xml:space="preserve">, </w:t>
      </w:r>
      <w:r w:rsidR="00D76FF6">
        <w:t>sometimes with dramatic and unintended consequences.  One of the earliest and most notorious of these stories was that of Justine Sacco, a 30-year-old public relations professional who tweeted an insensitive joke about AIDS as she was boarding an 11-hour flight to Africa, only to find out when she landed that she had become the subject of a massive online cancellation campaign.</w:t>
      </w:r>
      <w:r w:rsidR="00D76FF6">
        <w:rPr>
          <w:rStyle w:val="FootnoteReference"/>
          <w:rFonts w:cs="Times New Roman"/>
        </w:rPr>
        <w:footnoteReference w:id="251"/>
      </w:r>
      <w:r w:rsidR="00D76FF6">
        <w:t xml:space="preserve">  Although Sacco only had 170 Twitter followers, someone who saw it tipped off a blogger at </w:t>
      </w:r>
      <w:r w:rsidR="00D76FF6" w:rsidRPr="00A928F3">
        <w:rPr>
          <w:i/>
          <w:iCs/>
        </w:rPr>
        <w:t>Gawker</w:t>
      </w:r>
      <w:r w:rsidR="00D76FF6">
        <w:t xml:space="preserve"> who retweeted the joke to his 15,000 followers with a critical caption.</w:t>
      </w:r>
      <w:r w:rsidR="00D76FF6">
        <w:rPr>
          <w:rStyle w:val="FootnoteReference"/>
          <w:rFonts w:cs="Times New Roman"/>
        </w:rPr>
        <w:footnoteReference w:id="252"/>
      </w:r>
      <w:r w:rsidR="00D76FF6">
        <w:t xml:space="preserve">  #HasJustineLandedYet soon became a top trending story worldwide, and Sacco was fired from her job within hours.</w:t>
      </w:r>
      <w:r w:rsidR="00D76FF6">
        <w:rPr>
          <w:rStyle w:val="FootnoteReference"/>
          <w:rFonts w:cs="Times New Roman"/>
        </w:rPr>
        <w:footnoteReference w:id="253"/>
      </w:r>
      <w:r w:rsidR="00D76FF6">
        <w:t xml:space="preserve">  To be sure, Sacco’s post was public from the </w:t>
      </w:r>
      <w:r w:rsidR="00D76FF6">
        <w:lastRenderedPageBreak/>
        <w:t>start, and it ended up reaching a mass audience.  But she surely did not intend the joke to become one of the world’s top trending stories.  Sacco was not acting as press.</w:t>
      </w:r>
    </w:p>
    <w:p w14:paraId="46B9708E" w14:textId="71E13A7A" w:rsidR="00CD3BE9" w:rsidRDefault="00B03D58" w:rsidP="00D76FF6">
      <w:pPr>
        <w:pStyle w:val="BodyText"/>
      </w:pPr>
      <w:r>
        <w:t xml:space="preserve">Not only must the communication be intended for a mass audience, </w:t>
      </w:r>
      <w:proofErr w:type="gramStart"/>
      <w:r>
        <w:t>it</w:t>
      </w:r>
      <w:proofErr w:type="gramEnd"/>
      <w:r>
        <w:t xml:space="preserve"> must also stand a realistic chance of </w:t>
      </w:r>
      <w:proofErr w:type="gramStart"/>
      <w:r>
        <w:t>actually reaching</w:t>
      </w:r>
      <w:proofErr w:type="gramEnd"/>
      <w:r>
        <w:t xml:space="preserve"> one.</w:t>
      </w:r>
      <w:r w:rsidR="00D76FF6">
        <w:t xml:space="preserve"> </w:t>
      </w:r>
      <w:r>
        <w:t xml:space="preserve"> M</w:t>
      </w:r>
      <w:r w:rsidR="00D76FF6">
        <w:t xml:space="preserve">any people who compose messages online </w:t>
      </w:r>
      <w:r w:rsidR="00D76FF6" w:rsidRPr="00EE4856">
        <w:rPr>
          <w:i/>
          <w:iCs/>
        </w:rPr>
        <w:t>hope</w:t>
      </w:r>
      <w:r w:rsidR="00D76FF6">
        <w:t xml:space="preserve"> their content will go viral, but the probability that it will in fact reach </w:t>
      </w:r>
      <w:r>
        <w:t xml:space="preserve">an outsize audience </w:t>
      </w:r>
      <w:r w:rsidR="00D76FF6">
        <w:t>is low—according to one study, literally one in a million.</w:t>
      </w:r>
      <w:r w:rsidR="00D76FF6">
        <w:rPr>
          <w:rStyle w:val="FootnoteReference"/>
        </w:rPr>
        <w:footnoteReference w:id="254"/>
      </w:r>
      <w:r w:rsidR="00D76FF6">
        <w:t xml:space="preserve">  Experts cannot even agree on a definition of virality, let alone the factors that cause it.</w:t>
      </w:r>
      <w:r w:rsidR="00D76FF6">
        <w:rPr>
          <w:rStyle w:val="FootnoteReference"/>
        </w:rPr>
        <w:footnoteReference w:id="255"/>
      </w:r>
      <w:r w:rsidR="00D76FF6">
        <w:t xml:space="preserve">  It is therefore unrealistic for the online equivalent of the “lonely pamphleteer” to expect to reach a mass audience overnight.</w:t>
      </w:r>
    </w:p>
    <w:p w14:paraId="23BBEE66" w14:textId="77777777" w:rsidR="00D76FF6" w:rsidRDefault="00D76FF6" w:rsidP="00D76FF6">
      <w:pPr>
        <w:pStyle w:val="BodyText"/>
      </w:pPr>
      <w:r>
        <w:t xml:space="preserve">In this situation, a version of the </w:t>
      </w:r>
      <w:r w:rsidRPr="00CC6C49">
        <w:rPr>
          <w:i/>
          <w:iCs/>
        </w:rPr>
        <w:t>Brandenburg</w:t>
      </w:r>
      <w:r>
        <w:rPr>
          <w:i/>
          <w:iCs/>
        </w:rPr>
        <w:t xml:space="preserve"> v. Ohio</w:t>
      </w:r>
      <w:r w:rsidRPr="000007CC">
        <w:rPr>
          <w:rStyle w:val="FootnoteReference"/>
        </w:rPr>
        <w:footnoteReference w:id="256"/>
      </w:r>
      <w:r>
        <w:t xml:space="preserve"> test for incitement is helpful in sorting out who can realistically expect to reach a mass audience online from who can’t.  In </w:t>
      </w:r>
      <w:r w:rsidRPr="000007CC">
        <w:rPr>
          <w:i/>
          <w:iCs/>
        </w:rPr>
        <w:t>Brandenburg</w:t>
      </w:r>
      <w:r>
        <w:t>, the Court famously held that speech advocating for violent political change could not be proscribed unless it was “directed to inciting or producing imminent lawless action and [wa]s likely to incite or produce such action.”</w:t>
      </w:r>
      <w:r>
        <w:rPr>
          <w:rStyle w:val="FootnoteReference"/>
        </w:rPr>
        <w:footnoteReference w:id="257"/>
      </w:r>
      <w:r>
        <w:t xml:space="preserve">  A speaker exhorting an audience to take even concrete, imminent action toward the violent overthrow of the government is not enough—it also has to be </w:t>
      </w:r>
      <w:r>
        <w:lastRenderedPageBreak/>
        <w:t>“likely” that the audience will actually comply.  So too here:</w:t>
      </w:r>
      <w:r w:rsidRPr="000A1DB8">
        <w:t xml:space="preserve"> </w:t>
      </w:r>
      <w:r>
        <w:t xml:space="preserve">the content must be “directed to” reaching a mass audience and “and . . . likely to” </w:t>
      </w:r>
      <w:proofErr w:type="gramStart"/>
      <w:r>
        <w:t>actually do</w:t>
      </w:r>
      <w:proofErr w:type="gramEnd"/>
      <w:r>
        <w:t xml:space="preserve"> so.</w:t>
      </w:r>
      <w:r>
        <w:rPr>
          <w:rStyle w:val="FootnoteReference"/>
        </w:rPr>
        <w:footnoteReference w:id="258"/>
      </w:r>
      <w:r>
        <w:t xml:space="preserve">  In other words, reaching a mass audience </w:t>
      </w:r>
      <w:proofErr w:type="gramStart"/>
      <w:r>
        <w:t>has to</w:t>
      </w:r>
      <w:proofErr w:type="gramEnd"/>
      <w:r>
        <w:t xml:space="preserve"> be both intentional </w:t>
      </w:r>
      <w:r w:rsidRPr="000A1DB8">
        <w:rPr>
          <w:i/>
          <w:iCs/>
        </w:rPr>
        <w:t>and</w:t>
      </w:r>
      <w:r>
        <w:t xml:space="preserve"> realistically possible.</w:t>
      </w:r>
    </w:p>
    <w:p w14:paraId="22D9A8E3" w14:textId="3EF0ACCA" w:rsidR="00D73A3A" w:rsidRDefault="00D76FF6" w:rsidP="00B03D58">
      <w:pPr>
        <w:pStyle w:val="BodyText"/>
      </w:pPr>
      <w:r>
        <w:t xml:space="preserve">To meet this requirement, one claiming the mantle of “press” would almost certainly have had to put considerable effort into cultivating an audience or following over time.  That said, this definition doesn’t </w:t>
      </w:r>
      <w:r w:rsidRPr="000A1DB8">
        <w:rPr>
          <w:i/>
          <w:iCs/>
        </w:rPr>
        <w:t>require</w:t>
      </w:r>
      <w:r>
        <w:t xml:space="preserve"> an existing audience.  It is certainly possible that a particular post or campaign is so well crafted and targeted that it is likely to reach a mass audience.  And still other creators might prefer to minimize the uncertainty factor by simply buying a mass audience for their message, as in the traditional advertising model.</w:t>
      </w:r>
      <w:r w:rsidR="00B03D58">
        <w:t xml:space="preserve">  </w:t>
      </w:r>
      <w:proofErr w:type="gramStart"/>
      <w:r w:rsidR="00B03D58">
        <w:t>As long as</w:t>
      </w:r>
      <w:proofErr w:type="gramEnd"/>
      <w:r w:rsidR="00B03D58">
        <w:t xml:space="preserve"> the content addresses an issue of public concern—the advertorial that sparked </w:t>
      </w:r>
      <w:r w:rsidR="00B03D58" w:rsidRPr="00B03D58">
        <w:rPr>
          <w:i/>
          <w:iCs/>
        </w:rPr>
        <w:t>Sullivan</w:t>
      </w:r>
      <w:r w:rsidR="00B03D58">
        <w:t xml:space="preserve"> comes to </w:t>
      </w:r>
      <w:proofErr w:type="gramStart"/>
      <w:r w:rsidR="00B03D58">
        <w:t>mind—</w:t>
      </w:r>
      <w:proofErr w:type="gramEnd"/>
      <w:r w:rsidR="00B03D58">
        <w:t>there is no reason to exclude paid content per se.</w:t>
      </w:r>
    </w:p>
    <w:p w14:paraId="08DC0A78" w14:textId="0B4359B4" w:rsidR="00DE5E08" w:rsidRDefault="00BA0916" w:rsidP="00DE5E08">
      <w:pPr>
        <w:pStyle w:val="Heading2"/>
      </w:pPr>
      <w:bookmarkStart w:id="62" w:name="_Toc213017927"/>
      <w:r>
        <w:rPr>
          <w:bCs w:val="0"/>
        </w:rPr>
        <w:t xml:space="preserve">Evolution: </w:t>
      </w:r>
      <w:r w:rsidR="009F6EB0">
        <w:rPr>
          <w:bCs w:val="0"/>
        </w:rPr>
        <w:t>O</w:t>
      </w:r>
      <w:r>
        <w:rPr>
          <w:bCs w:val="0"/>
        </w:rPr>
        <w:t>pen questions</w:t>
      </w:r>
      <w:r w:rsidR="009F6EB0">
        <w:rPr>
          <w:bCs w:val="0"/>
        </w:rPr>
        <w:t xml:space="preserve"> are</w:t>
      </w:r>
      <w:r>
        <w:rPr>
          <w:bCs w:val="0"/>
        </w:rPr>
        <w:t xml:space="preserve"> left to the common law</w:t>
      </w:r>
      <w:bookmarkEnd w:id="62"/>
    </w:p>
    <w:p w14:paraId="6CCA83B9" w14:textId="77777777" w:rsidR="00835469" w:rsidRDefault="00835469" w:rsidP="00835469">
      <w:pPr>
        <w:pStyle w:val="BodyText"/>
      </w:pPr>
      <w:r>
        <w:t xml:space="preserve">If the common law that forms the foundation of our court system is allowed to work as it should, a code-like approach to defining the press that anticipates every conceivable technological development the future holds—a fool’s errand on the best of days—is unnecessary.  Although statutes defining who counts as press for purposes of various privileges and protections can and do list forms of media that are expressly covered (the Washington statute mentioned above listed several, including “newspaper[s],” “book publisher[s],” and “radio or television station[s]”), </w:t>
      </w:r>
      <w:r>
        <w:lastRenderedPageBreak/>
        <w:t>they frequently include catchall categories (e.g., “</w:t>
      </w:r>
      <w:r w:rsidRPr="00E4146F">
        <w:t>any entity that is in the regular business of news gathering and disseminating news or information to the public by any means</w:t>
      </w:r>
      <w:r>
        <w:t>”) that require, and indeed contemplate, judicial interpretation.</w:t>
      </w:r>
      <w:r>
        <w:rPr>
          <w:rStyle w:val="FootnoteReference"/>
        </w:rPr>
        <w:footnoteReference w:id="259"/>
      </w:r>
    </w:p>
    <w:p w14:paraId="51ADC2C5" w14:textId="302C5235" w:rsidR="00BA0916" w:rsidRPr="00F42089" w:rsidRDefault="00835469" w:rsidP="00835469">
      <w:pPr>
        <w:pStyle w:val="BodyText"/>
      </w:pPr>
      <w:r>
        <w:t>Even where the definition of the press is either nonexistent or is confined to an outdated list of specific media, courts can analogize and distinguish the particular technology at issue to other technologies that are inarguably “press” based on factors that reflect a common understanding of the press as reflected in state laws (as West suggests) and/or derive from its historical conception (as O’Neill and Charles argue).</w:t>
      </w:r>
      <w:r>
        <w:rPr>
          <w:rStyle w:val="FootnoteReference"/>
        </w:rPr>
        <w:footnoteReference w:id="260"/>
      </w:r>
      <w:r>
        <w:t xml:space="preserve">  Allowing the common law to evolve case by case might well be the only approach flexible enough to keep up with the new media outlets and technologies that seem to spring up every day.</w:t>
      </w:r>
    </w:p>
    <w:p w14:paraId="5C780506" w14:textId="323262EE" w:rsidR="009C07BC" w:rsidRDefault="009C07BC" w:rsidP="009C07BC">
      <w:pPr>
        <w:pStyle w:val="BodyText"/>
      </w:pPr>
      <w:r>
        <w:t xml:space="preserve">Admittedly, this functional definition of “press” </w:t>
      </w:r>
      <w:r w:rsidR="00B03D58">
        <w:t xml:space="preserve">proposed above </w:t>
      </w:r>
      <w:r>
        <w:t xml:space="preserve">leaves many important terms open-ended: how “significant” an </w:t>
      </w:r>
      <w:proofErr w:type="gramStart"/>
      <w:r>
        <w:t>amount</w:t>
      </w:r>
      <w:proofErr w:type="gramEnd"/>
      <w:r>
        <w:t xml:space="preserve"> of resources must be invested, how likely a communication must be to reach a mass audience (and how big the audience must be to be considered “mass”), and whether a given issue warrants “public concern.”  This is by design.  To survive in a rapidly changing media environment, any definition of press must leave significant play in the joints, to be filled in by the common law and allowed to change over time.  Definitions that limit themselves to “newspapers of general circulation” and “professional” press, for </w:t>
      </w:r>
      <w:r>
        <w:lastRenderedPageBreak/>
        <w:t>example—both of which might well be in their waning days—are already losing their utility.  Another cautionary tale comes from Kagan, who thought gossip about celebrities “</w:t>
      </w:r>
      <w:r w:rsidRPr="003D61FB">
        <w:t>might well flunk</w:t>
      </w:r>
      <w:r>
        <w:t>” a public-concern test; today, however, “celebrity news” sites like TMZ.com are big business.</w:t>
      </w:r>
      <w:r>
        <w:rPr>
          <w:rStyle w:val="FootnoteReference"/>
        </w:rPr>
        <w:footnoteReference w:id="261"/>
      </w:r>
    </w:p>
    <w:p w14:paraId="05B45636" w14:textId="7B8644AD" w:rsidR="00B5306B" w:rsidRDefault="009C07BC" w:rsidP="00D85460">
      <w:pPr>
        <w:pStyle w:val="BodyText"/>
      </w:pPr>
      <w:r>
        <w:t xml:space="preserve">A broader definition of “press” ameliorates problems like this.  It is also nothing to fear.  When someone faces legal exposure for acting as press, they </w:t>
      </w:r>
      <w:r w:rsidRPr="00D65AAF">
        <w:rPr>
          <w:i/>
          <w:iCs/>
        </w:rPr>
        <w:t>should</w:t>
      </w:r>
      <w:r>
        <w:t xml:space="preserve"> get whatever additional </w:t>
      </w:r>
      <w:proofErr w:type="gramStart"/>
      <w:r>
        <w:t>protections</w:t>
      </w:r>
      <w:proofErr w:type="gramEnd"/>
      <w:r>
        <w:t xml:space="preserve"> the Press Clause entitles them to.  True, this could sweep in a </w:t>
      </w:r>
      <w:r w:rsidR="00AB5B12">
        <w:t>w</w:t>
      </w:r>
      <w:r>
        <w:t>ide variety of people, organizations, and activities—including many that do not look much like traditional media.  But that is a feature of this approach, not a bug.  Rather than depriving the Press Clause of meaning, this definition makes its protections widely available to those who deserve them whenever it’s necessary and appropriate.</w:t>
      </w:r>
    </w:p>
    <w:p w14:paraId="30D2F98B" w14:textId="0A29BF00" w:rsidR="00471781" w:rsidRPr="00471781" w:rsidRDefault="00471781" w:rsidP="00406FD6">
      <w:pPr>
        <w:pStyle w:val="Subtitle"/>
      </w:pPr>
      <w:bookmarkStart w:id="63" w:name="_Toc213017928"/>
      <w:r>
        <w:t>Conclusion</w:t>
      </w:r>
      <w:bookmarkEnd w:id="63"/>
    </w:p>
    <w:p w14:paraId="0EC9E229" w14:textId="69059BF4" w:rsidR="00106BDA" w:rsidRDefault="00D85460" w:rsidP="00BA0916">
      <w:pPr>
        <w:pStyle w:val="BodyText"/>
      </w:pPr>
      <w:r>
        <w:t>The hallmarks of press activity</w:t>
      </w:r>
      <w:r w:rsidR="00106BDA">
        <w:t xml:space="preserve"> ha</w:t>
      </w:r>
      <w:r>
        <w:t>ve</w:t>
      </w:r>
      <w:r w:rsidR="00106BDA">
        <w:t xml:space="preserve"> always been and will always be mass communication </w:t>
      </w:r>
      <w:r>
        <w:t xml:space="preserve">of ideas </w:t>
      </w:r>
      <w:r w:rsidR="00106BDA">
        <w:t>about the issues of the day.  And if technology allows anyone to engage in mass communication, anyone can be press—</w:t>
      </w:r>
      <w:proofErr w:type="gramStart"/>
      <w:r w:rsidR="00106BDA">
        <w:t>provided that</w:t>
      </w:r>
      <w:proofErr w:type="gramEnd"/>
      <w:r w:rsidR="00106BDA">
        <w:t xml:space="preserve"> they’re actually engaged in mass communication.  Democratizing the availability of press rights </w:t>
      </w:r>
      <w:r w:rsidR="00C77D16">
        <w:t xml:space="preserve">does not make them meaningless.  </w:t>
      </w:r>
      <w:proofErr w:type="gramStart"/>
      <w:r w:rsidR="00C77D16">
        <w:t>To</w:t>
      </w:r>
      <w:proofErr w:type="gramEnd"/>
      <w:r w:rsidR="00C77D16">
        <w:t xml:space="preserve"> the contrary, it makes them available when they’re needed.  Similarly, we all have the right to be free from unreasonable searches and seizures and to due process of law.  We simply need not </w:t>
      </w:r>
      <w:r w:rsidR="00C77D16">
        <w:lastRenderedPageBreak/>
        <w:t>invoke them until they’re relevant.  So to</w:t>
      </w:r>
      <w:r w:rsidR="00AB5B12">
        <w:t>o</w:t>
      </w:r>
      <w:r w:rsidR="00C77D16">
        <w:t xml:space="preserve"> with press rights.  If someone is acting as press, and they face adverse action </w:t>
      </w:r>
      <w:proofErr w:type="gramStart"/>
      <w:r w:rsidR="00C77D16">
        <w:t>as a result of</w:t>
      </w:r>
      <w:proofErr w:type="gramEnd"/>
      <w:r w:rsidR="00C77D16">
        <w:t xml:space="preserve"> those activities, they can vindicate the special press rights they’re entitled to at that time.</w:t>
      </w:r>
    </w:p>
    <w:p w14:paraId="04C18848" w14:textId="545A92F1" w:rsidR="00106BDA" w:rsidRDefault="00C77D16" w:rsidP="00BA0916">
      <w:pPr>
        <w:pStyle w:val="BodyText"/>
      </w:pPr>
      <w:r>
        <w:t xml:space="preserve">Importantly, this has no bearing on anyone’s speech rights.  Take the </w:t>
      </w:r>
      <w:proofErr w:type="gramStart"/>
      <w:r>
        <w:t>converse situation</w:t>
      </w:r>
      <w:proofErr w:type="gramEnd"/>
      <w:r>
        <w:t xml:space="preserve">.  If someone does not qualify as press, all it means is that they don’t </w:t>
      </w:r>
      <w:r w:rsidR="00BB7005">
        <w:t xml:space="preserve">get these additional press rights.  It </w:t>
      </w:r>
      <w:r w:rsidR="00BB7005" w:rsidRPr="00BB7005">
        <w:rPr>
          <w:i/>
          <w:iCs/>
        </w:rPr>
        <w:t>does not</w:t>
      </w:r>
      <w:r w:rsidR="00BB7005">
        <w:t xml:space="preserve"> </w:t>
      </w:r>
      <w:r>
        <w:t xml:space="preserve">mean they lose whatever rights they have under the other expression clauses of the First Amendment.  They </w:t>
      </w:r>
      <w:r w:rsidR="00BB7005">
        <w:t>still retain the robust expressive rights all of us already enjoy under the Speech Clause, for example.  Irrespective of whether special press rights are ultimately granted or not, no one ends the analysis with fewer rights than they started out with.</w:t>
      </w:r>
    </w:p>
    <w:p w14:paraId="5D995BD8" w14:textId="208D7B26" w:rsidR="0052228B" w:rsidRDefault="00D85460" w:rsidP="00C96864">
      <w:pPr>
        <w:pStyle w:val="BodyText"/>
      </w:pPr>
      <w:r>
        <w:t>The functional definition in this Article offers several advantages.  The i</w:t>
      </w:r>
      <w:r w:rsidR="00BA0916" w:rsidRPr="00BA0916">
        <w:t xml:space="preserve">nstitutional press will still </w:t>
      </w:r>
      <w:r>
        <w:t xml:space="preserve">be entitled to the special rights and protections it has always enjoyed.  And so will many other people and institutions </w:t>
      </w:r>
      <w:r w:rsidR="00BA0916" w:rsidRPr="00BA0916">
        <w:t>who do the same things and serve the same functions</w:t>
      </w:r>
      <w:r>
        <w:t xml:space="preserve">.  </w:t>
      </w:r>
      <w:r w:rsidR="00BA0916" w:rsidRPr="00BA0916">
        <w:t xml:space="preserve">Broadening the definition </w:t>
      </w:r>
      <w:proofErr w:type="gramStart"/>
      <w:r>
        <w:t>to include</w:t>
      </w:r>
      <w:proofErr w:type="gramEnd"/>
      <w:r>
        <w:t xml:space="preserve"> anyone who acts as press by investing significant resources to generate messages about issues of public concern for the masses </w:t>
      </w:r>
      <w:r w:rsidR="00BA0916" w:rsidRPr="00BA0916">
        <w:t xml:space="preserve">means </w:t>
      </w:r>
      <w:r>
        <w:t xml:space="preserve">that the </w:t>
      </w:r>
      <w:r w:rsidR="00BA0916" w:rsidRPr="00BA0916">
        <w:t xml:space="preserve">extra rights and protections </w:t>
      </w:r>
      <w:r>
        <w:t xml:space="preserve">the Press Clause expressly </w:t>
      </w:r>
      <w:proofErr w:type="gramStart"/>
      <w:r>
        <w:t>provides for</w:t>
      </w:r>
      <w:proofErr w:type="gramEnd"/>
      <w:r>
        <w:t xml:space="preserve"> </w:t>
      </w:r>
      <w:r w:rsidR="00BA0916" w:rsidRPr="00BA0916">
        <w:t xml:space="preserve">are available to anyone </w:t>
      </w:r>
      <w:r>
        <w:t>who deserves them.  And other things equal, more rights are better than less.</w:t>
      </w:r>
    </w:p>
    <w:p w14:paraId="514E3E73" w14:textId="20A20F56" w:rsidR="00B5306B" w:rsidRPr="00B5306B" w:rsidRDefault="0052228B" w:rsidP="00C96864">
      <w:pPr>
        <w:pStyle w:val="BodyText"/>
      </w:pPr>
      <w:r>
        <w:t xml:space="preserve">In the modern world, just about </w:t>
      </w:r>
      <w:proofErr w:type="gramStart"/>
      <w:r>
        <w:t>anyone</w:t>
      </w:r>
      <w:proofErr w:type="gramEnd"/>
      <w:r>
        <w:t xml:space="preserve"> is equipped to carry out the press function.  And </w:t>
      </w:r>
      <w:proofErr w:type="gramStart"/>
      <w:r w:rsidR="00C96864">
        <w:t xml:space="preserve">if and </w:t>
      </w:r>
      <w:r>
        <w:t>when</w:t>
      </w:r>
      <w:proofErr w:type="gramEnd"/>
      <w:r>
        <w:t xml:space="preserve"> they do, they should receive </w:t>
      </w:r>
      <w:r w:rsidR="00C96864">
        <w:t>special p</w:t>
      </w:r>
      <w:r>
        <w:t xml:space="preserve">ress </w:t>
      </w:r>
      <w:proofErr w:type="gramStart"/>
      <w:r>
        <w:t>protections</w:t>
      </w:r>
      <w:proofErr w:type="gramEnd"/>
      <w:r w:rsidR="00C96864">
        <w:t>.  Equipped with a viable definition, courts are finally at liberty to say so out loud.</w:t>
      </w:r>
    </w:p>
    <w:sectPr w:rsidR="00B5306B" w:rsidRPr="00B5306B" w:rsidSect="006A02F1">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A2DD" w14:textId="77777777" w:rsidR="004C2E4D" w:rsidRDefault="004C2E4D" w:rsidP="000962C8">
      <w:r>
        <w:separator/>
      </w:r>
    </w:p>
  </w:endnote>
  <w:endnote w:type="continuationSeparator" w:id="0">
    <w:p w14:paraId="5BBE9055" w14:textId="77777777" w:rsidR="004C2E4D" w:rsidRDefault="004C2E4D" w:rsidP="0009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9EAE" w14:textId="56584C50" w:rsidR="00746664" w:rsidRPr="00F41C88" w:rsidRDefault="00937EDC" w:rsidP="00937EDC">
    <w:pPr>
      <w:pStyle w:val="Footer"/>
      <w:rPr>
        <w:rFonts w:ascii="Century Schoolbook" w:hAnsi="Century Schoolbook"/>
        <w:sz w:val="20"/>
        <w:szCs w:val="20"/>
      </w:rPr>
    </w:pPr>
    <w:r w:rsidRPr="00F41C88">
      <w:rPr>
        <w:rFonts w:ascii="Century Schoolbook" w:hAnsi="Century Schoolbook"/>
        <w:sz w:val="20"/>
        <w:szCs w:val="20"/>
      </w:rPr>
      <w:t>* Assistant Professor of Law, Thomas R. Kline School of Law of Duquesne University.</w:t>
    </w:r>
    <w:r w:rsidR="004E04D0" w:rsidRPr="00F41C88">
      <w:rPr>
        <w:rFonts w:ascii="Century Schoolbook" w:hAnsi="Century Schoolbook"/>
        <w:sz w:val="20"/>
        <w:szCs w:val="20"/>
      </w:rPr>
      <w:t xml:space="preserve">  An early prototype of the ideas that eventually expanded into this article benefited greatly from the feedback of the faculty reviewers (Evelyn Douek, </w:t>
    </w:r>
    <w:r w:rsidR="00CB5E0A">
      <w:rPr>
        <w:rFonts w:ascii="Century Schoolbook" w:hAnsi="Century Schoolbook"/>
        <w:sz w:val="20"/>
        <w:szCs w:val="20"/>
      </w:rPr>
      <w:t xml:space="preserve">Kyle Langvardt, </w:t>
    </w:r>
    <w:r w:rsidR="004E04D0" w:rsidRPr="00F41C88">
      <w:rPr>
        <w:rFonts w:ascii="Century Schoolbook" w:hAnsi="Century Schoolbook"/>
        <w:sz w:val="20"/>
        <w:szCs w:val="20"/>
      </w:rPr>
      <w:t xml:space="preserve">Mark Lemley, Lyrissa Lidsky, Eugene Volokh, and Jim Weinstein) </w:t>
    </w:r>
    <w:r w:rsidR="00134807" w:rsidRPr="00F41C88">
      <w:rPr>
        <w:rFonts w:ascii="Century Schoolbook" w:hAnsi="Century Schoolbook"/>
        <w:sz w:val="20"/>
        <w:szCs w:val="20"/>
      </w:rPr>
      <w:t xml:space="preserve">and participants </w:t>
    </w:r>
    <w:r w:rsidR="004E04D0" w:rsidRPr="00F41C88">
      <w:rPr>
        <w:rFonts w:ascii="Century Schoolbook" w:hAnsi="Century Schoolbook"/>
        <w:sz w:val="20"/>
        <w:szCs w:val="20"/>
      </w:rPr>
      <w:t xml:space="preserve">at the Aspiring Free </w:t>
    </w:r>
    <w:r w:rsidR="00134807" w:rsidRPr="00F41C88">
      <w:rPr>
        <w:rFonts w:ascii="Century Schoolbook" w:hAnsi="Century Schoolbook"/>
        <w:sz w:val="20"/>
        <w:szCs w:val="20"/>
      </w:rPr>
      <w:t>Speech Scholars Conference at Stanford University</w:t>
    </w:r>
    <w:r w:rsidR="000B7B5F">
      <w:rPr>
        <w:rFonts w:ascii="Century Schoolbook" w:hAnsi="Century Schoolbook"/>
        <w:sz w:val="20"/>
        <w:szCs w:val="20"/>
      </w:rPr>
      <w:t>’</w:t>
    </w:r>
    <w:r w:rsidR="00134807" w:rsidRPr="00F41C88">
      <w:rPr>
        <w:rFonts w:ascii="Century Schoolbook" w:hAnsi="Century Schoolbook"/>
        <w:sz w:val="20"/>
        <w:szCs w:val="20"/>
      </w:rPr>
      <w:t xml:space="preserve">s Hoover Institution in September 2025, as well as a works-in-progress workshop at the SEALS 2025 Annual Conference (Ediberto Roman, Mikołaj Pietrzyk, and Srikanth Reddy) in August 2025.  The participants of the constitutional law panels at the Rocky Mountain Junior Scholars Forum at </w:t>
    </w:r>
    <w:r w:rsidR="00823592">
      <w:rPr>
        <w:rFonts w:ascii="Century Schoolbook" w:hAnsi="Century Schoolbook"/>
        <w:sz w:val="20"/>
        <w:szCs w:val="20"/>
      </w:rPr>
      <w:t>BYU Law</w:t>
    </w:r>
    <w:r w:rsidR="00134807" w:rsidRPr="00F41C88">
      <w:rPr>
        <w:rFonts w:ascii="Century Schoolbook" w:hAnsi="Century Schoolbook"/>
        <w:sz w:val="20"/>
        <w:szCs w:val="20"/>
      </w:rPr>
      <w:t xml:space="preserve"> in October 2025 provided </w:t>
    </w:r>
    <w:r w:rsidR="00F41C88" w:rsidRPr="00F41C88">
      <w:rPr>
        <w:rFonts w:ascii="Century Schoolbook" w:hAnsi="Century Schoolbook"/>
        <w:sz w:val="20"/>
        <w:szCs w:val="20"/>
      </w:rPr>
      <w:t>insightful</w:t>
    </w:r>
    <w:r w:rsidR="00134807" w:rsidRPr="00F41C88">
      <w:rPr>
        <w:rFonts w:ascii="Century Schoolbook" w:hAnsi="Century Schoolbook"/>
        <w:sz w:val="20"/>
        <w:szCs w:val="20"/>
      </w:rPr>
      <w:t xml:space="preserve"> feedback on the next iteration.  Special thanks to </w:t>
    </w:r>
    <w:r w:rsidR="00746664" w:rsidRPr="00F41C88">
      <w:rPr>
        <w:rFonts w:ascii="Century Schoolbook" w:hAnsi="Century Schoolbook"/>
        <w:sz w:val="20"/>
        <w:szCs w:val="20"/>
      </w:rPr>
      <w:t>Charles Dominick</w:t>
    </w:r>
    <w:r w:rsidR="00134807" w:rsidRPr="00F41C88">
      <w:rPr>
        <w:rFonts w:ascii="Century Schoolbook" w:hAnsi="Century Schoolbook"/>
        <w:sz w:val="20"/>
        <w:szCs w:val="20"/>
      </w:rPr>
      <w:t xml:space="preserve"> for his </w:t>
    </w:r>
    <w:r w:rsidR="00F41C88" w:rsidRPr="00F41C88">
      <w:rPr>
        <w:rFonts w:ascii="Century Schoolbook" w:hAnsi="Century Schoolbook"/>
        <w:sz w:val="20"/>
        <w:szCs w:val="20"/>
      </w:rPr>
      <w:t>excellent research assistance.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305294"/>
      <w:docPartObj>
        <w:docPartGallery w:val="Page Numbers (Bottom of Page)"/>
        <w:docPartUnique/>
      </w:docPartObj>
    </w:sdtPr>
    <w:sdtEndPr>
      <w:rPr>
        <w:rFonts w:ascii="Century Schoolbook" w:hAnsi="Century Schoolbook"/>
        <w:noProof/>
      </w:rPr>
    </w:sdtEndPr>
    <w:sdtContent>
      <w:p w14:paraId="1ACB331D" w14:textId="7CF24C00" w:rsidR="006A02F1" w:rsidRPr="0085660B" w:rsidRDefault="006A02F1" w:rsidP="0085660B">
        <w:pPr>
          <w:pStyle w:val="Footer"/>
          <w:jc w:val="center"/>
          <w:rPr>
            <w:rFonts w:ascii="Century Schoolbook" w:hAnsi="Century Schoolbook"/>
          </w:rPr>
        </w:pPr>
        <w:r w:rsidRPr="0085660B">
          <w:rPr>
            <w:rFonts w:ascii="Century Schoolbook" w:hAnsi="Century Schoolbook"/>
          </w:rPr>
          <w:fldChar w:fldCharType="begin"/>
        </w:r>
        <w:r w:rsidRPr="0085660B">
          <w:rPr>
            <w:rFonts w:ascii="Century Schoolbook" w:hAnsi="Century Schoolbook"/>
          </w:rPr>
          <w:instrText xml:space="preserve"> PAGE   \* MERGEFORMAT </w:instrText>
        </w:r>
        <w:r w:rsidRPr="0085660B">
          <w:rPr>
            <w:rFonts w:ascii="Century Schoolbook" w:hAnsi="Century Schoolbook"/>
          </w:rPr>
          <w:fldChar w:fldCharType="separate"/>
        </w:r>
        <w:r w:rsidRPr="0085660B">
          <w:rPr>
            <w:rFonts w:ascii="Century Schoolbook" w:hAnsi="Century Schoolbook"/>
            <w:noProof/>
          </w:rPr>
          <w:t>2</w:t>
        </w:r>
        <w:r w:rsidRPr="0085660B">
          <w:rPr>
            <w:rFonts w:ascii="Century Schoolbook" w:hAnsi="Century Schoolbook"/>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626218"/>
      <w:docPartObj>
        <w:docPartGallery w:val="Page Numbers (Bottom of Page)"/>
        <w:docPartUnique/>
      </w:docPartObj>
    </w:sdtPr>
    <w:sdtEndPr>
      <w:rPr>
        <w:rFonts w:ascii="Century Schoolbook" w:hAnsi="Century Schoolbook"/>
        <w:noProof/>
      </w:rPr>
    </w:sdtEndPr>
    <w:sdtContent>
      <w:p w14:paraId="77CAD9AF" w14:textId="17AC9740" w:rsidR="006A02F1" w:rsidRPr="0085660B" w:rsidRDefault="006A02F1" w:rsidP="0085660B">
        <w:pPr>
          <w:pStyle w:val="Footer"/>
          <w:jc w:val="center"/>
          <w:rPr>
            <w:rFonts w:ascii="Century Schoolbook" w:hAnsi="Century Schoolbook"/>
          </w:rPr>
        </w:pPr>
        <w:r w:rsidRPr="0085660B">
          <w:rPr>
            <w:rFonts w:ascii="Century Schoolbook" w:hAnsi="Century Schoolbook"/>
          </w:rPr>
          <w:fldChar w:fldCharType="begin"/>
        </w:r>
        <w:r w:rsidRPr="0085660B">
          <w:rPr>
            <w:rFonts w:ascii="Century Schoolbook" w:hAnsi="Century Schoolbook"/>
          </w:rPr>
          <w:instrText xml:space="preserve"> PAGE   \* MERGEFORMAT </w:instrText>
        </w:r>
        <w:r w:rsidRPr="0085660B">
          <w:rPr>
            <w:rFonts w:ascii="Century Schoolbook" w:hAnsi="Century Schoolbook"/>
          </w:rPr>
          <w:fldChar w:fldCharType="separate"/>
        </w:r>
        <w:r w:rsidRPr="0085660B">
          <w:rPr>
            <w:rFonts w:ascii="Century Schoolbook" w:hAnsi="Century Schoolbook"/>
            <w:noProof/>
          </w:rPr>
          <w:t>2</w:t>
        </w:r>
        <w:r w:rsidRPr="0085660B">
          <w:rPr>
            <w:rFonts w:ascii="Century Schoolbook" w:hAnsi="Century Schoolbook"/>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B4FC" w14:textId="77777777" w:rsidR="004C2E4D" w:rsidRDefault="004C2E4D" w:rsidP="000962C8">
      <w:r>
        <w:separator/>
      </w:r>
    </w:p>
  </w:footnote>
  <w:footnote w:type="continuationSeparator" w:id="0">
    <w:p w14:paraId="47B52076" w14:textId="77777777" w:rsidR="004C2E4D" w:rsidRDefault="004C2E4D" w:rsidP="000962C8">
      <w:r>
        <w:continuationSeparator/>
      </w:r>
    </w:p>
  </w:footnote>
  <w:footnote w:id="1">
    <w:p w14:paraId="0C9F507B" w14:textId="77777777" w:rsidR="00ED3E38" w:rsidRPr="00141D1D" w:rsidRDefault="00ED3E38" w:rsidP="0030227F">
      <w:pPr>
        <w:pStyle w:val="FootnoteText"/>
      </w:pPr>
      <w:r w:rsidRPr="00141D1D">
        <w:rPr>
          <w:rStyle w:val="FootnoteReference"/>
        </w:rPr>
        <w:footnoteRef/>
      </w:r>
      <w:r w:rsidRPr="00141D1D">
        <w:t xml:space="preserve"> </w:t>
      </w:r>
      <w:r w:rsidRPr="00141D1D">
        <w:rPr>
          <w:i/>
          <w:iCs/>
        </w:rPr>
        <w:t>See</w:t>
      </w:r>
      <w:r w:rsidRPr="00141D1D">
        <w:t xml:space="preserve"> </w:t>
      </w:r>
      <w:r w:rsidRPr="00FD37E2">
        <w:rPr>
          <w:smallCaps/>
        </w:rPr>
        <w:t>Jane Austen, Pride and Prejudice</w:t>
      </w:r>
      <w:r w:rsidRPr="00141D1D">
        <w:t xml:space="preserve"> 5 (Vivien Jones ed., Penguin Books 1996) (1813) (“It is a truth universally acknowledged, that a single man in possession of a good fortune, must be in want of a wife.”).</w:t>
      </w:r>
    </w:p>
  </w:footnote>
  <w:footnote w:id="2">
    <w:p w14:paraId="50FCA5EA" w14:textId="77E80FBE" w:rsidR="00D73A3A" w:rsidRPr="003B2F79" w:rsidRDefault="00D73A3A" w:rsidP="00D73A3A">
      <w:pPr>
        <w:pStyle w:val="FootnoteText"/>
      </w:pPr>
      <w:r w:rsidRPr="003B2F79">
        <w:rPr>
          <w:rStyle w:val="FootnoteReference"/>
        </w:rPr>
        <w:footnoteRef/>
      </w:r>
      <w:r>
        <w:rPr>
          <w:smallCaps/>
        </w:rPr>
        <w:t xml:space="preserve"> </w:t>
      </w:r>
      <w:r w:rsidRPr="00D73A3A">
        <w:rPr>
          <w:i/>
          <w:iCs/>
        </w:rPr>
        <w:t>See, e.g.</w:t>
      </w:r>
      <w:r w:rsidRPr="00D73A3A">
        <w:t xml:space="preserve">, </w:t>
      </w:r>
      <w:r w:rsidRPr="003B2F79">
        <w:rPr>
          <w:smallCaps/>
        </w:rPr>
        <w:t>N.Y. Civ. Rights Law</w:t>
      </w:r>
      <w:r w:rsidRPr="003B2F79">
        <w:t xml:space="preserve"> § 79-h(b)</w:t>
      </w:r>
      <w:r>
        <w:t xml:space="preserve"> (New York Shield Law)</w:t>
      </w:r>
      <w:r w:rsidRPr="003B2F79">
        <w:t>.</w:t>
      </w:r>
    </w:p>
  </w:footnote>
  <w:footnote w:id="3">
    <w:p w14:paraId="030BD652" w14:textId="624025E7" w:rsidR="00D73A3A" w:rsidRPr="003B2F79" w:rsidRDefault="00D73A3A" w:rsidP="00D73A3A">
      <w:pPr>
        <w:pStyle w:val="FootnoteText"/>
      </w:pPr>
      <w:r w:rsidRPr="003B2F79">
        <w:rPr>
          <w:rStyle w:val="FootnoteReference"/>
        </w:rPr>
        <w:footnoteRef/>
      </w:r>
      <w:r>
        <w:t xml:space="preserve"> </w:t>
      </w:r>
      <w:r w:rsidRPr="00D73A3A">
        <w:rPr>
          <w:i/>
          <w:iCs/>
        </w:rPr>
        <w:t>See, e.g.</w:t>
      </w:r>
      <w:r>
        <w:t xml:space="preserve">, </w:t>
      </w:r>
      <w:r w:rsidRPr="003B2F79">
        <w:t xml:space="preserve">42 </w:t>
      </w:r>
      <w:r w:rsidRPr="003B2F79">
        <w:rPr>
          <w:smallCaps/>
        </w:rPr>
        <w:t>Pa. Cons. Stat.</w:t>
      </w:r>
      <w:r w:rsidRPr="003B2F79">
        <w:t xml:space="preserve"> § 5942(a)</w:t>
      </w:r>
      <w:r>
        <w:t xml:space="preserve"> (Pennsylvania Shield Law)</w:t>
      </w:r>
      <w:r w:rsidRPr="003B2F79">
        <w:t>.</w:t>
      </w:r>
      <w:r>
        <w:t xml:space="preserve">  </w:t>
      </w:r>
      <w:r w:rsidRPr="00D73A3A">
        <w:rPr>
          <w:i/>
          <w:iCs/>
        </w:rPr>
        <w:t>See also</w:t>
      </w:r>
      <w:r>
        <w:t xml:space="preserve"> </w:t>
      </w:r>
      <w:proofErr w:type="gramStart"/>
      <w:r w:rsidRPr="00D73A3A">
        <w:rPr>
          <w:i/>
          <w:iCs/>
        </w:rPr>
        <w:t>infra</w:t>
      </w:r>
      <w:r>
        <w:t xml:space="preserve"> Part</w:t>
      </w:r>
      <w:proofErr w:type="gramEnd"/>
      <w:r w:rsidR="00FD2FDD">
        <w:t xml:space="preserve"> </w:t>
      </w:r>
      <w:r w:rsidR="00FD2FDD">
        <w:fldChar w:fldCharType="begin"/>
      </w:r>
      <w:r w:rsidR="00FD2FDD">
        <w:instrText xml:space="preserve"> REF _Ref213017558 \w \h </w:instrText>
      </w:r>
      <w:r w:rsidR="00FD2FDD">
        <w:fldChar w:fldCharType="separate"/>
      </w:r>
      <w:r w:rsidR="00064C93">
        <w:t>II.C</w:t>
      </w:r>
      <w:r w:rsidR="00FD2FDD">
        <w:fldChar w:fldCharType="end"/>
      </w:r>
      <w:r w:rsidR="00FD2FDD">
        <w:t>.</w:t>
      </w:r>
    </w:p>
  </w:footnote>
  <w:footnote w:id="4">
    <w:p w14:paraId="2F2DE7C7" w14:textId="702E19A7" w:rsidR="00F30BDB" w:rsidRDefault="00F30BDB">
      <w:pPr>
        <w:pStyle w:val="FootnoteText"/>
      </w:pPr>
      <w:r>
        <w:rPr>
          <w:rStyle w:val="FootnoteReference"/>
        </w:rPr>
        <w:footnoteRef/>
      </w:r>
      <w:r>
        <w:t xml:space="preserve"> </w:t>
      </w:r>
      <w:r w:rsidRPr="00F30BDB">
        <w:rPr>
          <w:i/>
          <w:iCs/>
        </w:rPr>
        <w:t>See, e.g.</w:t>
      </w:r>
      <w:r>
        <w:t xml:space="preserve">, </w:t>
      </w:r>
      <w:r w:rsidRPr="003B2F79">
        <w:t>Phila. Newspapers, Inc. v. Hepps, 475 U.S. 767, 769 (1986)</w:t>
      </w:r>
      <w:r w:rsidR="00D73A3A">
        <w:t>; Rosenbloom v. Metromedia, 403 U.S. 29, 51 (1971).</w:t>
      </w:r>
    </w:p>
  </w:footnote>
  <w:footnote w:id="5">
    <w:p w14:paraId="69C9D267" w14:textId="53F8D52D" w:rsidR="00E80EA8" w:rsidRPr="00682DED" w:rsidRDefault="00E80EA8" w:rsidP="0030227F">
      <w:pPr>
        <w:pStyle w:val="FootnoteText"/>
      </w:pPr>
      <w:r w:rsidRPr="0030227F">
        <w:rPr>
          <w:rStyle w:val="FootnoteReference"/>
        </w:rPr>
        <w:footnoteRef/>
      </w:r>
      <w:r w:rsidRPr="00682DED">
        <w:t xml:space="preserve"> </w:t>
      </w:r>
      <w:r w:rsidRPr="0030227F">
        <w:t>Proposed Amicus Brief of Professor</w:t>
      </w:r>
      <w:r w:rsidRPr="00682DED">
        <w:t xml:space="preserve"> David A. Logan at 8, Grayson v. No Labels, Inc. (Apr. 24, 2023) (U.S. No. 22-906).  </w:t>
      </w:r>
      <w:r w:rsidR="003247A7">
        <w:t>The Court denied l</w:t>
      </w:r>
      <w:r w:rsidRPr="00682DED">
        <w:t xml:space="preserve">eave to file the amicus brief and </w:t>
      </w:r>
      <w:r w:rsidR="003247A7">
        <w:t>denied certiorari</w:t>
      </w:r>
      <w:r w:rsidRPr="00682DED">
        <w:t>.</w:t>
      </w:r>
    </w:p>
  </w:footnote>
  <w:footnote w:id="6">
    <w:p w14:paraId="77901954" w14:textId="6C74772F" w:rsidR="0030227F" w:rsidRPr="003B2F79" w:rsidRDefault="0030227F" w:rsidP="0030227F">
      <w:pPr>
        <w:pStyle w:val="FootnoteText"/>
      </w:pPr>
      <w:r w:rsidRPr="003B2F79">
        <w:rPr>
          <w:rStyle w:val="FootnoteReference"/>
          <w:rFonts w:cs="Times New Roman"/>
        </w:rPr>
        <w:footnoteRef/>
      </w:r>
      <w:r w:rsidR="00835469">
        <w:t xml:space="preserve"> </w:t>
      </w:r>
      <w:r w:rsidRPr="003B2F79">
        <w:t>N.Y. Times Co. v. United States (</w:t>
      </w:r>
      <w:r w:rsidRPr="003B2F79">
        <w:rPr>
          <w:i/>
        </w:rPr>
        <w:t>Pentagon Papers</w:t>
      </w:r>
      <w:r w:rsidRPr="003B2F79">
        <w:t xml:space="preserve">), 403 U.S. 713, 717 (1971) (Black, J., concurring); </w:t>
      </w:r>
      <w:r w:rsidRPr="003B2F79">
        <w:rPr>
          <w:smallCaps/>
        </w:rPr>
        <w:t>U.S. Const.</w:t>
      </w:r>
      <w:r w:rsidRPr="003B2F79">
        <w:t xml:space="preserve"> amend. I.</w:t>
      </w:r>
    </w:p>
  </w:footnote>
  <w:footnote w:id="7">
    <w:p w14:paraId="6E28972F" w14:textId="371263D3" w:rsidR="0030227F" w:rsidRPr="003B2F79" w:rsidRDefault="0030227F" w:rsidP="0030227F">
      <w:pPr>
        <w:pStyle w:val="FootnoteText"/>
      </w:pPr>
      <w:r w:rsidRPr="003B2F79">
        <w:rPr>
          <w:rStyle w:val="FootnoteReference"/>
          <w:rFonts w:cs="Times New Roman"/>
        </w:rPr>
        <w:footnoteRef/>
      </w:r>
      <w:bookmarkStart w:id="12" w:name="_Hlk203062464"/>
      <w:r w:rsidR="00835469">
        <w:rPr>
          <w:smallCaps/>
        </w:rPr>
        <w:t xml:space="preserve"> </w:t>
      </w:r>
      <w:r w:rsidR="002B0681" w:rsidRPr="003B2F79">
        <w:t xml:space="preserve">David L. Hudson, Jr., </w:t>
      </w:r>
      <w:r w:rsidR="002B0681" w:rsidRPr="003B2F79">
        <w:rPr>
          <w:i/>
        </w:rPr>
        <w:t>Press Access</w:t>
      </w:r>
      <w:r w:rsidR="002B0681" w:rsidRPr="003B2F79">
        <w:rPr>
          <w:iCs/>
        </w:rPr>
        <w:t>,</w:t>
      </w:r>
      <w:r w:rsidR="002B0681" w:rsidRPr="003B2F79">
        <w:t xml:space="preserve"> </w:t>
      </w:r>
      <w:r w:rsidR="002B0681" w:rsidRPr="003B2F79">
        <w:rPr>
          <w:smallCaps/>
        </w:rPr>
        <w:t>Free Speech Ctr.</w:t>
      </w:r>
      <w:r w:rsidR="002B0681" w:rsidRPr="003B2F79">
        <w:t xml:space="preserve"> (Oct. 25, 2024), https://</w:t>
      </w:r>
      <w:r w:rsidR="002B0681" w:rsidRPr="003B2F79">
        <w:rPr>
          <w:rFonts w:ascii="Times New Roman" w:hAnsi="Times New Roman"/>
        </w:rPr>
        <w:t>‌</w:t>
      </w:r>
      <w:r w:rsidR="002B0681" w:rsidRPr="003B2F79">
        <w:t>first</w:t>
      </w:r>
      <w:r w:rsidR="002B0681" w:rsidRPr="003B2F79">
        <w:rPr>
          <w:rFonts w:ascii="Times New Roman" w:hAnsi="Times New Roman"/>
        </w:rPr>
        <w:t>‌</w:t>
      </w:r>
      <w:r w:rsidR="002B0681" w:rsidRPr="003B2F79">
        <w:t>amend</w:t>
      </w:r>
      <w:r w:rsidR="002B0681" w:rsidRPr="003B2F79">
        <w:rPr>
          <w:rFonts w:ascii="Times New Roman" w:hAnsi="Times New Roman"/>
        </w:rPr>
        <w:t>‌</w:t>
      </w:r>
      <w:r w:rsidR="002B0681" w:rsidRPr="003B2F79">
        <w:t>ment.</w:t>
      </w:r>
      <w:r w:rsidR="002B0681" w:rsidRPr="003B2F79">
        <w:rPr>
          <w:rFonts w:ascii="Times New Roman" w:hAnsi="Times New Roman"/>
        </w:rPr>
        <w:t>‌</w:t>
      </w:r>
      <w:r w:rsidR="002B0681" w:rsidRPr="003B2F79">
        <w:t>mtsu.</w:t>
      </w:r>
      <w:r w:rsidR="002B0681" w:rsidRPr="003B2F79">
        <w:rPr>
          <w:rFonts w:ascii="Times New Roman" w:hAnsi="Times New Roman"/>
        </w:rPr>
        <w:t>‌</w:t>
      </w:r>
      <w:r w:rsidR="002B0681" w:rsidRPr="003B2F79">
        <w:t>edu/</w:t>
      </w:r>
      <w:r w:rsidR="002B0681" w:rsidRPr="003B2F79">
        <w:rPr>
          <w:rFonts w:ascii="Times New Roman" w:hAnsi="Times New Roman"/>
        </w:rPr>
        <w:t>‌</w:t>
      </w:r>
      <w:r w:rsidR="002B0681" w:rsidRPr="003B2F79">
        <w:t>article/press-access/ (this “language appears to provide a special right for the press”)</w:t>
      </w:r>
      <w:r w:rsidR="002B0681">
        <w:t xml:space="preserve">; </w:t>
      </w:r>
      <w:r w:rsidRPr="003B2F79">
        <w:rPr>
          <w:smallCaps/>
        </w:rPr>
        <w:t xml:space="preserve">Daniel A. Farber, The First Amendment </w:t>
      </w:r>
      <w:r w:rsidRPr="003B2F79">
        <w:t>106</w:t>
      </w:r>
      <w:r>
        <w:t>, 229</w:t>
      </w:r>
      <w:r w:rsidRPr="003B2F79">
        <w:t xml:space="preserve"> (5th ed. 2019)</w:t>
      </w:r>
      <w:bookmarkEnd w:id="12"/>
      <w:r w:rsidR="002B0681">
        <w:t xml:space="preserve"> (text of Press Clause “</w:t>
      </w:r>
      <w:r w:rsidR="002B0681" w:rsidRPr="002B0681">
        <w:t xml:space="preserve">might </w:t>
      </w:r>
      <w:r w:rsidR="002B0681" w:rsidRPr="0082406E">
        <w:t xml:space="preserve">imply that </w:t>
      </w:r>
      <w:r w:rsidR="002B0681">
        <w:t>[the press]</w:t>
      </w:r>
      <w:r w:rsidR="002B0681" w:rsidRPr="0082406E">
        <w:t xml:space="preserve"> receives a different level of constitutional protection</w:t>
      </w:r>
      <w:r w:rsidR="002B0681">
        <w:t>”)</w:t>
      </w:r>
      <w:r w:rsidRPr="003B2F79">
        <w:t>.</w:t>
      </w:r>
    </w:p>
  </w:footnote>
  <w:footnote w:id="8">
    <w:p w14:paraId="0DF39679" w14:textId="544913E8" w:rsidR="00570764" w:rsidRDefault="00570764">
      <w:pPr>
        <w:pStyle w:val="FootnoteText"/>
      </w:pPr>
      <w:r>
        <w:rPr>
          <w:rStyle w:val="FootnoteReference"/>
        </w:rPr>
        <w:footnoteRef/>
      </w:r>
      <w:r>
        <w:t xml:space="preserve"> </w:t>
      </w:r>
      <w:r w:rsidRPr="00570764">
        <w:rPr>
          <w:i/>
          <w:iCs/>
        </w:rPr>
        <w:t>See, e.g.</w:t>
      </w:r>
      <w:r>
        <w:t xml:space="preserve">, </w:t>
      </w:r>
      <w:r w:rsidRPr="00570764">
        <w:t>Schenck v. United States, 249 U.S. 47</w:t>
      </w:r>
      <w:r>
        <w:t xml:space="preserve"> (1919) (applying First Amendment to Espionage Act of 1917 and upholding conviction); </w:t>
      </w:r>
      <w:r w:rsidRPr="00570764">
        <w:t>Gitlow v. New York</w:t>
      </w:r>
      <w:r>
        <w:t xml:space="preserve">, </w:t>
      </w:r>
      <w:r w:rsidRPr="00570764">
        <w:t>268 U.S. 652 (1925)</w:t>
      </w:r>
      <w:r>
        <w:t xml:space="preserve"> (incorporating First </w:t>
      </w:r>
      <w:r w:rsidR="00B15ACA">
        <w:t>Amendment</w:t>
      </w:r>
      <w:r>
        <w:t>).</w:t>
      </w:r>
    </w:p>
  </w:footnote>
  <w:footnote w:id="9">
    <w:p w14:paraId="338A0751" w14:textId="31C677FF" w:rsidR="00570764" w:rsidRPr="00801533" w:rsidRDefault="00570764" w:rsidP="00570764">
      <w:pPr>
        <w:pStyle w:val="FootnoteText"/>
      </w:pPr>
      <w:r w:rsidRPr="00801533">
        <w:rPr>
          <w:rStyle w:val="FootnoteReference"/>
        </w:rPr>
        <w:footnoteRef/>
      </w:r>
      <w:r w:rsidR="00032249">
        <w:t xml:space="preserve"> </w:t>
      </w:r>
      <w:r w:rsidRPr="00801533">
        <w:t>96 U.S. 727 (1877).</w:t>
      </w:r>
    </w:p>
  </w:footnote>
  <w:footnote w:id="10">
    <w:p w14:paraId="66C4C5BC" w14:textId="37640FD9" w:rsidR="00AC144D" w:rsidRPr="00801533" w:rsidRDefault="00AC144D" w:rsidP="00AC144D">
      <w:pPr>
        <w:pStyle w:val="FootnoteText"/>
      </w:pPr>
      <w:r w:rsidRPr="00801533">
        <w:rPr>
          <w:rStyle w:val="FootnoteReference"/>
        </w:rPr>
        <w:footnoteRef/>
      </w:r>
      <w:r w:rsidR="00032249">
        <w:rPr>
          <w:i/>
          <w:iCs/>
        </w:rPr>
        <w:t xml:space="preserve"> </w:t>
      </w:r>
      <w:r w:rsidRPr="00801533">
        <w:rPr>
          <w:i/>
          <w:iCs/>
        </w:rPr>
        <w:t>Id.</w:t>
      </w:r>
      <w:r w:rsidRPr="00801533">
        <w:t xml:space="preserve"> at 733.</w:t>
      </w:r>
    </w:p>
  </w:footnote>
  <w:footnote w:id="11">
    <w:p w14:paraId="1D64485D" w14:textId="189D3077" w:rsidR="00B67EFD" w:rsidRDefault="00B67EFD">
      <w:pPr>
        <w:pStyle w:val="FootnoteText"/>
      </w:pPr>
      <w:r>
        <w:rPr>
          <w:rStyle w:val="FootnoteReference"/>
        </w:rPr>
        <w:footnoteRef/>
      </w:r>
      <w:r>
        <w:t xml:space="preserve"> </w:t>
      </w:r>
      <w:r w:rsidRPr="00801533">
        <w:t>384 U.S. 333, 358, 363 (1966)</w:t>
      </w:r>
      <w:r>
        <w:t>.</w:t>
      </w:r>
    </w:p>
  </w:footnote>
  <w:footnote w:id="12">
    <w:p w14:paraId="05A6B386" w14:textId="323B6D53" w:rsidR="00AC144D" w:rsidRPr="00801533" w:rsidRDefault="00C737DA" w:rsidP="00AC144D">
      <w:pPr>
        <w:pStyle w:val="FootnoteText"/>
      </w:pPr>
      <w:r>
        <w:rPr>
          <w:rFonts w:ascii="Times New Roman" w:hAnsi="Times New Roman" w:cs="Times New Roman"/>
        </w:rPr>
        <w:t>​</w:t>
      </w:r>
      <w:r w:rsidR="00AC144D" w:rsidRPr="00801533">
        <w:rPr>
          <w:rStyle w:val="FootnoteReference"/>
        </w:rPr>
        <w:footnoteRef/>
      </w:r>
      <w:r>
        <w:rPr>
          <w:rFonts w:ascii="Times New Roman" w:hAnsi="Times New Roman" w:cs="Times New Roman"/>
        </w:rPr>
        <w:t xml:space="preserve"> </w:t>
      </w:r>
      <w:r>
        <w:rPr>
          <w:i/>
          <w:iCs/>
        </w:rPr>
        <w:t>Id.</w:t>
      </w:r>
      <w:r w:rsidRPr="00C737DA">
        <w:t xml:space="preserve"> </w:t>
      </w:r>
      <w:r w:rsidR="00AC144D" w:rsidRPr="00801533">
        <w:t>at 350.</w:t>
      </w:r>
      <w:r w:rsidR="00913F75">
        <w:t xml:space="preserve">  With a glamorous couple </w:t>
      </w:r>
      <w:r w:rsidR="00F708FF">
        <w:t>at</w:t>
      </w:r>
      <w:r w:rsidR="00913F75">
        <w:t xml:space="preserve"> its center and a gloss of salacious rumors and sexual innuendos, the Sheppard story was made for Hollywood—and ended up getting the Hollywood treatment in the 1993 hit </w:t>
      </w:r>
      <w:r w:rsidR="00913F75" w:rsidRPr="00C737DA">
        <w:rPr>
          <w:i/>
          <w:iCs/>
        </w:rPr>
        <w:t>The Fugitive</w:t>
      </w:r>
      <w:r w:rsidR="00913F75">
        <w:t xml:space="preserve">, starring Harrison Ford and Tommy Lee Jones.  </w:t>
      </w:r>
      <w:r w:rsidR="00913F75" w:rsidRPr="00C737DA">
        <w:rPr>
          <w:i/>
          <w:iCs/>
        </w:rPr>
        <w:t xml:space="preserve">A </w:t>
      </w:r>
      <w:r w:rsidRPr="00C737DA">
        <w:rPr>
          <w:i/>
          <w:iCs/>
        </w:rPr>
        <w:t>S</w:t>
      </w:r>
      <w:r w:rsidR="00913F75" w:rsidRPr="00C737DA">
        <w:rPr>
          <w:i/>
          <w:iCs/>
        </w:rPr>
        <w:t xml:space="preserve">ensationalized </w:t>
      </w:r>
      <w:r w:rsidRPr="00C737DA">
        <w:rPr>
          <w:i/>
          <w:iCs/>
        </w:rPr>
        <w:t>M</w:t>
      </w:r>
      <w:r w:rsidR="00913F75" w:rsidRPr="00C737DA">
        <w:rPr>
          <w:i/>
          <w:iCs/>
        </w:rPr>
        <w:t xml:space="preserve">urder </w:t>
      </w:r>
      <w:r w:rsidRPr="00C737DA">
        <w:rPr>
          <w:i/>
          <w:iCs/>
        </w:rPr>
        <w:t>T</w:t>
      </w:r>
      <w:r w:rsidR="00913F75" w:rsidRPr="00C737DA">
        <w:rPr>
          <w:i/>
          <w:iCs/>
        </w:rPr>
        <w:t xml:space="preserve">rial </w:t>
      </w:r>
      <w:r w:rsidRPr="00C737DA">
        <w:rPr>
          <w:i/>
          <w:iCs/>
        </w:rPr>
        <w:t>I</w:t>
      </w:r>
      <w:r w:rsidR="00913F75" w:rsidRPr="00C737DA">
        <w:rPr>
          <w:i/>
          <w:iCs/>
        </w:rPr>
        <w:t>nspires “The Fugitive”</w:t>
      </w:r>
      <w:r>
        <w:t>,</w:t>
      </w:r>
      <w:r w:rsidR="00913F75">
        <w:t xml:space="preserve"> </w:t>
      </w:r>
      <w:r w:rsidR="00913F75" w:rsidRPr="00913F75">
        <w:rPr>
          <w:smallCaps/>
        </w:rPr>
        <w:t>History.com</w:t>
      </w:r>
      <w:r w:rsidR="00913F75">
        <w:t xml:space="preserve"> (Nov. 13, 2009), </w:t>
      </w:r>
      <w:r w:rsidRPr="00C737DA">
        <w:t>https://</w:t>
      </w:r>
      <w:r w:rsidRPr="00C737DA">
        <w:rPr>
          <w:rFonts w:cs="Century Schoolbook"/>
          <w:smallCaps/>
        </w:rPr>
        <w:t>𔁱</w:t>
      </w:r>
      <w:r>
        <w:rPr>
          <w:rFonts w:ascii="Times New Roman" w:hAnsi="Times New Roman" w:cs="Times New Roman"/>
          <w:smallCaps/>
        </w:rPr>
        <w:t>​</w:t>
      </w:r>
      <w:r w:rsidRPr="00C737DA">
        <w:t>www.</w:t>
      </w:r>
      <w:r>
        <w:rPr>
          <w:rFonts w:ascii="Times New Roman" w:hAnsi="Times New Roman" w:cs="Times New Roman"/>
        </w:rPr>
        <w:t>​</w:t>
      </w:r>
      <w:r w:rsidRPr="00C737DA">
        <w:t>history.</w:t>
      </w:r>
      <w:r>
        <w:rPr>
          <w:rFonts w:ascii="Times New Roman" w:hAnsi="Times New Roman" w:cs="Times New Roman"/>
        </w:rPr>
        <w:t>​</w:t>
      </w:r>
      <w:r w:rsidRPr="00C737DA">
        <w:t>com/</w:t>
      </w:r>
      <w:r>
        <w:rPr>
          <w:rFonts w:ascii="Times New Roman" w:hAnsi="Times New Roman" w:cs="Times New Roman"/>
        </w:rPr>
        <w:t>​</w:t>
      </w:r>
      <w:r w:rsidRPr="00C737DA">
        <w:t>this-day-in-history/december-21/a-sensationalized-murder-trial-inspires-the-fugitive</w:t>
      </w:r>
      <w:r>
        <w:t>.</w:t>
      </w:r>
    </w:p>
  </w:footnote>
  <w:footnote w:id="13">
    <w:p w14:paraId="2C95D494" w14:textId="2A0117AF" w:rsidR="00D45845" w:rsidRDefault="00D45845">
      <w:pPr>
        <w:pStyle w:val="FootnoteText"/>
      </w:pPr>
      <w:r>
        <w:rPr>
          <w:rStyle w:val="FootnoteReference"/>
        </w:rPr>
        <w:footnoteRef/>
      </w:r>
      <w:r>
        <w:t xml:space="preserve"> </w:t>
      </w:r>
      <w:r w:rsidR="00064C93" w:rsidRPr="00064C93">
        <w:rPr>
          <w:i/>
          <w:iCs/>
        </w:rPr>
        <w:t>Sheppard</w:t>
      </w:r>
      <w:r w:rsidR="00064C93">
        <w:t xml:space="preserve">, </w:t>
      </w:r>
      <w:r w:rsidR="00064C93" w:rsidRPr="00801533">
        <w:t>384 U.S.</w:t>
      </w:r>
      <w:r w:rsidR="00064C93">
        <w:t xml:space="preserve"> at 350.</w:t>
      </w:r>
    </w:p>
  </w:footnote>
  <w:footnote w:id="14">
    <w:p w14:paraId="6741BF1E" w14:textId="06F666C7" w:rsidR="00AC144D" w:rsidRPr="00537990" w:rsidRDefault="00AC144D" w:rsidP="00AC144D">
      <w:pPr>
        <w:pStyle w:val="FootnoteText"/>
      </w:pPr>
      <w:r w:rsidRPr="00801533">
        <w:rPr>
          <w:rStyle w:val="FootnoteReference"/>
        </w:rPr>
        <w:footnoteRef/>
      </w:r>
      <w:r w:rsidR="00C737DA">
        <w:rPr>
          <w:i/>
          <w:iCs/>
        </w:rPr>
        <w:t xml:space="preserve"> </w:t>
      </w:r>
      <w:r w:rsidRPr="00801533">
        <w:rPr>
          <w:i/>
          <w:iCs/>
        </w:rPr>
        <w:t>Id.</w:t>
      </w:r>
    </w:p>
  </w:footnote>
  <w:footnote w:id="15">
    <w:p w14:paraId="23F82092" w14:textId="1093D433" w:rsidR="00537990" w:rsidRPr="00801533" w:rsidRDefault="00537990" w:rsidP="00537990">
      <w:pPr>
        <w:pStyle w:val="FootnoteText"/>
      </w:pPr>
      <w:r w:rsidRPr="00801533">
        <w:rPr>
          <w:rStyle w:val="FootnoteReference"/>
        </w:rPr>
        <w:footnoteRef/>
      </w:r>
      <w:r>
        <w:t xml:space="preserve"> </w:t>
      </w:r>
      <w:r w:rsidRPr="00801533">
        <w:t>436 U.S. 547 (1978).</w:t>
      </w:r>
    </w:p>
  </w:footnote>
  <w:footnote w:id="16">
    <w:p w14:paraId="266C36AE" w14:textId="11CCD4D5" w:rsidR="00AC144D" w:rsidRPr="00801533" w:rsidRDefault="00AC144D" w:rsidP="00AC144D">
      <w:pPr>
        <w:pStyle w:val="FootnoteText"/>
      </w:pPr>
      <w:r w:rsidRPr="00801533">
        <w:rPr>
          <w:rStyle w:val="FootnoteReference"/>
        </w:rPr>
        <w:footnoteRef/>
      </w:r>
      <w:r w:rsidR="00073C53">
        <w:rPr>
          <w:i/>
          <w:iCs/>
        </w:rPr>
        <w:t xml:space="preserve"> Id.</w:t>
      </w:r>
      <w:r w:rsidRPr="00801533">
        <w:t xml:space="preserve"> at 566.</w:t>
      </w:r>
    </w:p>
  </w:footnote>
  <w:footnote w:id="17">
    <w:p w14:paraId="68454AB2" w14:textId="003D34AB" w:rsidR="00073C53" w:rsidRPr="00801533" w:rsidRDefault="00073C53" w:rsidP="00073C53">
      <w:pPr>
        <w:pStyle w:val="FootnoteText"/>
      </w:pPr>
      <w:r w:rsidRPr="00801533">
        <w:rPr>
          <w:rStyle w:val="FootnoteReference"/>
        </w:rPr>
        <w:footnoteRef/>
      </w:r>
      <w:r>
        <w:t xml:space="preserve"> </w:t>
      </w:r>
      <w:r w:rsidRPr="00801533">
        <w:t>438 U.S. 1 (1978).</w:t>
      </w:r>
    </w:p>
  </w:footnote>
  <w:footnote w:id="18">
    <w:p w14:paraId="207A7BFE" w14:textId="2FB2356D" w:rsidR="00AC144D" w:rsidRPr="00801533" w:rsidRDefault="00AC144D" w:rsidP="00AC144D">
      <w:pPr>
        <w:pStyle w:val="FootnoteText"/>
      </w:pPr>
      <w:r w:rsidRPr="00801533">
        <w:rPr>
          <w:rStyle w:val="FootnoteReference"/>
        </w:rPr>
        <w:footnoteRef/>
      </w:r>
      <w:r w:rsidR="003579C3">
        <w:t xml:space="preserve"> </w:t>
      </w:r>
      <w:r w:rsidR="00C62FC1" w:rsidRPr="003579C3">
        <w:rPr>
          <w:i/>
          <w:iCs/>
        </w:rPr>
        <w:t>Id.</w:t>
      </w:r>
      <w:r w:rsidR="00C62FC1">
        <w:t xml:space="preserve"> </w:t>
      </w:r>
      <w:r w:rsidR="00C62FC1" w:rsidRPr="00801533">
        <w:t>at 1</w:t>
      </w:r>
      <w:r w:rsidR="00C62FC1">
        <w:t>6</w:t>
      </w:r>
      <w:r w:rsidR="00C62FC1" w:rsidRPr="00801533">
        <w:t xml:space="preserve"> (Stewart, J., concurring)</w:t>
      </w:r>
      <w:r w:rsidR="00C62FC1">
        <w:t>.</w:t>
      </w:r>
    </w:p>
  </w:footnote>
  <w:footnote w:id="19">
    <w:p w14:paraId="4FA814EA" w14:textId="54C79803" w:rsidR="003579C3" w:rsidRDefault="003579C3">
      <w:pPr>
        <w:pStyle w:val="FootnoteText"/>
      </w:pPr>
      <w:r>
        <w:rPr>
          <w:rStyle w:val="FootnoteReference"/>
        </w:rPr>
        <w:footnoteRef/>
      </w:r>
      <w:r>
        <w:t xml:space="preserve"> </w:t>
      </w:r>
      <w:r w:rsidRPr="003579C3">
        <w:rPr>
          <w:i/>
          <w:iCs/>
        </w:rPr>
        <w:t>Id.</w:t>
      </w:r>
      <w:r>
        <w:t xml:space="preserve"> </w:t>
      </w:r>
      <w:r w:rsidRPr="00801533">
        <w:t>at 17</w:t>
      </w:r>
      <w:r w:rsidR="00C62FC1">
        <w:t>.</w:t>
      </w:r>
    </w:p>
  </w:footnote>
  <w:footnote w:id="20">
    <w:p w14:paraId="08BC225F" w14:textId="1ADC350B" w:rsidR="003579C3" w:rsidRPr="00801533" w:rsidRDefault="003579C3" w:rsidP="003579C3">
      <w:pPr>
        <w:pStyle w:val="FootnoteText"/>
      </w:pPr>
      <w:r w:rsidRPr="00801533">
        <w:rPr>
          <w:rStyle w:val="FootnoteReference"/>
        </w:rPr>
        <w:footnoteRef/>
      </w:r>
      <w:r w:rsidR="00ED2735">
        <w:t xml:space="preserve"> </w:t>
      </w:r>
      <w:r w:rsidR="00ED2735" w:rsidRPr="003579C3">
        <w:rPr>
          <w:i/>
          <w:iCs/>
        </w:rPr>
        <w:t>Id.</w:t>
      </w:r>
    </w:p>
  </w:footnote>
  <w:footnote w:id="21">
    <w:p w14:paraId="6FA4EC9F" w14:textId="04828569" w:rsidR="003579C3" w:rsidRDefault="003579C3">
      <w:pPr>
        <w:pStyle w:val="FootnoteText"/>
      </w:pPr>
      <w:r>
        <w:rPr>
          <w:rStyle w:val="FootnoteReference"/>
        </w:rPr>
        <w:footnoteRef/>
      </w:r>
      <w:r>
        <w:t xml:space="preserve"> </w:t>
      </w:r>
      <w:r w:rsidRPr="003579C3">
        <w:rPr>
          <w:i/>
          <w:iCs/>
        </w:rPr>
        <w:t>Id.</w:t>
      </w:r>
    </w:p>
  </w:footnote>
  <w:footnote w:id="22">
    <w:p w14:paraId="391E2F0F" w14:textId="2AB19836" w:rsidR="00AC144D" w:rsidRPr="00801533" w:rsidRDefault="00AC144D" w:rsidP="00AC144D">
      <w:pPr>
        <w:pStyle w:val="FootnoteText"/>
      </w:pPr>
      <w:r w:rsidRPr="00801533">
        <w:rPr>
          <w:rStyle w:val="FootnoteReference"/>
        </w:rPr>
        <w:footnoteRef/>
      </w:r>
      <w:r w:rsidR="000B4CB1">
        <w:t xml:space="preserve"> </w:t>
      </w:r>
      <w:r w:rsidRPr="00AB3478">
        <w:t>Berisha v. Lawson</w:t>
      </w:r>
      <w:r w:rsidRPr="00801533">
        <w:t>, 141 S. Ct. 2424, 2425 (2021) (Gorsuch, J., dissenting from denial of certiorari).</w:t>
      </w:r>
    </w:p>
  </w:footnote>
  <w:footnote w:id="23">
    <w:p w14:paraId="56002219" w14:textId="26801572" w:rsidR="00AC144D" w:rsidRPr="00801533" w:rsidRDefault="00AC144D" w:rsidP="00AC144D">
      <w:pPr>
        <w:pStyle w:val="FootnoteText"/>
      </w:pPr>
      <w:r w:rsidRPr="00801533">
        <w:rPr>
          <w:rStyle w:val="FootnoteReference"/>
        </w:rPr>
        <w:footnoteRef/>
      </w:r>
      <w:r w:rsidR="000B4CB1">
        <w:rPr>
          <w:i/>
          <w:iCs/>
        </w:rPr>
        <w:t xml:space="preserve"> </w:t>
      </w:r>
      <w:r w:rsidRPr="00801533">
        <w:rPr>
          <w:i/>
          <w:iCs/>
        </w:rPr>
        <w:t>Id.</w:t>
      </w:r>
      <w:r w:rsidRPr="00801533">
        <w:t xml:space="preserve"> at 2426 (quoting Letter from T. Jefferson to C. Yancey, </w:t>
      </w:r>
      <w:r w:rsidR="00064C93">
        <w:rPr>
          <w:i/>
          <w:iCs/>
        </w:rPr>
        <w:t>infra</w:t>
      </w:r>
      <w:r w:rsidRPr="00801533">
        <w:t xml:space="preserve"> note</w:t>
      </w:r>
      <w:r w:rsidR="00064C93">
        <w:t xml:space="preserve"> </w:t>
      </w:r>
      <w:r w:rsidR="00064C93">
        <w:fldChar w:fldCharType="begin"/>
      </w:r>
      <w:r w:rsidR="00064C93">
        <w:instrText xml:space="preserve"> NOTEREF _Ref213017641 \h </w:instrText>
      </w:r>
      <w:r w:rsidR="00064C93">
        <w:fldChar w:fldCharType="separate"/>
      </w:r>
      <w:r w:rsidR="00064C93">
        <w:t>186</w:t>
      </w:r>
      <w:r w:rsidR="00064C93">
        <w:fldChar w:fldCharType="end"/>
      </w:r>
      <w:r w:rsidRPr="00801533">
        <w:t>).</w:t>
      </w:r>
    </w:p>
  </w:footnote>
  <w:footnote w:id="24">
    <w:p w14:paraId="784DA141" w14:textId="77777777" w:rsidR="000B4CB1" w:rsidRPr="003B2F79" w:rsidRDefault="000B4CB1" w:rsidP="000B4CB1">
      <w:pPr>
        <w:pStyle w:val="FootnoteText"/>
        <w:rPr>
          <w:rFonts w:cs="Times New Roman"/>
        </w:rPr>
      </w:pPr>
      <w:r w:rsidRPr="003B2F79">
        <w:rPr>
          <w:rStyle w:val="FootnoteReference"/>
          <w:rFonts w:cs="Times New Roman"/>
        </w:rPr>
        <w:footnoteRef/>
      </w:r>
      <w:r>
        <w:rPr>
          <w:rFonts w:cs="Times New Roman"/>
        </w:rPr>
        <w:t xml:space="preserve"> </w:t>
      </w:r>
      <w:r w:rsidRPr="003B2F79">
        <w:rPr>
          <w:rFonts w:cs="Times New Roman"/>
        </w:rPr>
        <w:t>Zurcher v. Stanford Daily, 436 U.S. 547, 566 (1978).</w:t>
      </w:r>
    </w:p>
  </w:footnote>
  <w:footnote w:id="25">
    <w:p w14:paraId="29F0AD8C" w14:textId="5D99969D" w:rsidR="00F82220" w:rsidRPr="003B2F79" w:rsidRDefault="00F82220" w:rsidP="00F82220">
      <w:pPr>
        <w:pStyle w:val="FootnoteText"/>
      </w:pPr>
      <w:r w:rsidRPr="003B2F79">
        <w:rPr>
          <w:rStyle w:val="FootnoteReference"/>
        </w:rPr>
        <w:footnoteRef/>
      </w:r>
      <w:r w:rsidRPr="00F82220">
        <w:t xml:space="preserve"> </w:t>
      </w:r>
      <w:r w:rsidRPr="003B2F79">
        <w:t>301 U.S.</w:t>
      </w:r>
      <w:r>
        <w:t xml:space="preserve"> 103 (1937)</w:t>
      </w:r>
      <w:r w:rsidRPr="003B2F79">
        <w:t>.</w:t>
      </w:r>
    </w:p>
  </w:footnote>
  <w:footnote w:id="26">
    <w:p w14:paraId="1D436660" w14:textId="55CE1941" w:rsidR="00603315" w:rsidRPr="003B2F79" w:rsidRDefault="00603315" w:rsidP="00603315">
      <w:pPr>
        <w:pStyle w:val="FootnoteText"/>
      </w:pPr>
      <w:r w:rsidRPr="003B2F79">
        <w:rPr>
          <w:rStyle w:val="FootnoteReference"/>
        </w:rPr>
        <w:footnoteRef/>
      </w:r>
      <w:r w:rsidRPr="00F82220">
        <w:t xml:space="preserve"> </w:t>
      </w:r>
      <w:r w:rsidR="00F82220" w:rsidRPr="00F82220">
        <w:rPr>
          <w:i/>
          <w:iCs/>
        </w:rPr>
        <w:t>Id.</w:t>
      </w:r>
      <w:r w:rsidRPr="003B2F79">
        <w:t xml:space="preserve"> at 132–33.</w:t>
      </w:r>
    </w:p>
  </w:footnote>
  <w:footnote w:id="27">
    <w:p w14:paraId="7BF30E0E" w14:textId="09F8EC0D" w:rsidR="00F82220" w:rsidRDefault="00F82220">
      <w:pPr>
        <w:pStyle w:val="FootnoteText"/>
      </w:pPr>
      <w:r>
        <w:rPr>
          <w:rStyle w:val="FootnoteReference"/>
        </w:rPr>
        <w:footnoteRef/>
      </w:r>
      <w:r>
        <w:t xml:space="preserve"> </w:t>
      </w:r>
      <w:r w:rsidRPr="003B2F79">
        <w:rPr>
          <w:rFonts w:cs="Times New Roman"/>
        </w:rPr>
        <w:t>408 U.S. 665 (1972).</w:t>
      </w:r>
    </w:p>
  </w:footnote>
  <w:footnote w:id="28">
    <w:p w14:paraId="3DBB2ACC" w14:textId="14B8A2C6" w:rsidR="00603315" w:rsidRPr="003B2F79" w:rsidRDefault="00603315" w:rsidP="00603315">
      <w:pPr>
        <w:pStyle w:val="FootnoteText"/>
      </w:pPr>
      <w:r w:rsidRPr="003B2F79">
        <w:rPr>
          <w:rStyle w:val="FootnoteReference"/>
        </w:rPr>
        <w:footnoteRef/>
      </w:r>
      <w:r>
        <w:rPr>
          <w:rFonts w:cs="Times New Roman"/>
        </w:rPr>
        <w:t xml:space="preserve"> </w:t>
      </w:r>
      <w:r w:rsidR="00470820" w:rsidRPr="00470820">
        <w:rPr>
          <w:rFonts w:cs="Times New Roman"/>
          <w:i/>
          <w:iCs/>
        </w:rPr>
        <w:t>Id.</w:t>
      </w:r>
      <w:r w:rsidR="00470820">
        <w:rPr>
          <w:rFonts w:cs="Times New Roman"/>
        </w:rPr>
        <w:t xml:space="preserve"> at 684</w:t>
      </w:r>
      <w:r w:rsidRPr="003B2F79">
        <w:rPr>
          <w:rFonts w:cs="Times New Roman"/>
        </w:rPr>
        <w:t xml:space="preserve">.  </w:t>
      </w:r>
      <w:r w:rsidR="00F82220">
        <w:rPr>
          <w:rFonts w:cs="Times New Roman"/>
        </w:rPr>
        <w:t xml:space="preserve">Justice Powell, the swing vote, would have recognized a qualified reporter’s privilege that might need to </w:t>
      </w:r>
      <w:r w:rsidR="00470820">
        <w:rPr>
          <w:rFonts w:cs="Times New Roman"/>
        </w:rPr>
        <w:t xml:space="preserve">yield to the need for evidence, depending on the circumstances.  </w:t>
      </w:r>
      <w:r w:rsidR="00C62FC1" w:rsidRPr="00C62FC1">
        <w:rPr>
          <w:rFonts w:cs="Times New Roman"/>
          <w:i/>
          <w:iCs/>
        </w:rPr>
        <w:t>Id.</w:t>
      </w:r>
      <w:r w:rsidR="00C62FC1">
        <w:rPr>
          <w:rFonts w:cs="Times New Roman"/>
        </w:rPr>
        <w:t xml:space="preserve"> at 710 (Powell, J., concurring).  </w:t>
      </w:r>
      <w:r w:rsidR="00470820">
        <w:rPr>
          <w:rFonts w:cs="Times New Roman"/>
        </w:rPr>
        <w:t>S</w:t>
      </w:r>
      <w:r w:rsidRPr="003B2F79">
        <w:rPr>
          <w:rFonts w:cs="Times New Roman"/>
        </w:rPr>
        <w:t xml:space="preserve">cholars and lower courts </w:t>
      </w:r>
      <w:r w:rsidR="00470820">
        <w:rPr>
          <w:rFonts w:cs="Times New Roman"/>
        </w:rPr>
        <w:t>alike often</w:t>
      </w:r>
      <w:r w:rsidRPr="003B2F79">
        <w:rPr>
          <w:rFonts w:cs="Times New Roman"/>
        </w:rPr>
        <w:t xml:space="preserve"> view Justice Powell’s concurrence as the controlling opinion.  </w:t>
      </w:r>
      <w:r w:rsidRPr="00776805">
        <w:rPr>
          <w:rFonts w:cs="Times New Roman"/>
          <w:i/>
          <w:iCs/>
        </w:rPr>
        <w:t>See, e.g.</w:t>
      </w:r>
      <w:r w:rsidRPr="003B2F79">
        <w:rPr>
          <w:rFonts w:cs="Times New Roman"/>
        </w:rPr>
        <w:t xml:space="preserve">, </w:t>
      </w:r>
      <w:r w:rsidRPr="003B2F79">
        <w:rPr>
          <w:rFonts w:cs="Times New Roman"/>
          <w:smallCaps/>
        </w:rPr>
        <w:t>Farber</w:t>
      </w:r>
      <w:r w:rsidRPr="003B2F79">
        <w:rPr>
          <w:rFonts w:cs="Times New Roman"/>
        </w:rPr>
        <w:t xml:space="preserve">, </w:t>
      </w:r>
      <w:r w:rsidRPr="003B2F79">
        <w:rPr>
          <w:rFonts w:cs="Times New Roman"/>
          <w:i/>
        </w:rPr>
        <w:t>supra</w:t>
      </w:r>
      <w:r w:rsidRPr="003B2F79">
        <w:rPr>
          <w:rFonts w:cs="Times New Roman"/>
        </w:rPr>
        <w:t xml:space="preserve"> note </w:t>
      </w:r>
      <w:r>
        <w:rPr>
          <w:rFonts w:cs="Times New Roman"/>
        </w:rPr>
        <w:fldChar w:fldCharType="begin"/>
      </w:r>
      <w:r>
        <w:rPr>
          <w:rFonts w:cs="Times New Roman"/>
        </w:rPr>
        <w:instrText xml:space="preserve"> NOTEREF _Ref198148394 \h </w:instrText>
      </w:r>
      <w:r>
        <w:rPr>
          <w:rFonts w:cs="Times New Roman"/>
        </w:rPr>
      </w:r>
      <w:r>
        <w:rPr>
          <w:rFonts w:cs="Times New Roman"/>
        </w:rPr>
        <w:fldChar w:fldCharType="separate"/>
      </w:r>
      <w:r w:rsidR="00064C93">
        <w:rPr>
          <w:rFonts w:cs="Times New Roman"/>
        </w:rPr>
        <w:t>7</w:t>
      </w:r>
      <w:r>
        <w:rPr>
          <w:rFonts w:cs="Times New Roman"/>
        </w:rPr>
        <w:fldChar w:fldCharType="end"/>
      </w:r>
      <w:r w:rsidRPr="003B2F79">
        <w:rPr>
          <w:rFonts w:cs="Times New Roman"/>
        </w:rPr>
        <w:t xml:space="preserve"> at 231; Rodney A. Smolla, </w:t>
      </w:r>
      <w:r w:rsidRPr="003B2F79">
        <w:rPr>
          <w:rFonts w:cs="Times New Roman"/>
          <w:i/>
        </w:rPr>
        <w:t>Information as Contraband: The First Amendment and Liability for Trafficking in Speech</w:t>
      </w:r>
      <w:r w:rsidRPr="003B2F79">
        <w:rPr>
          <w:rFonts w:cs="Times New Roman"/>
        </w:rPr>
        <w:t xml:space="preserve">, 96 </w:t>
      </w:r>
      <w:r w:rsidRPr="003B2F79">
        <w:rPr>
          <w:rFonts w:cs="Times New Roman"/>
          <w:smallCaps/>
        </w:rPr>
        <w:t>Nw. U. L. Rev.</w:t>
      </w:r>
      <w:r w:rsidRPr="003B2F79">
        <w:rPr>
          <w:rFonts w:cs="Times New Roman"/>
        </w:rPr>
        <w:t xml:space="preserve"> 1099, 1116 (2002); </w:t>
      </w:r>
      <w:r w:rsidRPr="003B2F79">
        <w:rPr>
          <w:rFonts w:cs="Times New Roman"/>
          <w:i/>
          <w:iCs/>
        </w:rPr>
        <w:t>see also</w:t>
      </w:r>
      <w:r w:rsidRPr="003B2F79">
        <w:rPr>
          <w:rFonts w:cs="Times New Roman"/>
        </w:rPr>
        <w:t xml:space="preserve"> Sonja R. West, </w:t>
      </w:r>
      <w:r w:rsidRPr="003B2F79">
        <w:rPr>
          <w:rFonts w:cs="Times New Roman"/>
          <w:i/>
        </w:rPr>
        <w:t>Concurring in Part &amp; Concurring in the Confusion</w:t>
      </w:r>
      <w:r w:rsidRPr="003B2F79">
        <w:rPr>
          <w:rFonts w:cs="Times New Roman"/>
        </w:rPr>
        <w:t xml:space="preserve">, 104 </w:t>
      </w:r>
      <w:r w:rsidRPr="003B2F79">
        <w:rPr>
          <w:rFonts w:cs="Times New Roman"/>
          <w:smallCaps/>
        </w:rPr>
        <w:t>Mich. L. Rev.</w:t>
      </w:r>
      <w:r w:rsidRPr="003B2F79">
        <w:rPr>
          <w:rFonts w:cs="Times New Roman"/>
        </w:rPr>
        <w:t xml:space="preserve"> 1951, 1952 (2006).</w:t>
      </w:r>
    </w:p>
  </w:footnote>
  <w:footnote w:id="29">
    <w:p w14:paraId="529AC2A8" w14:textId="3B2C1DD3" w:rsidR="00470820" w:rsidRDefault="00470820">
      <w:pPr>
        <w:pStyle w:val="FootnoteText"/>
      </w:pPr>
      <w:r>
        <w:rPr>
          <w:rStyle w:val="FootnoteReference"/>
        </w:rPr>
        <w:footnoteRef/>
      </w:r>
      <w:r>
        <w:t xml:space="preserve"> </w:t>
      </w:r>
      <w:r w:rsidRPr="003B2F79">
        <w:rPr>
          <w:rFonts w:cs="Times New Roman"/>
        </w:rPr>
        <w:t>435 U.S. 589 (1978).</w:t>
      </w:r>
    </w:p>
  </w:footnote>
  <w:footnote w:id="30">
    <w:p w14:paraId="5065973F" w14:textId="79D0673B" w:rsidR="00603315" w:rsidRPr="003B2F79" w:rsidRDefault="00603315" w:rsidP="00603315">
      <w:pPr>
        <w:pStyle w:val="FootnoteText"/>
        <w:rPr>
          <w:rFonts w:cs="Times New Roman"/>
        </w:rPr>
      </w:pPr>
      <w:r w:rsidRPr="003B2F79">
        <w:rPr>
          <w:rStyle w:val="FootnoteReference"/>
          <w:rFonts w:cs="Times New Roman"/>
        </w:rPr>
        <w:footnoteRef/>
      </w:r>
      <w:r>
        <w:rPr>
          <w:rFonts w:cs="Times New Roman"/>
        </w:rPr>
        <w:t xml:space="preserve"> </w:t>
      </w:r>
      <w:r w:rsidR="00470820" w:rsidRPr="00470820">
        <w:rPr>
          <w:rFonts w:cs="Times New Roman"/>
          <w:i/>
          <w:iCs/>
        </w:rPr>
        <w:t>Id.</w:t>
      </w:r>
      <w:r w:rsidR="00470820">
        <w:rPr>
          <w:rFonts w:cs="Times New Roman"/>
        </w:rPr>
        <w:t xml:space="preserve"> at </w:t>
      </w:r>
      <w:r w:rsidRPr="003B2F79">
        <w:rPr>
          <w:rFonts w:cs="Times New Roman"/>
        </w:rPr>
        <w:t>609</w:t>
      </w:r>
      <w:r w:rsidR="00470820">
        <w:rPr>
          <w:rFonts w:cs="Times New Roman"/>
        </w:rPr>
        <w:t>.</w:t>
      </w:r>
    </w:p>
  </w:footnote>
  <w:footnote w:id="31">
    <w:p w14:paraId="36885C3B" w14:textId="7286E788" w:rsidR="00DB63A1" w:rsidRPr="00801533" w:rsidRDefault="00DB63A1" w:rsidP="00DB63A1">
      <w:pPr>
        <w:pStyle w:val="FootnoteText"/>
      </w:pPr>
      <w:r w:rsidRPr="00801533">
        <w:rPr>
          <w:rStyle w:val="FootnoteReference"/>
        </w:rPr>
        <w:footnoteRef/>
      </w:r>
      <w:r w:rsidR="009F7B89">
        <w:t xml:space="preserve"> </w:t>
      </w:r>
      <w:r w:rsidR="00823592" w:rsidRPr="002177A5">
        <w:t>Houchins v. KQED, Inc.</w:t>
      </w:r>
      <w:r w:rsidR="00823592" w:rsidRPr="00801533">
        <w:t>, 438 U.S. 1, 16 (1978)</w:t>
      </w:r>
      <w:r w:rsidR="00823592">
        <w:t>.</w:t>
      </w:r>
    </w:p>
  </w:footnote>
  <w:footnote w:id="32">
    <w:p w14:paraId="6B5D4B6F" w14:textId="730100A2" w:rsidR="009F7B89" w:rsidRPr="003B2F79" w:rsidRDefault="009F7B89" w:rsidP="009F7B89">
      <w:pPr>
        <w:pStyle w:val="FootnoteText"/>
      </w:pPr>
      <w:r w:rsidRPr="003B2F79">
        <w:rPr>
          <w:rStyle w:val="FootnoteReference"/>
        </w:rPr>
        <w:footnoteRef/>
      </w:r>
      <w:r>
        <w:t xml:space="preserve"> </w:t>
      </w:r>
      <w:r w:rsidRPr="003B2F79">
        <w:t>558 U.S. 310 (2010).</w:t>
      </w:r>
    </w:p>
  </w:footnote>
  <w:footnote w:id="33">
    <w:p w14:paraId="64681C22" w14:textId="06478CE2" w:rsidR="00603315" w:rsidRPr="003B2F79" w:rsidRDefault="00603315" w:rsidP="00603315">
      <w:pPr>
        <w:pStyle w:val="FootnoteText"/>
      </w:pPr>
      <w:r w:rsidRPr="003B2F79">
        <w:rPr>
          <w:rStyle w:val="FootnoteReference"/>
        </w:rPr>
        <w:footnoteRef/>
      </w:r>
      <w:r>
        <w:t xml:space="preserve"> </w:t>
      </w:r>
      <w:r w:rsidR="00054F2C" w:rsidRPr="00054F2C">
        <w:rPr>
          <w:i/>
          <w:iCs/>
        </w:rPr>
        <w:t>Id.</w:t>
      </w:r>
      <w:r w:rsidR="00054F2C">
        <w:t xml:space="preserve"> at </w:t>
      </w:r>
      <w:r w:rsidRPr="003B2F79">
        <w:t>352.</w:t>
      </w:r>
    </w:p>
  </w:footnote>
  <w:footnote w:id="34">
    <w:p w14:paraId="5B27D2E0" w14:textId="2FF8BCCA" w:rsidR="00603315" w:rsidRDefault="00603315">
      <w:pPr>
        <w:pStyle w:val="FootnoteText"/>
      </w:pPr>
      <w:r>
        <w:rPr>
          <w:rStyle w:val="FootnoteReference"/>
        </w:rPr>
        <w:footnoteRef/>
      </w:r>
      <w:r>
        <w:t xml:space="preserve"> </w:t>
      </w:r>
      <w:r w:rsidRPr="003B2F79">
        <w:t>376 U.S. 254 (1964).</w:t>
      </w:r>
    </w:p>
  </w:footnote>
  <w:footnote w:id="35">
    <w:p w14:paraId="680F6F26" w14:textId="1FF21A3A" w:rsidR="00EE52EF" w:rsidRPr="0085616D" w:rsidRDefault="00EE52EF" w:rsidP="00EE52EF">
      <w:pPr>
        <w:pStyle w:val="FootnoteText"/>
      </w:pPr>
      <w:r w:rsidRPr="0085616D">
        <w:rPr>
          <w:rStyle w:val="FootnoteReference"/>
        </w:rPr>
        <w:footnoteRef/>
      </w:r>
      <w:r w:rsidR="00950455">
        <w:t xml:space="preserve"> </w:t>
      </w:r>
      <w:r w:rsidR="00A31D3B" w:rsidRPr="003B2F79">
        <w:t xml:space="preserve">Melville B. Nimmer, Introduction—Is Freedom of the Press A Redundancy: What Does It Add to Freedom of </w:t>
      </w:r>
      <w:proofErr w:type="gramStart"/>
      <w:r w:rsidR="00A31D3B" w:rsidRPr="003B2F79">
        <w:t>Speech?,</w:t>
      </w:r>
      <w:proofErr w:type="gramEnd"/>
      <w:r w:rsidR="00A31D3B" w:rsidRPr="003B2F79">
        <w:t xml:space="preserve"> 26 </w:t>
      </w:r>
      <w:r w:rsidR="00A31D3B" w:rsidRPr="00335D6C">
        <w:rPr>
          <w:smallCaps/>
        </w:rPr>
        <w:t>Hastings L.J.</w:t>
      </w:r>
      <w:r w:rsidR="00A31D3B" w:rsidRPr="003B2F79">
        <w:t xml:space="preserve"> 639, </w:t>
      </w:r>
      <w:r w:rsidR="00A31D3B">
        <w:t>639</w:t>
      </w:r>
      <w:r w:rsidR="00A31D3B" w:rsidRPr="003B2F79">
        <w:t xml:space="preserve"> (1975)</w:t>
      </w:r>
      <w:r w:rsidRPr="0085616D">
        <w:t>.</w:t>
      </w:r>
    </w:p>
  </w:footnote>
  <w:footnote w:id="36">
    <w:p w14:paraId="3A90C092" w14:textId="4C585879" w:rsidR="006045A3" w:rsidRDefault="006045A3">
      <w:pPr>
        <w:pStyle w:val="FootnoteText"/>
      </w:pPr>
      <w:r>
        <w:rPr>
          <w:rStyle w:val="FootnoteReference"/>
        </w:rPr>
        <w:footnoteRef/>
      </w:r>
      <w:r>
        <w:t xml:space="preserve"> </w:t>
      </w:r>
      <w:r w:rsidRPr="0085616D">
        <w:rPr>
          <w:i/>
          <w:iCs/>
        </w:rPr>
        <w:t>Id.</w:t>
      </w:r>
      <w:r w:rsidRPr="0085616D">
        <w:t xml:space="preserve"> at 640 </w:t>
      </w:r>
      <w:r>
        <w:t>(</w:t>
      </w:r>
      <w:r w:rsidRPr="0085616D">
        <w:t xml:space="preserve">“[T]he legal presumption against futile verbiage . . . must be </w:t>
      </w:r>
      <w:proofErr w:type="gramStart"/>
      <w:r w:rsidRPr="0085616D">
        <w:t>taken into account</w:t>
      </w:r>
      <w:proofErr w:type="gramEnd"/>
      <w:r w:rsidRPr="0085616D">
        <w:t>.</w:t>
      </w:r>
      <w:r>
        <w:t xml:space="preserve">  As nature abhors a vacuum, the law cannot abide a redundancy.”).</w:t>
      </w:r>
    </w:p>
  </w:footnote>
  <w:footnote w:id="37">
    <w:p w14:paraId="1D0DC0AD" w14:textId="3FBE4109" w:rsidR="00EE52EF" w:rsidRDefault="00EE52EF" w:rsidP="00EE52EF">
      <w:pPr>
        <w:pStyle w:val="FootnoteText"/>
      </w:pPr>
      <w:r w:rsidRPr="00EF1588">
        <w:rPr>
          <w:rStyle w:val="FootnoteReference"/>
        </w:rPr>
        <w:footnoteRef/>
      </w:r>
      <w:r w:rsidR="00950455">
        <w:rPr>
          <w:i/>
          <w:iCs/>
        </w:rPr>
        <w:t xml:space="preserve"> </w:t>
      </w:r>
      <w:r w:rsidRPr="002B5CFB">
        <w:rPr>
          <w:i/>
          <w:iCs/>
        </w:rPr>
        <w:t>Id.</w:t>
      </w:r>
      <w:r>
        <w:t xml:space="preserve"> at 641; </w:t>
      </w:r>
      <w:r w:rsidRPr="00460B72">
        <w:rPr>
          <w:i/>
          <w:iCs/>
        </w:rPr>
        <w:t>see id.</w:t>
      </w:r>
      <w:r>
        <w:t xml:space="preserve"> at </w:t>
      </w:r>
      <w:r w:rsidRPr="00C97210">
        <w:t>641–5</w:t>
      </w:r>
      <w:r>
        <w:t>0.</w:t>
      </w:r>
    </w:p>
  </w:footnote>
  <w:footnote w:id="38">
    <w:p w14:paraId="39670CDD" w14:textId="7BA6C4AB" w:rsidR="006045A3" w:rsidRDefault="006045A3" w:rsidP="006045A3">
      <w:pPr>
        <w:pStyle w:val="FootnoteText"/>
      </w:pPr>
      <w:r w:rsidRPr="000B252E">
        <w:rPr>
          <w:rStyle w:val="FootnoteReference"/>
        </w:rPr>
        <w:footnoteRef/>
      </w:r>
      <w:r w:rsidR="00373756">
        <w:t xml:space="preserve"> </w:t>
      </w:r>
      <w:r w:rsidRPr="00292736">
        <w:t>418 U.S. 241 (1974)</w:t>
      </w:r>
      <w:r>
        <w:t>.</w:t>
      </w:r>
    </w:p>
  </w:footnote>
  <w:footnote w:id="39">
    <w:p w14:paraId="2AEF3D08" w14:textId="1C687608" w:rsidR="00373756" w:rsidRDefault="00373756">
      <w:pPr>
        <w:pStyle w:val="FootnoteText"/>
      </w:pPr>
      <w:r>
        <w:rPr>
          <w:rStyle w:val="FootnoteReference"/>
        </w:rPr>
        <w:footnoteRef/>
      </w:r>
      <w:r>
        <w:t xml:space="preserve"> </w:t>
      </w:r>
      <w:r w:rsidRPr="00950455">
        <w:t>Nimmer</w:t>
      </w:r>
      <w:r w:rsidRPr="00A31D3B">
        <w:t xml:space="preserve">, </w:t>
      </w:r>
      <w:r>
        <w:rPr>
          <w:i/>
          <w:iCs/>
        </w:rPr>
        <w:t>supra</w:t>
      </w:r>
      <w:r w:rsidRPr="00A31D3B">
        <w:t xml:space="preserve"> note</w:t>
      </w:r>
      <w:r>
        <w:t xml:space="preserve"> </w:t>
      </w:r>
      <w:r>
        <w:fldChar w:fldCharType="begin"/>
      </w:r>
      <w:r>
        <w:instrText xml:space="preserve"> NOTEREF _Ref212847603 \h </w:instrText>
      </w:r>
      <w:r>
        <w:fldChar w:fldCharType="separate"/>
      </w:r>
      <w:r w:rsidR="00064C93">
        <w:t>35</w:t>
      </w:r>
      <w:r>
        <w:fldChar w:fldCharType="end"/>
      </w:r>
      <w:r w:rsidRPr="00A31D3B">
        <w:t xml:space="preserve">, at </w:t>
      </w:r>
      <w:r w:rsidRPr="00292736">
        <w:t>644–45</w:t>
      </w:r>
      <w:r>
        <w:t>.</w:t>
      </w:r>
    </w:p>
  </w:footnote>
  <w:footnote w:id="40">
    <w:p w14:paraId="44ADC091" w14:textId="68314109" w:rsidR="00A31D3B" w:rsidRPr="005A7A46" w:rsidRDefault="00A31D3B" w:rsidP="00A31D3B">
      <w:pPr>
        <w:pStyle w:val="FootnoteText"/>
      </w:pPr>
      <w:r w:rsidRPr="005A7A46">
        <w:rPr>
          <w:rStyle w:val="FootnoteReference"/>
        </w:rPr>
        <w:footnoteRef/>
      </w:r>
      <w:r w:rsidR="00950455">
        <w:rPr>
          <w:i/>
          <w:iCs/>
        </w:rPr>
        <w:t xml:space="preserve"> </w:t>
      </w:r>
      <w:r w:rsidRPr="005A7A46">
        <w:rPr>
          <w:i/>
          <w:iCs/>
        </w:rPr>
        <w:t>Id.</w:t>
      </w:r>
      <w:r w:rsidRPr="005A7A46">
        <w:t xml:space="preserve"> at 650.</w:t>
      </w:r>
    </w:p>
  </w:footnote>
  <w:footnote w:id="41">
    <w:p w14:paraId="64A3360D" w14:textId="77777777" w:rsidR="00373756" w:rsidRDefault="00373756" w:rsidP="00373756">
      <w:pPr>
        <w:pStyle w:val="FootnoteText"/>
      </w:pPr>
      <w:r w:rsidRPr="003D59FF">
        <w:rPr>
          <w:rStyle w:val="FootnoteReference"/>
        </w:rPr>
        <w:footnoteRef/>
      </w:r>
      <w:r>
        <w:rPr>
          <w:i/>
          <w:iCs/>
        </w:rPr>
        <w:t xml:space="preserve"> </w:t>
      </w:r>
      <w:r w:rsidRPr="003D59FF">
        <w:rPr>
          <w:i/>
          <w:iCs/>
        </w:rPr>
        <w:t>Id.</w:t>
      </w:r>
      <w:r>
        <w:t xml:space="preserve"> at 658.</w:t>
      </w:r>
    </w:p>
  </w:footnote>
  <w:footnote w:id="42">
    <w:p w14:paraId="58C14B73" w14:textId="79363AB6" w:rsidR="00A31D3B" w:rsidRDefault="00A31D3B" w:rsidP="00A31D3B">
      <w:pPr>
        <w:pStyle w:val="FootnoteText"/>
      </w:pPr>
      <w:r w:rsidRPr="005A7A46">
        <w:rPr>
          <w:rStyle w:val="FootnoteReference"/>
        </w:rPr>
        <w:footnoteRef/>
      </w:r>
      <w:r w:rsidR="00950455">
        <w:rPr>
          <w:i/>
          <w:iCs/>
        </w:rPr>
        <w:t xml:space="preserve"> </w:t>
      </w:r>
      <w:r w:rsidRPr="003D59FF">
        <w:rPr>
          <w:i/>
          <w:iCs/>
        </w:rPr>
        <w:t>Id.</w:t>
      </w:r>
      <w:r w:rsidRPr="005A7A46">
        <w:t xml:space="preserve"> </w:t>
      </w:r>
    </w:p>
  </w:footnote>
  <w:footnote w:id="43">
    <w:p w14:paraId="002BF015" w14:textId="64CBDE9C" w:rsidR="00C642CF" w:rsidRDefault="00C642CF">
      <w:pPr>
        <w:pStyle w:val="FootnoteText"/>
      </w:pPr>
      <w:r>
        <w:rPr>
          <w:rStyle w:val="FootnoteReference"/>
        </w:rPr>
        <w:footnoteRef/>
      </w:r>
      <w:r>
        <w:t xml:space="preserve"> See </w:t>
      </w:r>
      <w:r w:rsidRPr="003B2F79">
        <w:t xml:space="preserve">Potter Stewart, Address at the Yale Law School Sesquicentennial Convocation (Nov. 2, 1974), </w:t>
      </w:r>
      <w:r w:rsidRPr="003B2F79">
        <w:rPr>
          <w:i/>
        </w:rPr>
        <w:t>in</w:t>
      </w:r>
      <w:r w:rsidRPr="003B2F79">
        <w:t xml:space="preserve"> Potter Stewart, </w:t>
      </w:r>
      <w:r w:rsidRPr="003B2F79">
        <w:rPr>
          <w:i/>
        </w:rPr>
        <w:t>“Or of the Press”</w:t>
      </w:r>
      <w:r w:rsidRPr="003B2F79">
        <w:t xml:space="preserve">, 26 </w:t>
      </w:r>
      <w:r w:rsidRPr="00A31D3B">
        <w:rPr>
          <w:smallCaps/>
        </w:rPr>
        <w:t>Hastings L.J.</w:t>
      </w:r>
      <w:r w:rsidRPr="003B2F79">
        <w:t xml:space="preserve"> 631 (1975)</w:t>
      </w:r>
      <w:r>
        <w:t>.</w:t>
      </w:r>
    </w:p>
  </w:footnote>
  <w:footnote w:id="44">
    <w:p w14:paraId="3C54BFC1" w14:textId="3C391E43" w:rsidR="00C642CF" w:rsidRPr="00C642CF" w:rsidRDefault="00C642CF" w:rsidP="00C642CF">
      <w:pPr>
        <w:pStyle w:val="FootnoteText"/>
      </w:pPr>
      <w:r w:rsidRPr="00D41F71">
        <w:rPr>
          <w:rStyle w:val="FootnoteReference"/>
        </w:rPr>
        <w:footnoteRef/>
      </w:r>
      <w:r w:rsidRPr="00C642CF">
        <w:t xml:space="preserve"> </w:t>
      </w:r>
      <w:r w:rsidRPr="00D41F71">
        <w:rPr>
          <w:i/>
          <w:iCs/>
        </w:rPr>
        <w:t>Id.</w:t>
      </w:r>
      <w:r>
        <w:t xml:space="preserve"> at 633.</w:t>
      </w:r>
    </w:p>
  </w:footnote>
  <w:footnote w:id="45">
    <w:p w14:paraId="1A4D22D0" w14:textId="4FF3C49B" w:rsidR="00C642CF" w:rsidRDefault="00C642CF" w:rsidP="00C642CF">
      <w:pPr>
        <w:pStyle w:val="FootnoteText"/>
      </w:pPr>
      <w:r w:rsidRPr="0097553B">
        <w:rPr>
          <w:rStyle w:val="FootnoteReference"/>
        </w:rPr>
        <w:footnoteRef/>
      </w:r>
      <w:r w:rsidRPr="00C642CF">
        <w:t xml:space="preserve"> </w:t>
      </w:r>
      <w:r w:rsidRPr="00C261A0">
        <w:rPr>
          <w:i/>
          <w:iCs/>
        </w:rPr>
        <w:t>Id.</w:t>
      </w:r>
      <w:r>
        <w:t xml:space="preserve"> at 634.</w:t>
      </w:r>
    </w:p>
  </w:footnote>
  <w:footnote w:id="46">
    <w:p w14:paraId="7F6A5598" w14:textId="085AA70D" w:rsidR="00243E3A" w:rsidRDefault="00243E3A">
      <w:pPr>
        <w:pStyle w:val="FootnoteText"/>
      </w:pPr>
      <w:r>
        <w:rPr>
          <w:rStyle w:val="FootnoteReference"/>
        </w:rPr>
        <w:footnoteRef/>
      </w:r>
      <w:r>
        <w:t xml:space="preserve"> </w:t>
      </w:r>
      <w:r w:rsidRPr="003B2F79">
        <w:t xml:space="preserve">Floyd Abrams, </w:t>
      </w:r>
      <w:r w:rsidRPr="003B2F79">
        <w:rPr>
          <w:i/>
        </w:rPr>
        <w:t xml:space="preserve">The Press </w:t>
      </w:r>
      <w:r w:rsidRPr="003B2F79">
        <w:rPr>
          <w:iCs/>
        </w:rPr>
        <w:t>Is</w:t>
      </w:r>
      <w:r w:rsidRPr="003B2F79">
        <w:rPr>
          <w:i/>
        </w:rPr>
        <w:t xml:space="preserve"> Different: Reflections on Justice Stewart and the Autonomous Press</w:t>
      </w:r>
      <w:r w:rsidRPr="003B2F79">
        <w:t xml:space="preserve">, 7 </w:t>
      </w:r>
      <w:r w:rsidRPr="003B2F79">
        <w:rPr>
          <w:smallCaps/>
        </w:rPr>
        <w:t>Hofstra L. Rev.</w:t>
      </w:r>
      <w:r w:rsidRPr="003B2F79">
        <w:t xml:space="preserve"> 563, 564 (1979)</w:t>
      </w:r>
      <w:r>
        <w:t>.</w:t>
      </w:r>
    </w:p>
  </w:footnote>
  <w:footnote w:id="47">
    <w:p w14:paraId="19310852" w14:textId="77777777" w:rsidR="000F6441" w:rsidRPr="003B2F79" w:rsidRDefault="000F6441" w:rsidP="000F6441">
      <w:pPr>
        <w:pStyle w:val="BodyText"/>
        <w:spacing w:line="240" w:lineRule="auto"/>
        <w:rPr>
          <w:rStyle w:val="FootnoteTextChar"/>
        </w:rPr>
      </w:pPr>
      <w:r w:rsidRPr="003B2F79">
        <w:rPr>
          <w:rStyle w:val="FootnoteReference"/>
        </w:rPr>
        <w:footnoteRef/>
      </w:r>
      <w:r>
        <w:rPr>
          <w:rStyle w:val="FootnoteTextChar"/>
        </w:rPr>
        <w:t xml:space="preserve"> </w:t>
      </w:r>
      <w:r w:rsidRPr="003B2F79">
        <w:rPr>
          <w:rStyle w:val="FootnoteTextChar"/>
        </w:rPr>
        <w:t xml:space="preserve">3 </w:t>
      </w:r>
      <w:r w:rsidRPr="003B2F79">
        <w:rPr>
          <w:rStyle w:val="FootnoteTextChar"/>
          <w:smallCaps/>
        </w:rPr>
        <w:t>Rodney A. Smolla, Smolla &amp; Nimmer on Freedom of Speech</w:t>
      </w:r>
      <w:r w:rsidRPr="003B2F79">
        <w:rPr>
          <w:rStyle w:val="FootnoteTextChar"/>
        </w:rPr>
        <w:t xml:space="preserve"> § 22.11.</w:t>
      </w:r>
    </w:p>
  </w:footnote>
  <w:footnote w:id="48">
    <w:p w14:paraId="57EE1A5C" w14:textId="5B9F4971" w:rsidR="00243E3A" w:rsidRDefault="00243E3A">
      <w:pPr>
        <w:pStyle w:val="FootnoteText"/>
      </w:pPr>
      <w:r>
        <w:rPr>
          <w:rStyle w:val="FootnoteReference"/>
        </w:rPr>
        <w:footnoteRef/>
      </w:r>
      <w:r>
        <w:t xml:space="preserve"> </w:t>
      </w:r>
      <w:r w:rsidRPr="00462710">
        <w:rPr>
          <w:i/>
          <w:iCs/>
        </w:rPr>
        <w:t xml:space="preserve">See </w:t>
      </w:r>
      <w:r>
        <w:t xml:space="preserve">Lauren Gailey, </w:t>
      </w:r>
      <w:r w:rsidRPr="00462710">
        <w:rPr>
          <w:i/>
          <w:iCs/>
        </w:rPr>
        <w:t xml:space="preserve">Does the Press Get Special </w:t>
      </w:r>
      <w:proofErr w:type="gramStart"/>
      <w:r w:rsidRPr="00462710">
        <w:rPr>
          <w:i/>
          <w:iCs/>
        </w:rPr>
        <w:t>Rights?</w:t>
      </w:r>
      <w:r w:rsidRPr="00462710">
        <w:t>,</w:t>
      </w:r>
      <w:proofErr w:type="gramEnd"/>
      <w:r w:rsidRPr="00462710">
        <w:t xml:space="preserve"> 12 </w:t>
      </w:r>
      <w:r w:rsidRPr="00462710">
        <w:rPr>
          <w:smallCaps/>
        </w:rPr>
        <w:t>Tex. A&amp;M L. Rev.</w:t>
      </w:r>
      <w:r w:rsidRPr="00462710">
        <w:t xml:space="preserve"> 1045 (2025)</w:t>
      </w:r>
      <w:r>
        <w:t>.</w:t>
      </w:r>
    </w:p>
  </w:footnote>
  <w:footnote w:id="49">
    <w:p w14:paraId="7D101807" w14:textId="33E20CC7" w:rsidR="00825F00" w:rsidRPr="00801533" w:rsidRDefault="00825F00" w:rsidP="00825F00">
      <w:pPr>
        <w:pStyle w:val="FootnoteText"/>
      </w:pPr>
      <w:r w:rsidRPr="00801533">
        <w:rPr>
          <w:rStyle w:val="FootnoteReference"/>
        </w:rPr>
        <w:footnoteRef/>
      </w:r>
      <w:r w:rsidR="00667F80">
        <w:t xml:space="preserve"> </w:t>
      </w:r>
      <w:r w:rsidR="00667F80" w:rsidRPr="00667F80">
        <w:rPr>
          <w:i/>
          <w:iCs/>
        </w:rPr>
        <w:t>See, e.g.</w:t>
      </w:r>
      <w:r w:rsidR="00667F80">
        <w:t xml:space="preserve">, </w:t>
      </w:r>
      <w:r w:rsidRPr="002177A5">
        <w:t>Branzburg v. Hayes</w:t>
      </w:r>
      <w:r w:rsidRPr="00801533">
        <w:t xml:space="preserve">, 408 U.S. 665, 684 (1972) (press have no right of “special access to information not available to the public generally”); </w:t>
      </w:r>
      <w:r w:rsidRPr="002177A5">
        <w:t>Houchins v. KQED, Inc.</w:t>
      </w:r>
      <w:r w:rsidRPr="00801533">
        <w:t>, 438 U.S. 1, 16 (1978) (“no special right of access” to jail in question).</w:t>
      </w:r>
    </w:p>
  </w:footnote>
  <w:footnote w:id="50">
    <w:p w14:paraId="4D8D0BE6" w14:textId="5A41E8B0" w:rsidR="00A1153E" w:rsidRDefault="00A1153E">
      <w:pPr>
        <w:pStyle w:val="FootnoteText"/>
      </w:pPr>
      <w:r>
        <w:rPr>
          <w:rStyle w:val="FootnoteReference"/>
        </w:rPr>
        <w:footnoteRef/>
      </w:r>
      <w:r>
        <w:t xml:space="preserve"> </w:t>
      </w:r>
      <w:r w:rsidRPr="00801533">
        <w:rPr>
          <w:i/>
          <w:iCs/>
        </w:rPr>
        <w:t>Houchins</w:t>
      </w:r>
      <w:r w:rsidRPr="00801533">
        <w:t>, 438 U.S. at 3</w:t>
      </w:r>
      <w:r>
        <w:t>.</w:t>
      </w:r>
    </w:p>
  </w:footnote>
  <w:footnote w:id="51">
    <w:p w14:paraId="0379B6CB" w14:textId="4BCDA737" w:rsidR="00A1153E" w:rsidRDefault="00A1153E">
      <w:pPr>
        <w:pStyle w:val="FootnoteText"/>
      </w:pPr>
      <w:r>
        <w:rPr>
          <w:rStyle w:val="FootnoteReference"/>
        </w:rPr>
        <w:footnoteRef/>
      </w:r>
      <w:r>
        <w:t xml:space="preserve"> </w:t>
      </w:r>
      <w:r w:rsidRPr="00A1153E">
        <w:rPr>
          <w:i/>
          <w:iCs/>
        </w:rPr>
        <w:t>Id.</w:t>
      </w:r>
    </w:p>
  </w:footnote>
  <w:footnote w:id="52">
    <w:p w14:paraId="460FCCE6" w14:textId="2923A804" w:rsidR="00A1153E" w:rsidRDefault="00A1153E">
      <w:pPr>
        <w:pStyle w:val="FootnoteText"/>
      </w:pPr>
      <w:r>
        <w:rPr>
          <w:rStyle w:val="FootnoteReference"/>
        </w:rPr>
        <w:footnoteRef/>
      </w:r>
      <w:r>
        <w:t xml:space="preserve"> </w:t>
      </w:r>
      <w:r w:rsidRPr="00A1153E">
        <w:rPr>
          <w:i/>
          <w:iCs/>
        </w:rPr>
        <w:t>Id.</w:t>
      </w:r>
      <w:r>
        <w:t xml:space="preserve"> at 3–4.</w:t>
      </w:r>
    </w:p>
  </w:footnote>
  <w:footnote w:id="53">
    <w:p w14:paraId="1FD1E225" w14:textId="12DAD538" w:rsidR="00312EEC" w:rsidRDefault="00312EEC">
      <w:pPr>
        <w:pStyle w:val="FootnoteText"/>
      </w:pPr>
      <w:r>
        <w:rPr>
          <w:rStyle w:val="FootnoteReference"/>
        </w:rPr>
        <w:footnoteRef/>
      </w:r>
      <w:r>
        <w:t xml:space="preserve"> </w:t>
      </w:r>
      <w:r w:rsidRPr="00312EEC">
        <w:rPr>
          <w:i/>
          <w:iCs/>
        </w:rPr>
        <w:t>Id.</w:t>
      </w:r>
      <w:r>
        <w:t xml:space="preserve"> at 4–5.</w:t>
      </w:r>
    </w:p>
  </w:footnote>
  <w:footnote w:id="54">
    <w:p w14:paraId="653D38F7" w14:textId="6C6039C2" w:rsidR="00312EEC" w:rsidRDefault="00312EEC">
      <w:pPr>
        <w:pStyle w:val="FootnoteText"/>
      </w:pPr>
      <w:r>
        <w:rPr>
          <w:rStyle w:val="FootnoteReference"/>
        </w:rPr>
        <w:footnoteRef/>
      </w:r>
      <w:r>
        <w:t xml:space="preserve"> </w:t>
      </w:r>
      <w:r w:rsidRPr="00312EEC">
        <w:rPr>
          <w:i/>
          <w:iCs/>
        </w:rPr>
        <w:t>Id.</w:t>
      </w:r>
      <w:r>
        <w:t xml:space="preserve"> at 6.</w:t>
      </w:r>
    </w:p>
  </w:footnote>
  <w:footnote w:id="55">
    <w:p w14:paraId="1610E4E1" w14:textId="3538281C" w:rsidR="002079CA" w:rsidRDefault="002079CA">
      <w:pPr>
        <w:pStyle w:val="FootnoteText"/>
      </w:pPr>
      <w:r>
        <w:rPr>
          <w:rStyle w:val="FootnoteReference"/>
        </w:rPr>
        <w:footnoteRef/>
      </w:r>
      <w:r>
        <w:t xml:space="preserve"> </w:t>
      </w:r>
      <w:r w:rsidRPr="002079CA">
        <w:rPr>
          <w:i/>
          <w:iCs/>
        </w:rPr>
        <w:t>Id.</w:t>
      </w:r>
      <w:r>
        <w:t xml:space="preserve"> at 16.</w:t>
      </w:r>
    </w:p>
  </w:footnote>
  <w:footnote w:id="56">
    <w:p w14:paraId="6389FB3C" w14:textId="2152388C" w:rsidR="002079CA" w:rsidRDefault="002079CA">
      <w:pPr>
        <w:pStyle w:val="FootnoteText"/>
      </w:pPr>
      <w:r>
        <w:rPr>
          <w:rStyle w:val="FootnoteReference"/>
        </w:rPr>
        <w:footnoteRef/>
      </w:r>
      <w:r>
        <w:t xml:space="preserve"> </w:t>
      </w:r>
      <w:r w:rsidR="009F1035" w:rsidRPr="00801533">
        <w:rPr>
          <w:i/>
          <w:iCs/>
        </w:rPr>
        <w:t>Id.</w:t>
      </w:r>
      <w:r w:rsidR="009F1035" w:rsidRPr="00801533">
        <w:t xml:space="preserve"> (Stewart, J., concurring in the judgment).</w:t>
      </w:r>
    </w:p>
  </w:footnote>
  <w:footnote w:id="57">
    <w:p w14:paraId="6B368FFB" w14:textId="11BC2FAB" w:rsidR="009F1035" w:rsidRPr="003C3756" w:rsidRDefault="009F1035" w:rsidP="009F1035">
      <w:pPr>
        <w:pStyle w:val="FootnoteText"/>
      </w:pPr>
      <w:r w:rsidRPr="00801533">
        <w:rPr>
          <w:rStyle w:val="FootnoteReference"/>
        </w:rPr>
        <w:footnoteRef/>
      </w:r>
      <w:r w:rsidR="003C3756" w:rsidRPr="003C3756">
        <w:rPr>
          <w:i/>
          <w:iCs/>
        </w:rPr>
        <w:t xml:space="preserve"> </w:t>
      </w:r>
      <w:r w:rsidRPr="00801533">
        <w:rPr>
          <w:i/>
          <w:iCs/>
        </w:rPr>
        <w:t>Id.</w:t>
      </w:r>
      <w:r w:rsidR="003C3756">
        <w:t xml:space="preserve"> at 18.</w:t>
      </w:r>
    </w:p>
  </w:footnote>
  <w:footnote w:id="58">
    <w:p w14:paraId="7074219C" w14:textId="38F56531" w:rsidR="003C3756" w:rsidRDefault="003C3756">
      <w:pPr>
        <w:pStyle w:val="FootnoteText"/>
      </w:pPr>
      <w:r>
        <w:rPr>
          <w:rStyle w:val="FootnoteReference"/>
        </w:rPr>
        <w:footnoteRef/>
      </w:r>
      <w:r>
        <w:t xml:space="preserve"> </w:t>
      </w:r>
      <w:r w:rsidRPr="003C3756">
        <w:rPr>
          <w:i/>
          <w:iCs/>
        </w:rPr>
        <w:t>Id.</w:t>
      </w:r>
      <w:r>
        <w:t xml:space="preserve"> at 17.</w:t>
      </w:r>
    </w:p>
  </w:footnote>
  <w:footnote w:id="59">
    <w:p w14:paraId="132C8A0A" w14:textId="021C64CE" w:rsidR="00517284" w:rsidRDefault="00517284">
      <w:pPr>
        <w:pStyle w:val="FootnoteText"/>
      </w:pPr>
      <w:r>
        <w:rPr>
          <w:rStyle w:val="FootnoteReference"/>
        </w:rPr>
        <w:footnoteRef/>
      </w:r>
      <w:r>
        <w:t xml:space="preserve"> </w:t>
      </w:r>
      <w:r w:rsidRPr="00517284">
        <w:rPr>
          <w:i/>
          <w:iCs/>
        </w:rPr>
        <w:t>Id.</w:t>
      </w:r>
      <w:r>
        <w:t xml:space="preserve"> at 17–18.</w:t>
      </w:r>
    </w:p>
  </w:footnote>
  <w:footnote w:id="60">
    <w:p w14:paraId="1D39108C" w14:textId="39531E7E" w:rsidR="002079CA" w:rsidRPr="00801533" w:rsidRDefault="002079CA" w:rsidP="002079CA">
      <w:pPr>
        <w:pStyle w:val="FootnoteText"/>
      </w:pPr>
      <w:r w:rsidRPr="00801533">
        <w:rPr>
          <w:rStyle w:val="FootnoteReference"/>
        </w:rPr>
        <w:footnoteRef/>
      </w:r>
      <w:r w:rsidR="009F1035" w:rsidRPr="009F1035">
        <w:t xml:space="preserve"> </w:t>
      </w:r>
      <w:r w:rsidR="009F1035">
        <w:rPr>
          <w:i/>
          <w:iCs/>
        </w:rPr>
        <w:t>Id.</w:t>
      </w:r>
    </w:p>
  </w:footnote>
  <w:footnote w:id="61">
    <w:p w14:paraId="0653B7BD" w14:textId="7EA22D3D" w:rsidR="00517284" w:rsidRDefault="00517284">
      <w:pPr>
        <w:pStyle w:val="FootnoteText"/>
      </w:pPr>
      <w:r>
        <w:rPr>
          <w:rStyle w:val="FootnoteReference"/>
        </w:rPr>
        <w:footnoteRef/>
      </w:r>
      <w:r>
        <w:t xml:space="preserve"> Under the rule of </w:t>
      </w:r>
      <w:r w:rsidRPr="00517284">
        <w:rPr>
          <w:i/>
          <w:iCs/>
        </w:rPr>
        <w:t>Marks v. United States</w:t>
      </w:r>
      <w:r w:rsidRPr="00801533">
        <w:t>, 430 U.S. 188</w:t>
      </w:r>
      <w:r>
        <w:t xml:space="preserve">, 193 </w:t>
      </w:r>
      <w:r w:rsidRPr="00801533">
        <w:t>(1977)</w:t>
      </w:r>
      <w:r>
        <w:t xml:space="preserve"> (</w:t>
      </w:r>
      <w:r w:rsidR="00980467">
        <w:t xml:space="preserve">when </w:t>
      </w:r>
      <w:r>
        <w:t>“</w:t>
      </w:r>
      <w:r w:rsidRPr="00801533">
        <w:t xml:space="preserve">no single rationale </w:t>
      </w:r>
      <w:r w:rsidR="00980467">
        <w:t>. . .</w:t>
      </w:r>
      <w:r w:rsidRPr="00801533">
        <w:t xml:space="preserve"> enjoys the assent of [a majority</w:t>
      </w:r>
      <w:r w:rsidR="00980467">
        <w:t>]</w:t>
      </w:r>
      <w:r w:rsidRPr="00801533">
        <w:t>, the holding of the Court may be viewed as that position taken by those Members who concurred in the judgments on the narrowest grounds</w:t>
      </w:r>
      <w:r w:rsidR="00980467">
        <w:t xml:space="preserve">” (quotation omitted)), Justice Stewart’s opinion controlled.  </w:t>
      </w:r>
      <w:r w:rsidR="00980467" w:rsidRPr="00FE73E9">
        <w:t>Fusaro v. Cogan</w:t>
      </w:r>
      <w:r w:rsidR="00980467" w:rsidRPr="00801533">
        <w:t xml:space="preserve">, 930 F.3d 241, 249–50 n.5 (4th Cir. 2019); </w:t>
      </w:r>
      <w:r w:rsidR="00980467" w:rsidRPr="00FE73E9">
        <w:t>Velie v. Hill</w:t>
      </w:r>
      <w:r w:rsidR="00980467" w:rsidRPr="00801533">
        <w:t xml:space="preserve">, 736 F. App’x 165, 167 n.2 (9th Cir. 2018); Erin C. Carroll, </w:t>
      </w:r>
      <w:r w:rsidR="00980467" w:rsidRPr="00801533">
        <w:rPr>
          <w:i/>
          <w:iCs/>
        </w:rPr>
        <w:t>Platforms and the Fall of the Fourth Estate: Looking Beyond the First Amendment to Protect Watchdog Journalism</w:t>
      </w:r>
      <w:r w:rsidR="00980467" w:rsidRPr="00801533">
        <w:t xml:space="preserve">, 79 </w:t>
      </w:r>
      <w:r w:rsidR="00980467" w:rsidRPr="00801533">
        <w:rPr>
          <w:smallCaps/>
        </w:rPr>
        <w:t>Md. L. Rev.</w:t>
      </w:r>
      <w:r w:rsidR="00980467" w:rsidRPr="00801533">
        <w:t xml:space="preserve"> 529, 589 n.91 (2020); William Bennett Turner &amp; Beth S. Brinkmann, </w:t>
      </w:r>
      <w:r w:rsidR="00980467" w:rsidRPr="00801533">
        <w:rPr>
          <w:i/>
          <w:iCs/>
        </w:rPr>
        <w:t>Televising Executions: The First Amendment Issues</w:t>
      </w:r>
      <w:r w:rsidR="00980467" w:rsidRPr="00801533">
        <w:t xml:space="preserve">, 32 </w:t>
      </w:r>
      <w:r w:rsidR="00980467" w:rsidRPr="00801533">
        <w:rPr>
          <w:smallCaps/>
        </w:rPr>
        <w:t>Santa Clara L. Rev.</w:t>
      </w:r>
      <w:r w:rsidR="00980467" w:rsidRPr="00801533">
        <w:t xml:space="preserve"> 1135, 1152 (1992)</w:t>
      </w:r>
      <w:r w:rsidR="00980467">
        <w:t>.</w:t>
      </w:r>
    </w:p>
  </w:footnote>
  <w:footnote w:id="62">
    <w:p w14:paraId="53060B5A" w14:textId="5F44C99A" w:rsidR="00980467" w:rsidRDefault="00980467">
      <w:pPr>
        <w:pStyle w:val="FootnoteText"/>
      </w:pPr>
      <w:r>
        <w:rPr>
          <w:rStyle w:val="FootnoteReference"/>
        </w:rPr>
        <w:footnoteRef/>
      </w:r>
      <w:r>
        <w:t xml:space="preserve"> </w:t>
      </w:r>
      <w:r w:rsidR="00D55811" w:rsidRPr="00D55811">
        <w:t>Richmond Newspapers, Inc. v. Virginia</w:t>
      </w:r>
      <w:r w:rsidR="00D55811">
        <w:t>,</w:t>
      </w:r>
      <w:r w:rsidR="00D55811" w:rsidRPr="00D55811">
        <w:t xml:space="preserve"> </w:t>
      </w:r>
      <w:r w:rsidR="00D55811" w:rsidRPr="00801533">
        <w:t>448 U.S. 555</w:t>
      </w:r>
      <w:r w:rsidR="00D55811">
        <w:t>, 573</w:t>
      </w:r>
      <w:r w:rsidR="00D55811" w:rsidRPr="00801533">
        <w:t xml:space="preserve"> (1980)</w:t>
      </w:r>
      <w:r w:rsidR="00D55811">
        <w:t xml:space="preserve"> (plurality opinion).  </w:t>
      </w:r>
      <w:r w:rsidRPr="00801533">
        <w:t xml:space="preserve">Yasmin Khorram &amp; Scott Cohn, </w:t>
      </w:r>
      <w:r w:rsidRPr="00801533">
        <w:rPr>
          <w:i/>
          <w:iCs/>
        </w:rPr>
        <w:t>Elizabeth Holmes’ Lawyers Request Potential Jurors Be Quizzed About Her Celebrity</w:t>
      </w:r>
      <w:r w:rsidRPr="00801533">
        <w:t xml:space="preserve">, </w:t>
      </w:r>
      <w:r w:rsidRPr="00801533">
        <w:rPr>
          <w:smallCaps/>
        </w:rPr>
        <w:t>CNBC.com</w:t>
      </w:r>
      <w:r w:rsidRPr="00801533">
        <w:t xml:space="preserve"> (Aug. 16, 2021, 4:56 PM), </w:t>
      </w:r>
      <w:r w:rsidR="009B1FFC" w:rsidRPr="009B1FFC">
        <w:t>https://</w:t>
      </w:r>
      <w:r w:rsidR="009B1FFC" w:rsidRPr="009B1FFC">
        <w:rPr>
          <w:rFonts w:ascii="Times New Roman" w:hAnsi="Times New Roman" w:cs="Times New Roman"/>
        </w:rPr>
        <w:t>​</w:t>
      </w:r>
      <w:r w:rsidR="009B1FFC" w:rsidRPr="009B1FFC">
        <w:t>www.</w:t>
      </w:r>
      <w:r w:rsidR="009B1FFC" w:rsidRPr="009B1FFC">
        <w:rPr>
          <w:rFonts w:ascii="Times New Roman" w:hAnsi="Times New Roman" w:cs="Times New Roman"/>
        </w:rPr>
        <w:t>​</w:t>
      </w:r>
      <w:r w:rsidR="009B1FFC" w:rsidRPr="009B1FFC">
        <w:t>cnbc.</w:t>
      </w:r>
      <w:r w:rsidR="009B1FFC" w:rsidRPr="009B1FFC">
        <w:rPr>
          <w:rFonts w:ascii="Times New Roman" w:hAnsi="Times New Roman" w:cs="Times New Roman"/>
        </w:rPr>
        <w:t>​</w:t>
      </w:r>
      <w:r w:rsidR="009B1FFC" w:rsidRPr="009B1FFC">
        <w:t>com/</w:t>
      </w:r>
      <w:r w:rsidR="009B1FFC" w:rsidRPr="009B1FFC">
        <w:rPr>
          <w:rFonts w:ascii="Times New Roman" w:hAnsi="Times New Roman" w:cs="Times New Roman"/>
        </w:rPr>
        <w:t>​</w:t>
      </w:r>
      <w:r w:rsidR="009B1FFC" w:rsidRPr="009B1FFC">
        <w:t>2021/</w:t>
      </w:r>
      <w:r w:rsidR="009B1FFC" w:rsidRPr="009B1FFC">
        <w:rPr>
          <w:rFonts w:ascii="Times New Roman" w:hAnsi="Times New Roman" w:cs="Times New Roman"/>
        </w:rPr>
        <w:t>​</w:t>
      </w:r>
      <w:r w:rsidR="009B1FFC" w:rsidRPr="009B1FFC">
        <w:t>08/</w:t>
      </w:r>
      <w:r w:rsidR="009B1FFC" w:rsidRPr="009B1FFC">
        <w:rPr>
          <w:rFonts w:ascii="Times New Roman" w:hAnsi="Times New Roman" w:cs="Times New Roman"/>
        </w:rPr>
        <w:t>​</w:t>
      </w:r>
      <w:r w:rsidR="009B1FFC" w:rsidRPr="009B1FFC">
        <w:t>16/</w:t>
      </w:r>
      <w:r w:rsidR="009B1FFC" w:rsidRPr="009B1FFC">
        <w:rPr>
          <w:rFonts w:ascii="Times New Roman" w:hAnsi="Times New Roman" w:cs="Times New Roman"/>
        </w:rPr>
        <w:t>​</w:t>
      </w:r>
      <w:r w:rsidR="009B1FFC" w:rsidRPr="009B1FFC">
        <w:t>eliza</w:t>
      </w:r>
      <w:r w:rsidR="009B1FFC" w:rsidRPr="009B1FFC">
        <w:rPr>
          <w:rFonts w:ascii="Times New Roman" w:hAnsi="Times New Roman" w:cs="Times New Roman"/>
        </w:rPr>
        <w:t>​</w:t>
      </w:r>
      <w:r w:rsidR="009B1FFC" w:rsidRPr="009B1FFC">
        <w:t>beth-holmes-thera</w:t>
      </w:r>
      <w:r w:rsidR="009B1FFC" w:rsidRPr="009B1FFC">
        <w:rPr>
          <w:rFonts w:ascii="Times New Roman" w:hAnsi="Times New Roman" w:cs="Times New Roman"/>
        </w:rPr>
        <w:t>​</w:t>
      </w:r>
      <w:r w:rsidR="009B1FFC" w:rsidRPr="009B1FFC">
        <w:t>nos-trial-law</w:t>
      </w:r>
      <w:r w:rsidR="009B1FFC" w:rsidRPr="009B1FFC">
        <w:rPr>
          <w:rFonts w:ascii="Times New Roman" w:hAnsi="Times New Roman" w:cs="Times New Roman"/>
        </w:rPr>
        <w:t>​</w:t>
      </w:r>
      <w:r w:rsidR="009B1FFC" w:rsidRPr="009B1FFC">
        <w:t>yers-re</w:t>
      </w:r>
      <w:r w:rsidR="009B1FFC" w:rsidRPr="009B1FFC">
        <w:rPr>
          <w:rFonts w:ascii="Times New Roman" w:hAnsi="Times New Roman" w:cs="Times New Roman"/>
        </w:rPr>
        <w:t>​</w:t>
      </w:r>
      <w:r w:rsidR="009B1FFC" w:rsidRPr="009B1FFC">
        <w:t>quest-jurors-be-quizzed-on-her-celebrity.html</w:t>
      </w:r>
      <w:r w:rsidR="009B1FFC">
        <w:t xml:space="preserve"> (between half and two thirds of seats at former Theranos CEO Elizabeth Holmes’s fraud trial were reserved for press).</w:t>
      </w:r>
    </w:p>
  </w:footnote>
  <w:footnote w:id="63">
    <w:p w14:paraId="081D8C8A" w14:textId="41C9A68C" w:rsidR="009B1FFC" w:rsidRDefault="009B1FFC">
      <w:pPr>
        <w:pStyle w:val="FootnoteText"/>
      </w:pPr>
      <w:r>
        <w:rPr>
          <w:rStyle w:val="FootnoteReference"/>
        </w:rPr>
        <w:footnoteRef/>
      </w:r>
      <w:r>
        <w:t xml:space="preserve"> </w:t>
      </w:r>
      <w:r w:rsidRPr="00801533">
        <w:t>448 U.S. 555 (1980)</w:t>
      </w:r>
      <w:r>
        <w:t>.</w:t>
      </w:r>
    </w:p>
  </w:footnote>
  <w:footnote w:id="64">
    <w:p w14:paraId="5C63835B" w14:textId="21EB3CC0" w:rsidR="00C230B3" w:rsidRPr="00801533" w:rsidRDefault="00C230B3" w:rsidP="00C230B3">
      <w:pPr>
        <w:pStyle w:val="FootnoteText"/>
      </w:pPr>
      <w:r w:rsidRPr="00801533">
        <w:rPr>
          <w:rStyle w:val="FootnoteReference"/>
        </w:rPr>
        <w:footnoteRef/>
      </w:r>
      <w:r w:rsidRPr="00C230B3">
        <w:t xml:space="preserve"> </w:t>
      </w:r>
      <w:r w:rsidRPr="00801533">
        <w:rPr>
          <w:i/>
          <w:iCs/>
        </w:rPr>
        <w:t>Id.</w:t>
      </w:r>
      <w:r w:rsidRPr="00801533">
        <w:t xml:space="preserve"> at 56</w:t>
      </w:r>
      <w:r>
        <w:t>8</w:t>
      </w:r>
      <w:r w:rsidRPr="00801533">
        <w:t>–73</w:t>
      </w:r>
      <w:r>
        <w:t xml:space="preserve"> (plurality opinion)</w:t>
      </w:r>
      <w:r w:rsidRPr="00801533">
        <w:t xml:space="preserve"> (quoting 1 </w:t>
      </w:r>
      <w:r w:rsidRPr="00801533">
        <w:rPr>
          <w:smallCaps/>
        </w:rPr>
        <w:t>Jeremy Bentham, Rationale of Judicial Evidence</w:t>
      </w:r>
      <w:r w:rsidRPr="00801533">
        <w:t xml:space="preserve"> 524 (1827), and 6 </w:t>
      </w:r>
      <w:r w:rsidRPr="00801533">
        <w:rPr>
          <w:smallCaps/>
        </w:rPr>
        <w:t>John Henry Wigmore, Evidence</w:t>
      </w:r>
      <w:r w:rsidRPr="00801533">
        <w:t xml:space="preserve"> § 1834 (J. Chadbourn ed. 1976)).</w:t>
      </w:r>
    </w:p>
  </w:footnote>
  <w:footnote w:id="65">
    <w:p w14:paraId="1FCD7FAC" w14:textId="60E0EDFD" w:rsidR="00D55811" w:rsidRPr="00801533" w:rsidRDefault="00D55811" w:rsidP="00D55811">
      <w:pPr>
        <w:pStyle w:val="FootnoteText"/>
      </w:pPr>
      <w:r w:rsidRPr="00801533">
        <w:rPr>
          <w:rStyle w:val="FootnoteReference"/>
        </w:rPr>
        <w:footnoteRef/>
      </w:r>
      <w:r w:rsidR="00221A8B" w:rsidRPr="00221A8B">
        <w:rPr>
          <w:i/>
          <w:iCs/>
        </w:rPr>
        <w:t xml:space="preserve"> </w:t>
      </w:r>
      <w:r w:rsidRPr="00801533">
        <w:rPr>
          <w:i/>
          <w:iCs/>
        </w:rPr>
        <w:t>Id.</w:t>
      </w:r>
      <w:r w:rsidRPr="00801533">
        <w:t xml:space="preserve"> at 57</w:t>
      </w:r>
      <w:r w:rsidR="00221A8B">
        <w:t>5–7</w:t>
      </w:r>
      <w:r w:rsidRPr="00801533">
        <w:t>6.</w:t>
      </w:r>
    </w:p>
  </w:footnote>
  <w:footnote w:id="66">
    <w:p w14:paraId="2C69FFDC" w14:textId="23DC36F9" w:rsidR="00221A8B" w:rsidRDefault="00221A8B">
      <w:pPr>
        <w:pStyle w:val="FootnoteText"/>
      </w:pPr>
      <w:r>
        <w:rPr>
          <w:rStyle w:val="FootnoteReference"/>
        </w:rPr>
        <w:footnoteRef/>
      </w:r>
      <w:r>
        <w:t xml:space="preserve"> </w:t>
      </w:r>
      <w:r w:rsidRPr="00221A8B">
        <w:rPr>
          <w:i/>
          <w:iCs/>
        </w:rPr>
        <w:t>Id.</w:t>
      </w:r>
      <w:r>
        <w:t xml:space="preserve"> at </w:t>
      </w:r>
      <w:r w:rsidRPr="00801533">
        <w:t>582 (Stevens, J., concurring).</w:t>
      </w:r>
    </w:p>
  </w:footnote>
  <w:footnote w:id="67">
    <w:p w14:paraId="1EB7AD17" w14:textId="0BE2C153" w:rsidR="00221A8B" w:rsidRDefault="00221A8B">
      <w:pPr>
        <w:pStyle w:val="FootnoteText"/>
      </w:pPr>
      <w:r>
        <w:rPr>
          <w:rStyle w:val="FootnoteReference"/>
        </w:rPr>
        <w:footnoteRef/>
      </w:r>
      <w:r>
        <w:t xml:space="preserve"> </w:t>
      </w:r>
      <w:r w:rsidRPr="00801533">
        <w:t>427 U.S. 539 (1976).</w:t>
      </w:r>
    </w:p>
  </w:footnote>
  <w:footnote w:id="68">
    <w:p w14:paraId="2A08502F" w14:textId="1FE78C35" w:rsidR="00221A8B" w:rsidRPr="00801533" w:rsidRDefault="00221A8B" w:rsidP="00221A8B">
      <w:pPr>
        <w:pStyle w:val="FootnoteText"/>
      </w:pPr>
      <w:r w:rsidRPr="00801533">
        <w:rPr>
          <w:rStyle w:val="FootnoteReference"/>
        </w:rPr>
        <w:footnoteRef/>
      </w:r>
      <w:r w:rsidR="00967531">
        <w:t xml:space="preserve"> </w:t>
      </w:r>
      <w:r w:rsidRPr="00801533">
        <w:t>427 U.S. 539 (1976).</w:t>
      </w:r>
    </w:p>
  </w:footnote>
  <w:footnote w:id="69">
    <w:p w14:paraId="5848B0EB" w14:textId="16DFEB34" w:rsidR="00967531" w:rsidRPr="00801533" w:rsidRDefault="00967531" w:rsidP="00967531">
      <w:pPr>
        <w:pStyle w:val="FootnoteText"/>
      </w:pPr>
      <w:r w:rsidRPr="00801533">
        <w:rPr>
          <w:rStyle w:val="FootnoteReference"/>
        </w:rPr>
        <w:footnoteRef/>
      </w:r>
      <w:r w:rsidRPr="00967531">
        <w:t xml:space="preserve"> </w:t>
      </w:r>
      <w:r>
        <w:rPr>
          <w:i/>
        </w:rPr>
        <w:t>Id.</w:t>
      </w:r>
      <w:r w:rsidRPr="00801533">
        <w:t xml:space="preserve"> </w:t>
      </w:r>
      <w:r>
        <w:t xml:space="preserve">at </w:t>
      </w:r>
      <w:r w:rsidRPr="00801533">
        <w:t>55</w:t>
      </w:r>
      <w:r>
        <w:t>9</w:t>
      </w:r>
      <w:r w:rsidRPr="00801533">
        <w:t>.</w:t>
      </w:r>
    </w:p>
  </w:footnote>
  <w:footnote w:id="70">
    <w:p w14:paraId="7E9447FF" w14:textId="7B3FDDCA" w:rsidR="009807CF" w:rsidRDefault="009807CF">
      <w:pPr>
        <w:pStyle w:val="FootnoteText"/>
      </w:pPr>
      <w:r>
        <w:rPr>
          <w:rStyle w:val="FootnoteReference"/>
        </w:rPr>
        <w:footnoteRef/>
      </w:r>
      <w:r>
        <w:t xml:space="preserve"> </w:t>
      </w:r>
      <w:r w:rsidRPr="00801533">
        <w:rPr>
          <w:smallCaps/>
        </w:rPr>
        <w:t>Farber</w:t>
      </w:r>
      <w:r w:rsidRPr="00801533">
        <w:t xml:space="preserve">, </w:t>
      </w:r>
      <w:r w:rsidRPr="00801533">
        <w:rPr>
          <w:i/>
          <w:iCs/>
        </w:rPr>
        <w:t>supra</w:t>
      </w:r>
      <w:r w:rsidRPr="00801533">
        <w:t xml:space="preserve"> note </w:t>
      </w:r>
      <w:r>
        <w:fldChar w:fldCharType="begin"/>
      </w:r>
      <w:r>
        <w:instrText xml:space="preserve"> NOTEREF _Ref212921262 \h </w:instrText>
      </w:r>
      <w:r>
        <w:fldChar w:fldCharType="separate"/>
      </w:r>
      <w:r w:rsidR="00064C93">
        <w:t>7</w:t>
      </w:r>
      <w:r>
        <w:fldChar w:fldCharType="end"/>
      </w:r>
      <w:r w:rsidRPr="00801533">
        <w:t>, at 234.</w:t>
      </w:r>
    </w:p>
  </w:footnote>
  <w:footnote w:id="71">
    <w:p w14:paraId="4EE5778D" w14:textId="77777777" w:rsidR="004B1F60" w:rsidRDefault="004B1F60" w:rsidP="004B1F60">
      <w:pPr>
        <w:pStyle w:val="FootnoteText"/>
      </w:pPr>
      <w:r>
        <w:rPr>
          <w:rStyle w:val="FootnoteReference"/>
        </w:rPr>
        <w:footnoteRef/>
      </w:r>
      <w:r>
        <w:t xml:space="preserve"> </w:t>
      </w:r>
      <w:r w:rsidRPr="00801533">
        <w:t>501 U.S. 1030 (1991)</w:t>
      </w:r>
    </w:p>
  </w:footnote>
  <w:footnote w:id="72">
    <w:p w14:paraId="3EBCB9C4" w14:textId="70FB2DFB" w:rsidR="004B1F60" w:rsidRDefault="004B1F60">
      <w:pPr>
        <w:pStyle w:val="FootnoteText"/>
      </w:pPr>
      <w:r>
        <w:rPr>
          <w:rStyle w:val="FootnoteReference"/>
        </w:rPr>
        <w:footnoteRef/>
      </w:r>
      <w:r>
        <w:t xml:space="preserve"> </w:t>
      </w:r>
      <w:r w:rsidRPr="004B1F60">
        <w:rPr>
          <w:i/>
          <w:iCs/>
        </w:rPr>
        <w:t>Id.</w:t>
      </w:r>
      <w:r>
        <w:t xml:space="preserve"> at 1033.</w:t>
      </w:r>
    </w:p>
  </w:footnote>
  <w:footnote w:id="73">
    <w:p w14:paraId="183E47DE" w14:textId="276B62E2" w:rsidR="004B1F60" w:rsidRPr="00801533" w:rsidRDefault="004B1F60" w:rsidP="004B1F60">
      <w:pPr>
        <w:pStyle w:val="FootnoteText"/>
      </w:pPr>
      <w:r w:rsidRPr="00801533">
        <w:rPr>
          <w:rStyle w:val="FootnoteReference"/>
        </w:rPr>
        <w:footnoteRef/>
      </w:r>
      <w:r w:rsidR="007C1283" w:rsidRPr="007C1283">
        <w:t xml:space="preserve"> </w:t>
      </w:r>
      <w:r w:rsidRPr="00801533">
        <w:rPr>
          <w:i/>
          <w:iCs/>
        </w:rPr>
        <w:t>Id.</w:t>
      </w:r>
      <w:r w:rsidRPr="00801533">
        <w:t xml:space="preserve"> at 1070.</w:t>
      </w:r>
    </w:p>
  </w:footnote>
  <w:footnote w:id="74">
    <w:p w14:paraId="7298712D" w14:textId="31DF5E8C" w:rsidR="004B1F60" w:rsidRDefault="004B1F60">
      <w:pPr>
        <w:pStyle w:val="FootnoteText"/>
      </w:pPr>
      <w:r>
        <w:rPr>
          <w:rStyle w:val="FootnoteReference"/>
        </w:rPr>
        <w:footnoteRef/>
      </w:r>
      <w:r>
        <w:t xml:space="preserve"> </w:t>
      </w:r>
      <w:r w:rsidR="007C1283" w:rsidRPr="00801533">
        <w:rPr>
          <w:i/>
          <w:iCs/>
        </w:rPr>
        <w:t>Id.</w:t>
      </w:r>
      <w:r w:rsidR="007C1283" w:rsidRPr="00801533">
        <w:t xml:space="preserve"> at 1070–71.</w:t>
      </w:r>
    </w:p>
  </w:footnote>
  <w:footnote w:id="75">
    <w:p w14:paraId="10E744B2" w14:textId="117847EF" w:rsidR="00925DA2" w:rsidRPr="00925DA2" w:rsidRDefault="00925DA2">
      <w:pPr>
        <w:pStyle w:val="FootnoteText"/>
      </w:pPr>
      <w:r>
        <w:rPr>
          <w:rStyle w:val="FootnoteReference"/>
        </w:rPr>
        <w:footnoteRef/>
      </w:r>
      <w:r>
        <w:t xml:space="preserve"> </w:t>
      </w:r>
      <w:r w:rsidRPr="00E678A4">
        <w:t>Minneapolis Star &amp; Tribune Co. v. Minn. Comm’r of Revenue</w:t>
      </w:r>
      <w:r w:rsidRPr="00801533">
        <w:t>, 460 U.S. 575, 583–85</w:t>
      </w:r>
      <w:r>
        <w:t xml:space="preserve">, </w:t>
      </w:r>
      <w:r w:rsidRPr="00801533">
        <w:t>592–93 (1983)</w:t>
      </w:r>
      <w:r>
        <w:t xml:space="preserve"> (striking down tax</w:t>
      </w:r>
      <w:r w:rsidR="00065421">
        <w:t xml:space="preserve"> targeting newspaper</w:t>
      </w:r>
      <w:r>
        <w:t xml:space="preserve">); </w:t>
      </w:r>
      <w:r w:rsidRPr="00925DA2">
        <w:t>Grosjean v. American Press Co., 297 U.S. 233, 240–41</w:t>
      </w:r>
      <w:r>
        <w:t>, 251</w:t>
      </w:r>
      <w:r w:rsidRPr="00925DA2">
        <w:t xml:space="preserve"> (1936)</w:t>
      </w:r>
      <w:r>
        <w:t xml:space="preserve"> (same).</w:t>
      </w:r>
    </w:p>
  </w:footnote>
  <w:footnote w:id="76">
    <w:p w14:paraId="031E50EF" w14:textId="039E4EC6" w:rsidR="00065421" w:rsidRDefault="00065421">
      <w:pPr>
        <w:pStyle w:val="FootnoteText"/>
      </w:pPr>
      <w:r>
        <w:rPr>
          <w:rStyle w:val="FootnoteReference"/>
        </w:rPr>
        <w:footnoteRef/>
      </w:r>
      <w:r>
        <w:t xml:space="preserve"> </w:t>
      </w:r>
      <w:r w:rsidRPr="00801533">
        <w:t>408 U.S. 665 (1972).</w:t>
      </w:r>
    </w:p>
  </w:footnote>
  <w:footnote w:id="77">
    <w:p w14:paraId="5EEACF11" w14:textId="2DC06064" w:rsidR="00065421" w:rsidRDefault="00065421">
      <w:pPr>
        <w:pStyle w:val="FootnoteText"/>
      </w:pPr>
      <w:r>
        <w:rPr>
          <w:rStyle w:val="FootnoteReference"/>
        </w:rPr>
        <w:footnoteRef/>
      </w:r>
      <w:r>
        <w:t xml:space="preserve"> </w:t>
      </w:r>
      <w:r w:rsidRPr="00065421">
        <w:rPr>
          <w:i/>
          <w:iCs/>
        </w:rPr>
        <w:t>Id.</w:t>
      </w:r>
      <w:r>
        <w:t xml:space="preserve"> at 70</w:t>
      </w:r>
      <w:r w:rsidR="0075254F">
        <w:t>2</w:t>
      </w:r>
      <w:r>
        <w:t>–04.</w:t>
      </w:r>
    </w:p>
  </w:footnote>
  <w:footnote w:id="78">
    <w:p w14:paraId="050D3466" w14:textId="47A404BF" w:rsidR="0075254F" w:rsidRDefault="0075254F">
      <w:pPr>
        <w:pStyle w:val="FootnoteText"/>
      </w:pPr>
      <w:r>
        <w:rPr>
          <w:rStyle w:val="FootnoteReference"/>
        </w:rPr>
        <w:footnoteRef/>
      </w:r>
      <w:r>
        <w:t xml:space="preserve"> </w:t>
      </w:r>
      <w:r w:rsidRPr="00065421">
        <w:rPr>
          <w:i/>
          <w:iCs/>
        </w:rPr>
        <w:t>Id.</w:t>
      </w:r>
      <w:r>
        <w:t xml:space="preserve"> at 703–04.</w:t>
      </w:r>
    </w:p>
  </w:footnote>
  <w:footnote w:id="79">
    <w:p w14:paraId="74D04255" w14:textId="301A4A38" w:rsidR="006B53EA" w:rsidRDefault="006B53EA">
      <w:pPr>
        <w:pStyle w:val="FootnoteText"/>
      </w:pPr>
      <w:r>
        <w:rPr>
          <w:rStyle w:val="FootnoteReference"/>
        </w:rPr>
        <w:footnoteRef/>
      </w:r>
      <w:r>
        <w:t xml:space="preserve"> </w:t>
      </w:r>
      <w:r w:rsidR="0075254F" w:rsidRPr="0075254F">
        <w:rPr>
          <w:i/>
          <w:iCs/>
        </w:rPr>
        <w:t>Id.</w:t>
      </w:r>
      <w:r w:rsidR="0075254F">
        <w:t xml:space="preserve"> at 704.</w:t>
      </w:r>
    </w:p>
  </w:footnote>
  <w:footnote w:id="80">
    <w:p w14:paraId="2023DCD7" w14:textId="28D89C0D" w:rsidR="006B53EA" w:rsidRPr="00801533" w:rsidRDefault="006B53EA" w:rsidP="006B53EA">
      <w:pPr>
        <w:pStyle w:val="FootnoteText"/>
      </w:pPr>
      <w:r w:rsidRPr="00801533">
        <w:rPr>
          <w:rStyle w:val="FootnoteReference"/>
        </w:rPr>
        <w:footnoteRef/>
      </w:r>
      <w:r w:rsidR="00F7471E" w:rsidRPr="00F7471E">
        <w:t xml:space="preserve"> </w:t>
      </w:r>
      <w:r w:rsidRPr="00801533">
        <w:rPr>
          <w:i/>
          <w:iCs/>
        </w:rPr>
        <w:t>Id.</w:t>
      </w:r>
      <w:r w:rsidRPr="00801533">
        <w:t xml:space="preserve"> at 703–04.</w:t>
      </w:r>
    </w:p>
  </w:footnote>
  <w:footnote w:id="81">
    <w:p w14:paraId="1ADBEC30" w14:textId="4FE4DD34" w:rsidR="006B53EA" w:rsidRPr="00801533" w:rsidRDefault="006B53EA" w:rsidP="006B53EA">
      <w:pPr>
        <w:pStyle w:val="FootnoteText"/>
      </w:pPr>
      <w:r w:rsidRPr="00801533">
        <w:rPr>
          <w:rStyle w:val="FootnoteReference"/>
        </w:rPr>
        <w:footnoteRef/>
      </w:r>
      <w:r w:rsidR="00F7471E" w:rsidRPr="00F7471E">
        <w:t xml:space="preserve"> </w:t>
      </w:r>
      <w:r w:rsidRPr="00801533">
        <w:rPr>
          <w:i/>
          <w:iCs/>
        </w:rPr>
        <w:t>Id.</w:t>
      </w:r>
    </w:p>
  </w:footnote>
  <w:footnote w:id="82">
    <w:p w14:paraId="4BAE899C" w14:textId="211ACD10" w:rsidR="00F7471E" w:rsidRDefault="00F7471E">
      <w:pPr>
        <w:pStyle w:val="FootnoteText"/>
      </w:pPr>
      <w:r>
        <w:rPr>
          <w:rStyle w:val="FootnoteReference"/>
        </w:rPr>
        <w:footnoteRef/>
      </w:r>
      <w:r>
        <w:t xml:space="preserve"> </w:t>
      </w:r>
      <w:r w:rsidR="007E52A9" w:rsidRPr="007E52A9">
        <w:rPr>
          <w:i/>
          <w:iCs/>
        </w:rPr>
        <w:t>Id.</w:t>
      </w:r>
      <w:r w:rsidR="007E52A9">
        <w:t xml:space="preserve"> at </w:t>
      </w:r>
      <w:r w:rsidR="007E52A9" w:rsidRPr="00801533">
        <w:t>709 (Powell, J., concurring)</w:t>
      </w:r>
      <w:r w:rsidR="007E52A9">
        <w:t>.</w:t>
      </w:r>
    </w:p>
  </w:footnote>
  <w:footnote w:id="83">
    <w:p w14:paraId="15C5E187" w14:textId="03A8082C" w:rsidR="007E52A9" w:rsidRDefault="007E52A9">
      <w:pPr>
        <w:pStyle w:val="FootnoteText"/>
      </w:pPr>
      <w:r>
        <w:rPr>
          <w:rStyle w:val="FootnoteReference"/>
        </w:rPr>
        <w:footnoteRef/>
      </w:r>
      <w:r>
        <w:t xml:space="preserve"> </w:t>
      </w:r>
      <w:r w:rsidRPr="007E52A9">
        <w:rPr>
          <w:i/>
          <w:iCs/>
        </w:rPr>
        <w:t>Id.</w:t>
      </w:r>
      <w:r>
        <w:t xml:space="preserve"> at 709–10.</w:t>
      </w:r>
    </w:p>
  </w:footnote>
  <w:footnote w:id="84">
    <w:p w14:paraId="7E1FD80A" w14:textId="302081DA" w:rsidR="007E52A9" w:rsidRDefault="007E52A9">
      <w:pPr>
        <w:pStyle w:val="FootnoteText"/>
      </w:pPr>
      <w:r>
        <w:rPr>
          <w:rStyle w:val="FootnoteReference"/>
        </w:rPr>
        <w:footnoteRef/>
      </w:r>
      <w:r>
        <w:t xml:space="preserve"> </w:t>
      </w:r>
      <w:r w:rsidRPr="007E52A9">
        <w:rPr>
          <w:i/>
          <w:iCs/>
        </w:rPr>
        <w:t>Id.</w:t>
      </w:r>
      <w:r>
        <w:t xml:space="preserve"> at 710.</w:t>
      </w:r>
    </w:p>
  </w:footnote>
  <w:footnote w:id="85">
    <w:p w14:paraId="3E09D18D" w14:textId="33DCE873" w:rsidR="00EF1233" w:rsidRPr="00A37886" w:rsidRDefault="00EF1233" w:rsidP="00EF1233">
      <w:pPr>
        <w:pStyle w:val="FootnoteText"/>
      </w:pPr>
      <w:r w:rsidRPr="00801533">
        <w:rPr>
          <w:rStyle w:val="FootnoteReference"/>
        </w:rPr>
        <w:footnoteRef/>
      </w:r>
      <w:r>
        <w:t xml:space="preserve"> </w:t>
      </w:r>
      <w:r w:rsidRPr="00801533">
        <w:t xml:space="preserve">Rodney A. Smolla, </w:t>
      </w:r>
      <w:r w:rsidRPr="00801533">
        <w:rPr>
          <w:i/>
          <w:iCs/>
        </w:rPr>
        <w:t>Information as Contraband: The First Amendment and Liability for Trafficking in Speech</w:t>
      </w:r>
      <w:r w:rsidRPr="00801533">
        <w:t xml:space="preserve">, 96 </w:t>
      </w:r>
      <w:r w:rsidRPr="00801533">
        <w:rPr>
          <w:smallCaps/>
        </w:rPr>
        <w:t>Nw. U. L. Rev.</w:t>
      </w:r>
      <w:r w:rsidRPr="00801533">
        <w:t xml:space="preserve"> 1099, 1115–16 (2002).</w:t>
      </w:r>
      <w:r>
        <w:t xml:space="preserve">  </w:t>
      </w:r>
      <w:r w:rsidRPr="00EF1233">
        <w:rPr>
          <w:i/>
          <w:iCs/>
        </w:rPr>
        <w:t>See, e.g.</w:t>
      </w:r>
      <w:r>
        <w:t xml:space="preserve">, </w:t>
      </w:r>
      <w:r w:rsidRPr="006E3DDF">
        <w:t>In re Grand Jury Matter (Gronowicz), 764 F.2d 983, 990 n.2 (3d Cir. 1985); In re Grand Jury 87-3 Subpoena Duces Tecum, 955 F.2d 229, 234 (4th Cir. 1992); United States v. Smith, 135 F.3d 963, 968–69 (5th Cir. 1998); Farr v. Pitchess,</w:t>
      </w:r>
      <w:r w:rsidRPr="00801533">
        <w:t xml:space="preserve"> 522 F.2d 464, 467 (9th Cir. 1975))</w:t>
      </w:r>
      <w:r>
        <w:t>;</w:t>
      </w:r>
      <w:r w:rsidR="00212587">
        <w:t xml:space="preserve"> </w:t>
      </w:r>
      <w:r w:rsidR="00212587" w:rsidRPr="00212587">
        <w:rPr>
          <w:i/>
          <w:iCs/>
        </w:rPr>
        <w:t>see also</w:t>
      </w:r>
      <w:r w:rsidR="00212587">
        <w:t xml:space="preserve"> </w:t>
      </w:r>
      <w:r w:rsidRPr="00801533">
        <w:rPr>
          <w:smallCaps/>
        </w:rPr>
        <w:t>Farber</w:t>
      </w:r>
      <w:r w:rsidRPr="00801533">
        <w:t xml:space="preserve">, </w:t>
      </w:r>
      <w:r w:rsidRPr="00801533">
        <w:rPr>
          <w:i/>
          <w:iCs/>
        </w:rPr>
        <w:t>supra</w:t>
      </w:r>
      <w:r w:rsidRPr="00801533">
        <w:t xml:space="preserve"> note </w:t>
      </w:r>
      <w:r>
        <w:fldChar w:fldCharType="begin"/>
      </w:r>
      <w:r>
        <w:instrText xml:space="preserve"> NOTEREF _Ref212921262 \h </w:instrText>
      </w:r>
      <w:r>
        <w:fldChar w:fldCharType="separate"/>
      </w:r>
      <w:r w:rsidR="00064C93">
        <w:t>7</w:t>
      </w:r>
      <w:r>
        <w:fldChar w:fldCharType="end"/>
      </w:r>
      <w:r w:rsidRPr="00801533">
        <w:t xml:space="preserve"> at 231</w:t>
      </w:r>
      <w:r w:rsidR="00212587">
        <w:t xml:space="preserve"> (“Some lower courts have viewed Powell’s balancing test as the controlling law.”)</w:t>
      </w:r>
      <w:r>
        <w:t xml:space="preserve">.  </w:t>
      </w:r>
      <w:r w:rsidRPr="00EF1233">
        <w:rPr>
          <w:i/>
          <w:iCs/>
        </w:rPr>
        <w:t>But see</w:t>
      </w:r>
      <w:r>
        <w:t xml:space="preserve"> </w:t>
      </w:r>
      <w:r w:rsidRPr="00801533">
        <w:t xml:space="preserve">Sonja R. West, </w:t>
      </w:r>
      <w:r w:rsidRPr="00801533">
        <w:rPr>
          <w:i/>
          <w:iCs/>
        </w:rPr>
        <w:t>Concurring in Part &amp; Concurring in the Confusion</w:t>
      </w:r>
      <w:r w:rsidRPr="00801533">
        <w:t xml:space="preserve">, 104 </w:t>
      </w:r>
      <w:r w:rsidRPr="00801533">
        <w:rPr>
          <w:smallCaps/>
        </w:rPr>
        <w:t>Mich. L. Rev.</w:t>
      </w:r>
      <w:r w:rsidRPr="00801533">
        <w:t xml:space="preserve"> 1951, 195</w:t>
      </w:r>
      <w:r>
        <w:t>2</w:t>
      </w:r>
      <w:r w:rsidRPr="00801533">
        <w:t xml:space="preserve"> (2006)</w:t>
      </w:r>
      <w:r w:rsidR="00212587">
        <w:t xml:space="preserve"> (arguing that Powell’s labeling his opinion a “concurrence” rather than a “concurrence in the judgment” suspended the operation of the </w:t>
      </w:r>
      <w:r w:rsidR="00212587" w:rsidRPr="00212587">
        <w:rPr>
          <w:i/>
          <w:iCs/>
        </w:rPr>
        <w:t>Marks</w:t>
      </w:r>
      <w:r w:rsidR="00212587">
        <w:t xml:space="preserve"> rule)</w:t>
      </w:r>
      <w:r>
        <w:t>.</w:t>
      </w:r>
    </w:p>
  </w:footnote>
  <w:footnote w:id="86">
    <w:p w14:paraId="656D550C" w14:textId="0E89FDC5" w:rsidR="00665ED7" w:rsidRPr="00801533" w:rsidRDefault="00665ED7" w:rsidP="00665ED7">
      <w:pPr>
        <w:pStyle w:val="FootnoteText"/>
      </w:pPr>
      <w:r w:rsidRPr="00801533">
        <w:rPr>
          <w:rStyle w:val="FootnoteReference"/>
        </w:rPr>
        <w:footnoteRef/>
      </w:r>
      <w:r>
        <w:t xml:space="preserve"> </w:t>
      </w:r>
      <w:r w:rsidRPr="006E3DDF">
        <w:t>Cusumano v. Microsoft Corp., 162 F.3d 708, 715 (1st Cir. 1998); Baker v. F &amp; F Inv., 470 F.2d 778, 785 (2d Cir. 1972); Riley v. Chester, 612 F.2d 708, 715 (3d Cir. 1979); La Rouche v. Nat’l Broad. Co., 780 F.2d 1134, 1139 (4th Cir. 1986); Miller v. Transam. Press, Inc., 621 F.2d 721, 725, as modified, 628 F.2d 932 (5th Cir. 1980); NLRB v. Midland Daily News, 151 F.3d 472, 475 (6th Cir. 1998); Cervantes v. Time, Inc., 464 F.2d 986, 993 (8th Cir. 1972); Shoen v. Shoen (</w:t>
      </w:r>
      <w:r w:rsidRPr="006E3DDF">
        <w:rPr>
          <w:i/>
          <w:iCs/>
        </w:rPr>
        <w:t>Shoen</w:t>
      </w:r>
      <w:r>
        <w:rPr>
          <w:i/>
          <w:iCs/>
        </w:rPr>
        <w:t> </w:t>
      </w:r>
      <w:r w:rsidRPr="006E3DDF">
        <w:rPr>
          <w:i/>
          <w:iCs/>
        </w:rPr>
        <w:t>II</w:t>
      </w:r>
      <w:r w:rsidRPr="006E3DDF">
        <w:t>), 48 F.3d 412, 416 (9th Cir. 1995); Silkwood v. Kerr-McGee Corp., 563 F.2d 433, 438 (10th Cir. 1977); United States v. Caporale, 806 F.2d 1487, 1504 (11th Cir. 1986); Zerilli v. Smith, 656 F.2d 705, 714 (D.C. Cir. 1981</w:t>
      </w:r>
      <w:r w:rsidRPr="00801533">
        <w:t xml:space="preserve">).  </w:t>
      </w:r>
      <w:r w:rsidRPr="00801533">
        <w:rPr>
          <w:i/>
          <w:iCs/>
        </w:rPr>
        <w:t>But see</w:t>
      </w:r>
      <w:r w:rsidRPr="00801533">
        <w:t xml:space="preserve"> </w:t>
      </w:r>
      <w:proofErr w:type="gramStart"/>
      <w:r w:rsidRPr="006E3DDF">
        <w:t>In</w:t>
      </w:r>
      <w:proofErr w:type="gramEnd"/>
      <w:r w:rsidRPr="006E3DDF">
        <w:t xml:space="preserve"> re Grand Jury Subpoena Duces Tecum, 112 F.3d 910, 918 n.8 (8th Cir. 1997) (repo</w:t>
      </w:r>
      <w:r w:rsidRPr="00801533">
        <w:t>rter’s privilege “is an open [question] in this circuit”).</w:t>
      </w:r>
    </w:p>
  </w:footnote>
  <w:footnote w:id="87">
    <w:p w14:paraId="27C88206" w14:textId="3F084D16" w:rsidR="0052228B" w:rsidRPr="003B2F79" w:rsidRDefault="0052228B" w:rsidP="0052228B">
      <w:pPr>
        <w:pStyle w:val="FootnoteText"/>
      </w:pPr>
      <w:r w:rsidRPr="003B2F79">
        <w:rPr>
          <w:rStyle w:val="FootnoteReference"/>
        </w:rPr>
        <w:footnoteRef/>
      </w:r>
      <w:r w:rsidR="006141A7">
        <w:t xml:space="preserve"> </w:t>
      </w:r>
      <w:r w:rsidRPr="003B2F79">
        <w:t xml:space="preserve">Zurcher v. Stanford Daily, 436 U.S. 547, </w:t>
      </w:r>
      <w:r w:rsidR="00BF706E">
        <w:rPr>
          <w:bdr w:val="none" w:sz="0" w:space="0" w:color="auto" w:frame="1"/>
          <w:shd w:val="clear" w:color="auto" w:fill="FFFFFF"/>
        </w:rPr>
        <w:t>564</w:t>
      </w:r>
      <w:r w:rsidR="00BF706E" w:rsidRPr="00801533">
        <w:rPr>
          <w:bdr w:val="none" w:sz="0" w:space="0" w:color="auto" w:frame="1"/>
          <w:shd w:val="clear" w:color="auto" w:fill="FFFFFF"/>
        </w:rPr>
        <w:t xml:space="preserve">, 567–68 </w:t>
      </w:r>
      <w:r w:rsidRPr="003B2F79">
        <w:t>(1978)</w:t>
      </w:r>
      <w:r w:rsidR="00BF706E">
        <w:t>.</w:t>
      </w:r>
    </w:p>
  </w:footnote>
  <w:footnote w:id="88">
    <w:p w14:paraId="0DB0A8D5" w14:textId="2EACF586" w:rsidR="00BF706E" w:rsidRDefault="00BF706E">
      <w:pPr>
        <w:pStyle w:val="FootnoteText"/>
      </w:pPr>
      <w:r>
        <w:rPr>
          <w:rStyle w:val="FootnoteReference"/>
        </w:rPr>
        <w:footnoteRef/>
      </w:r>
      <w:r>
        <w:t xml:space="preserve"> </w:t>
      </w:r>
      <w:r w:rsidRPr="00BF706E">
        <w:rPr>
          <w:i/>
          <w:iCs/>
        </w:rPr>
        <w:t>Id.</w:t>
      </w:r>
      <w:r>
        <w:t xml:space="preserve"> at 550–51.</w:t>
      </w:r>
    </w:p>
  </w:footnote>
  <w:footnote w:id="89">
    <w:p w14:paraId="069CFC5B" w14:textId="5788FB41" w:rsidR="00A66CB2" w:rsidRDefault="00A66CB2">
      <w:pPr>
        <w:pStyle w:val="FootnoteText"/>
      </w:pPr>
      <w:r>
        <w:rPr>
          <w:rStyle w:val="FootnoteReference"/>
        </w:rPr>
        <w:footnoteRef/>
      </w:r>
      <w:r>
        <w:t xml:space="preserve"> </w:t>
      </w:r>
      <w:r w:rsidRPr="00A66CB2">
        <w:rPr>
          <w:i/>
          <w:iCs/>
        </w:rPr>
        <w:t>Id.</w:t>
      </w:r>
      <w:r>
        <w:t xml:space="preserve"> at 554.</w:t>
      </w:r>
    </w:p>
  </w:footnote>
  <w:footnote w:id="90">
    <w:p w14:paraId="0359B41F" w14:textId="1E4F1782" w:rsidR="00A66CB2" w:rsidRPr="00801533" w:rsidRDefault="00A66CB2" w:rsidP="00A66CB2">
      <w:pPr>
        <w:pStyle w:val="FootnoteText"/>
      </w:pPr>
      <w:r w:rsidRPr="00801533">
        <w:rPr>
          <w:rStyle w:val="FootnoteReference"/>
        </w:rPr>
        <w:footnoteRef/>
      </w:r>
      <w:r>
        <w:t xml:space="preserve"> </w:t>
      </w:r>
      <w:r w:rsidRPr="00801533">
        <w:rPr>
          <w:i/>
          <w:iCs/>
        </w:rPr>
        <w:t>Id.</w:t>
      </w:r>
      <w:r w:rsidRPr="00801533">
        <w:t xml:space="preserve"> at 566.</w:t>
      </w:r>
    </w:p>
  </w:footnote>
  <w:footnote w:id="91">
    <w:p w14:paraId="3164B89C" w14:textId="559582C6" w:rsidR="00A66CB2" w:rsidRPr="00801533" w:rsidRDefault="00A66CB2" w:rsidP="00A66CB2">
      <w:pPr>
        <w:pStyle w:val="FootnoteText"/>
      </w:pPr>
      <w:r w:rsidRPr="00801533">
        <w:rPr>
          <w:rStyle w:val="FootnoteReference"/>
        </w:rPr>
        <w:footnoteRef/>
      </w:r>
      <w:r w:rsidR="00E608FE" w:rsidRPr="00E608FE">
        <w:t xml:space="preserve"> </w:t>
      </w:r>
      <w:r w:rsidRPr="00801533">
        <w:rPr>
          <w:i/>
          <w:iCs/>
        </w:rPr>
        <w:t>Id.</w:t>
      </w:r>
      <w:r w:rsidRPr="00801533">
        <w:t xml:space="preserve"> at 564 (quoting </w:t>
      </w:r>
      <w:r w:rsidRPr="006E3DDF">
        <w:rPr>
          <w:bdr w:val="none" w:sz="0" w:space="0" w:color="auto" w:frame="1"/>
          <w:shd w:val="clear" w:color="auto" w:fill="FFFFFF"/>
        </w:rPr>
        <w:t xml:space="preserve">Roaden v. Kentucky, 413 U.S. 496, 501 (1973), and </w:t>
      </w:r>
      <w:r w:rsidRPr="006E3DDF">
        <w:t>Stanford v. Texas</w:t>
      </w:r>
      <w:r w:rsidRPr="00801533">
        <w:t>, 379 U.S. 476, 482 (1965), respectively).</w:t>
      </w:r>
    </w:p>
  </w:footnote>
  <w:footnote w:id="92">
    <w:p w14:paraId="000AF897" w14:textId="2DBFE8C0" w:rsidR="00A66CB2" w:rsidRPr="00801533" w:rsidRDefault="00A66CB2" w:rsidP="00A66CB2">
      <w:pPr>
        <w:pStyle w:val="FootnoteText"/>
      </w:pPr>
      <w:r w:rsidRPr="00801533">
        <w:rPr>
          <w:rStyle w:val="FootnoteReference"/>
        </w:rPr>
        <w:footnoteRef/>
      </w:r>
      <w:r w:rsidR="00E608FE">
        <w:t xml:space="preserve"> </w:t>
      </w:r>
      <w:r w:rsidRPr="00801533">
        <w:rPr>
          <w:i/>
          <w:iCs/>
        </w:rPr>
        <w:t>Id.</w:t>
      </w:r>
    </w:p>
  </w:footnote>
  <w:footnote w:id="93">
    <w:p w14:paraId="5FD3CA69" w14:textId="4FF86E72" w:rsidR="00E608FE" w:rsidRPr="00801533" w:rsidRDefault="00E608FE" w:rsidP="00E608FE">
      <w:pPr>
        <w:pStyle w:val="FootnoteText"/>
      </w:pPr>
      <w:r w:rsidRPr="00801533">
        <w:rPr>
          <w:rStyle w:val="FootnoteReference"/>
        </w:rPr>
        <w:footnoteRef/>
      </w:r>
      <w:r w:rsidRPr="00E608FE">
        <w:t xml:space="preserve"> </w:t>
      </w:r>
      <w:r w:rsidRPr="00801533">
        <w:rPr>
          <w:i/>
          <w:iCs/>
        </w:rPr>
        <w:t>Id.</w:t>
      </w:r>
      <w:r w:rsidRPr="00801533">
        <w:t xml:space="preserve"> at 569–70 (Powell, J., concurring).</w:t>
      </w:r>
    </w:p>
  </w:footnote>
  <w:footnote w:id="94">
    <w:p w14:paraId="6DAF97A3" w14:textId="7CD27B1D" w:rsidR="00A66CB2" w:rsidRPr="00801533" w:rsidRDefault="00A66CB2" w:rsidP="00A66CB2">
      <w:pPr>
        <w:pStyle w:val="FootnoteText"/>
      </w:pPr>
      <w:r w:rsidRPr="00801533">
        <w:rPr>
          <w:rStyle w:val="FootnoteReference"/>
        </w:rPr>
        <w:footnoteRef/>
      </w:r>
      <w:r w:rsidR="00E608FE" w:rsidRPr="00E608FE">
        <w:t xml:space="preserve"> </w:t>
      </w:r>
      <w:r w:rsidRPr="00801533">
        <w:rPr>
          <w:i/>
          <w:iCs/>
        </w:rPr>
        <w:t>See</w:t>
      </w:r>
      <w:r w:rsidRPr="00801533">
        <w:t xml:space="preserve"> </w:t>
      </w:r>
      <w:r w:rsidRPr="00801533">
        <w:rPr>
          <w:i/>
          <w:iCs/>
        </w:rPr>
        <w:t>id.</w:t>
      </w:r>
      <w:r w:rsidRPr="00801533">
        <w:t xml:space="preserve"> at 567–68 (majority opinion). </w:t>
      </w:r>
      <w:r w:rsidR="007F1A94">
        <w:t xml:space="preserve"> </w:t>
      </w:r>
      <w:r w:rsidR="00E608FE">
        <w:rPr>
          <w:bdr w:val="none" w:sz="0" w:space="0" w:color="auto" w:frame="1"/>
          <w:shd w:val="clear" w:color="auto" w:fill="FFFFFF"/>
        </w:rPr>
        <w:t>T</w:t>
      </w:r>
      <w:r w:rsidR="00E608FE" w:rsidRPr="00801533">
        <w:rPr>
          <w:bdr w:val="none" w:sz="0" w:space="0" w:color="auto" w:frame="1"/>
          <w:shd w:val="clear" w:color="auto" w:fill="FFFFFF"/>
        </w:rPr>
        <w:t xml:space="preserve">he specific protections for newsrooms that the Court declined to recognize in </w:t>
      </w:r>
      <w:r w:rsidR="00E608FE" w:rsidRPr="00801533">
        <w:rPr>
          <w:i/>
          <w:iCs/>
          <w:bdr w:val="none" w:sz="0" w:space="0" w:color="auto" w:frame="1"/>
          <w:shd w:val="clear" w:color="auto" w:fill="FFFFFF"/>
        </w:rPr>
        <w:t>Zurcher</w:t>
      </w:r>
      <w:r w:rsidR="00E608FE">
        <w:rPr>
          <w:bdr w:val="none" w:sz="0" w:space="0" w:color="auto" w:frame="1"/>
          <w:shd w:val="clear" w:color="auto" w:fill="FFFFFF"/>
        </w:rPr>
        <w:t xml:space="preserve"> were later provided for by statute in the</w:t>
      </w:r>
      <w:r w:rsidRPr="00801533">
        <w:rPr>
          <w:bdr w:val="none" w:sz="0" w:space="0" w:color="auto" w:frame="1"/>
          <w:shd w:val="clear" w:color="auto" w:fill="FFFFFF"/>
        </w:rPr>
        <w:t xml:space="preserve"> Privacy Protection Act of 1980</w:t>
      </w:r>
      <w:r w:rsidR="00E608FE">
        <w:rPr>
          <w:bdr w:val="none" w:sz="0" w:space="0" w:color="auto" w:frame="1"/>
          <w:shd w:val="clear" w:color="auto" w:fill="FFFFFF"/>
        </w:rPr>
        <w:t>.</w:t>
      </w:r>
      <w:r w:rsidRPr="00801533">
        <w:rPr>
          <w:bdr w:val="none" w:sz="0" w:space="0" w:color="auto" w:frame="1"/>
          <w:shd w:val="clear" w:color="auto" w:fill="FFFFFF"/>
        </w:rPr>
        <w:t xml:space="preserve">  </w:t>
      </w:r>
      <w:r w:rsidRPr="00801533">
        <w:rPr>
          <w:i/>
          <w:iCs/>
          <w:bdr w:val="none" w:sz="0" w:space="0" w:color="auto" w:frame="1"/>
          <w:shd w:val="clear" w:color="auto" w:fill="FFFFFF"/>
        </w:rPr>
        <w:t>See</w:t>
      </w:r>
      <w:r w:rsidRPr="00801533">
        <w:rPr>
          <w:bdr w:val="none" w:sz="0" w:space="0" w:color="auto" w:frame="1"/>
          <w:shd w:val="clear" w:color="auto" w:fill="FFFFFF"/>
        </w:rPr>
        <w:t xml:space="preserve"> </w:t>
      </w:r>
      <w:r w:rsidRPr="00801533">
        <w:t>42 U.S.C. § 2000aa.</w:t>
      </w:r>
    </w:p>
  </w:footnote>
  <w:footnote w:id="95">
    <w:p w14:paraId="741AB82C" w14:textId="3B010469" w:rsidR="002A051A" w:rsidRPr="00801533" w:rsidRDefault="002A051A" w:rsidP="002A051A">
      <w:pPr>
        <w:pStyle w:val="FootnoteText"/>
      </w:pPr>
      <w:r w:rsidRPr="00801533">
        <w:rPr>
          <w:rStyle w:val="FootnoteReference"/>
        </w:rPr>
        <w:footnoteRef/>
      </w:r>
      <w:r w:rsidR="00F752C4">
        <w:t xml:space="preserve"> </w:t>
      </w:r>
      <w:r w:rsidRPr="00801533">
        <w:t>376 U.S. 254 (1964).</w:t>
      </w:r>
    </w:p>
  </w:footnote>
  <w:footnote w:id="96">
    <w:p w14:paraId="10B1D9F4" w14:textId="54939918" w:rsidR="00410372" w:rsidRDefault="00410372">
      <w:pPr>
        <w:pStyle w:val="FootnoteText"/>
      </w:pPr>
      <w:r>
        <w:rPr>
          <w:rStyle w:val="FootnoteReference"/>
        </w:rPr>
        <w:footnoteRef/>
      </w:r>
      <w:r>
        <w:t xml:space="preserve"> </w:t>
      </w:r>
      <w:r w:rsidRPr="00B61AB0">
        <w:rPr>
          <w:i/>
          <w:iCs/>
        </w:rPr>
        <w:t>Id.</w:t>
      </w:r>
      <w:r>
        <w:t xml:space="preserve"> at </w:t>
      </w:r>
      <w:r w:rsidR="00B61AB0">
        <w:t>279–80.</w:t>
      </w:r>
    </w:p>
  </w:footnote>
  <w:footnote w:id="97">
    <w:p w14:paraId="698E648A" w14:textId="10490138" w:rsidR="00BD0A3E" w:rsidRPr="00801533" w:rsidRDefault="00BD0A3E" w:rsidP="00BD0A3E">
      <w:pPr>
        <w:pStyle w:val="FootnoteText"/>
      </w:pPr>
      <w:r w:rsidRPr="00801533">
        <w:rPr>
          <w:rStyle w:val="FootnoteReference"/>
        </w:rPr>
        <w:footnoteRef/>
      </w:r>
      <w:r w:rsidR="00F752C4">
        <w:t xml:space="preserve"> </w:t>
      </w:r>
      <w:r>
        <w:rPr>
          <w:i/>
          <w:iCs/>
        </w:rPr>
        <w:t>Id.</w:t>
      </w:r>
      <w:r w:rsidRPr="00801533">
        <w:t xml:space="preserve"> at 256, 260.</w:t>
      </w:r>
    </w:p>
  </w:footnote>
  <w:footnote w:id="98">
    <w:p w14:paraId="12549438" w14:textId="5AA7D220" w:rsidR="00BD0A3E" w:rsidRPr="00801533" w:rsidRDefault="00BD0A3E" w:rsidP="00BD0A3E">
      <w:pPr>
        <w:pStyle w:val="FootnoteText"/>
      </w:pPr>
      <w:r w:rsidRPr="00801533">
        <w:rPr>
          <w:rStyle w:val="FootnoteReference"/>
        </w:rPr>
        <w:footnoteRef/>
      </w:r>
      <w:r w:rsidR="00F752C4">
        <w:t xml:space="preserve"> </w:t>
      </w:r>
      <w:r w:rsidRPr="00801533">
        <w:rPr>
          <w:i/>
          <w:iCs/>
        </w:rPr>
        <w:t>Id.</w:t>
      </w:r>
      <w:r w:rsidRPr="00801533">
        <w:t xml:space="preserve"> at 25</w:t>
      </w:r>
      <w:r w:rsidR="00F752C4">
        <w:t>6</w:t>
      </w:r>
      <w:r w:rsidRPr="00801533">
        <w:t>–59.</w:t>
      </w:r>
    </w:p>
  </w:footnote>
  <w:footnote w:id="99">
    <w:p w14:paraId="0DF42FE0" w14:textId="4838D507" w:rsidR="00F752C4" w:rsidRPr="00801533" w:rsidRDefault="00F752C4" w:rsidP="00F752C4">
      <w:pPr>
        <w:pStyle w:val="FootnoteText"/>
      </w:pPr>
      <w:r w:rsidRPr="00801533">
        <w:rPr>
          <w:rStyle w:val="FootnoteReference"/>
        </w:rPr>
        <w:footnoteRef/>
      </w:r>
      <w:r w:rsidRPr="00F752C4">
        <w:t xml:space="preserve"> </w:t>
      </w:r>
      <w:r w:rsidRPr="00801533">
        <w:rPr>
          <w:i/>
          <w:iCs/>
        </w:rPr>
        <w:t>Id.</w:t>
      </w:r>
      <w:r w:rsidRPr="00801533">
        <w:t xml:space="preserve"> at 258</w:t>
      </w:r>
      <w:r>
        <w:t>.</w:t>
      </w:r>
    </w:p>
  </w:footnote>
  <w:footnote w:id="100">
    <w:p w14:paraId="6834E6B8" w14:textId="67DDC911" w:rsidR="00F752C4" w:rsidRDefault="00F752C4">
      <w:pPr>
        <w:pStyle w:val="FootnoteText"/>
      </w:pPr>
      <w:r>
        <w:rPr>
          <w:rStyle w:val="FootnoteReference"/>
        </w:rPr>
        <w:footnoteRef/>
      </w:r>
      <w:r>
        <w:t xml:space="preserve"> </w:t>
      </w:r>
      <w:r w:rsidRPr="001617D0">
        <w:rPr>
          <w:i/>
          <w:iCs/>
        </w:rPr>
        <w:t>Id.</w:t>
      </w:r>
      <w:r>
        <w:t xml:space="preserve"> at 256</w:t>
      </w:r>
      <w:r w:rsidR="001617D0">
        <w:t xml:space="preserve">; </w:t>
      </w:r>
      <w:r w:rsidR="001617D0" w:rsidRPr="003B2F79">
        <w:rPr>
          <w:i/>
          <w:iCs/>
        </w:rPr>
        <w:t>see</w:t>
      </w:r>
      <w:r w:rsidR="001617D0" w:rsidRPr="003B2F79">
        <w:t xml:space="preserve"> </w:t>
      </w:r>
      <w:r w:rsidR="001617D0" w:rsidRPr="003B2F79">
        <w:rPr>
          <w:i/>
          <w:iCs/>
        </w:rPr>
        <w:t>Inflation Calculator</w:t>
      </w:r>
      <w:r w:rsidR="001617D0" w:rsidRPr="003B2F79">
        <w:t xml:space="preserve">, </w:t>
      </w:r>
      <w:r w:rsidR="001617D0" w:rsidRPr="003B2F79">
        <w:rPr>
          <w:smallCaps/>
        </w:rPr>
        <w:t>Rom Economics</w:t>
      </w:r>
      <w:r w:rsidR="001617D0" w:rsidRPr="003B2F79">
        <w:t>, https://</w:t>
      </w:r>
      <w:r w:rsidR="001617D0" w:rsidRPr="003B2F79">
        <w:rPr>
          <w:rFonts w:ascii="Times New Roman" w:hAnsi="Times New Roman" w:cs="Times New Roman"/>
        </w:rPr>
        <w:t>​</w:t>
      </w:r>
      <w:r w:rsidR="001617D0" w:rsidRPr="003B2F79">
        <w:t>www.</w:t>
      </w:r>
      <w:r w:rsidR="001617D0" w:rsidRPr="003B2F79">
        <w:rPr>
          <w:rFonts w:ascii="Times New Roman" w:hAnsi="Times New Roman" w:cs="Times New Roman"/>
        </w:rPr>
        <w:t>​</w:t>
      </w:r>
      <w:r w:rsidR="001617D0" w:rsidRPr="003B2F79">
        <w:t>rom</w:t>
      </w:r>
      <w:r w:rsidR="001617D0" w:rsidRPr="003B2F79">
        <w:rPr>
          <w:rFonts w:ascii="Times New Roman" w:hAnsi="Times New Roman" w:cs="Times New Roman"/>
        </w:rPr>
        <w:t>​</w:t>
      </w:r>
      <w:r w:rsidR="001617D0" w:rsidRPr="003B2F79">
        <w:t>econ</w:t>
      </w:r>
      <w:r w:rsidR="001617D0" w:rsidRPr="003B2F79">
        <w:rPr>
          <w:rFonts w:ascii="Times New Roman" w:hAnsi="Times New Roman" w:cs="Times New Roman"/>
        </w:rPr>
        <w:t>​</w:t>
      </w:r>
      <w:r w:rsidR="001617D0" w:rsidRPr="003B2F79">
        <w:t>omics.</w:t>
      </w:r>
      <w:r w:rsidR="001617D0" w:rsidRPr="003B2F79">
        <w:rPr>
          <w:rFonts w:ascii="Times New Roman" w:hAnsi="Times New Roman" w:cs="Times New Roman"/>
        </w:rPr>
        <w:t>​</w:t>
      </w:r>
      <w:r w:rsidR="001617D0" w:rsidRPr="003B2F79">
        <w:t>com/</w:t>
      </w:r>
      <w:r w:rsidR="001617D0" w:rsidRPr="003B2F79">
        <w:rPr>
          <w:rFonts w:ascii="Times New Roman" w:hAnsi="Times New Roman" w:cs="Times New Roman"/>
        </w:rPr>
        <w:t>​</w:t>
      </w:r>
      <w:r w:rsidR="001617D0" w:rsidRPr="003B2F79">
        <w:t xml:space="preserve">calculator/inflation/ (last visited </w:t>
      </w:r>
      <w:r w:rsidR="00CE2771">
        <w:t>Oct. 31</w:t>
      </w:r>
      <w:r w:rsidR="001617D0" w:rsidRPr="003B2F79">
        <w:t>, 2025).</w:t>
      </w:r>
    </w:p>
  </w:footnote>
  <w:footnote w:id="101">
    <w:p w14:paraId="6351B69D" w14:textId="5B553EA1" w:rsidR="00CE2771" w:rsidRPr="00801533" w:rsidRDefault="00CE2771" w:rsidP="00CE2771">
      <w:pPr>
        <w:pStyle w:val="FootnoteText"/>
      </w:pPr>
      <w:r w:rsidRPr="00801533">
        <w:rPr>
          <w:rStyle w:val="FootnoteReference"/>
        </w:rPr>
        <w:footnoteRef/>
      </w:r>
      <w:r>
        <w:t xml:space="preserve"> </w:t>
      </w:r>
      <w:r w:rsidRPr="00801533">
        <w:t xml:space="preserve">Elena Kagan, </w:t>
      </w:r>
      <w:r w:rsidRPr="00801533">
        <w:rPr>
          <w:i/>
          <w:iCs/>
        </w:rPr>
        <w:t xml:space="preserve">A Libel Story: </w:t>
      </w:r>
      <w:r w:rsidRPr="00801533">
        <w:t>Sullivan</w:t>
      </w:r>
      <w:r w:rsidRPr="00801533">
        <w:rPr>
          <w:i/>
          <w:iCs/>
        </w:rPr>
        <w:t xml:space="preserve"> Then and Now</w:t>
      </w:r>
      <w:r w:rsidRPr="00801533">
        <w:t xml:space="preserve">, 18 </w:t>
      </w:r>
      <w:r w:rsidRPr="00D0341E">
        <w:rPr>
          <w:smallCaps/>
        </w:rPr>
        <w:t>L. and Soc. Inquiry</w:t>
      </w:r>
      <w:r w:rsidRPr="00801533">
        <w:t xml:space="preserve"> 197, 20</w:t>
      </w:r>
      <w:r>
        <w:t>0</w:t>
      </w:r>
      <w:r w:rsidRPr="00801533">
        <w:t xml:space="preserve"> (1993) (reviewing </w:t>
      </w:r>
      <w:r w:rsidRPr="00801533">
        <w:rPr>
          <w:smallCaps/>
        </w:rPr>
        <w:t>Anthony Lewis, Make No Law: The Sullivan Case and the First Amendment</w:t>
      </w:r>
      <w:r w:rsidRPr="00801533">
        <w:t xml:space="preserve"> (1991)).</w:t>
      </w:r>
    </w:p>
  </w:footnote>
  <w:footnote w:id="102">
    <w:p w14:paraId="00B63FFB" w14:textId="7AFE63C9" w:rsidR="009151C4" w:rsidRPr="00801533" w:rsidRDefault="009151C4" w:rsidP="009151C4">
      <w:pPr>
        <w:pStyle w:val="FootnoteText"/>
      </w:pPr>
      <w:r w:rsidRPr="00801533">
        <w:rPr>
          <w:rStyle w:val="FootnoteReference"/>
        </w:rPr>
        <w:footnoteRef/>
      </w:r>
      <w:r w:rsidR="00BF63C6">
        <w:rPr>
          <w:i/>
          <w:iCs/>
        </w:rPr>
        <w:t xml:space="preserve"> </w:t>
      </w:r>
      <w:r w:rsidRPr="009151C4">
        <w:rPr>
          <w:i/>
          <w:iCs/>
        </w:rPr>
        <w:t>Id.</w:t>
      </w:r>
    </w:p>
  </w:footnote>
  <w:footnote w:id="103">
    <w:p w14:paraId="52456741" w14:textId="1EA0ECCC" w:rsidR="009151C4" w:rsidRDefault="009151C4" w:rsidP="009151C4">
      <w:pPr>
        <w:pStyle w:val="FootnoteText"/>
      </w:pPr>
      <w:r w:rsidRPr="00F91B85">
        <w:rPr>
          <w:rStyle w:val="FootnoteReference"/>
        </w:rPr>
        <w:footnoteRef/>
      </w:r>
      <w:r w:rsidR="00BF63C6">
        <w:rPr>
          <w:i/>
          <w:iCs/>
        </w:rPr>
        <w:t xml:space="preserve"> </w:t>
      </w:r>
      <w:r w:rsidRPr="00F91B85">
        <w:rPr>
          <w:i/>
          <w:iCs/>
        </w:rPr>
        <w:t>Id.</w:t>
      </w:r>
    </w:p>
  </w:footnote>
  <w:footnote w:id="104">
    <w:p w14:paraId="1103E72E" w14:textId="7CDC66BD" w:rsidR="009151C4" w:rsidRPr="00801533" w:rsidRDefault="009151C4" w:rsidP="009151C4">
      <w:pPr>
        <w:pStyle w:val="FootnoteText"/>
      </w:pPr>
      <w:r w:rsidRPr="00801533">
        <w:rPr>
          <w:rStyle w:val="FootnoteReference"/>
        </w:rPr>
        <w:footnoteRef/>
      </w:r>
      <w:r w:rsidR="00BF63C6">
        <w:t xml:space="preserve"> </w:t>
      </w:r>
      <w:r w:rsidRPr="00217CF4">
        <w:rPr>
          <w:i/>
          <w:iCs/>
        </w:rPr>
        <w:t>Sullivan</w:t>
      </w:r>
      <w:r w:rsidRPr="00801533">
        <w:t xml:space="preserve">, 376 U.S. </w:t>
      </w:r>
      <w:r w:rsidR="00BF63C6">
        <w:t>at</w:t>
      </w:r>
      <w:r w:rsidRPr="00801533">
        <w:t xml:space="preserve"> 294–95 (Black, J., concurring).</w:t>
      </w:r>
    </w:p>
  </w:footnote>
  <w:footnote w:id="105">
    <w:p w14:paraId="38716A68" w14:textId="500A94B0" w:rsidR="00BF63C6" w:rsidRPr="00801533" w:rsidRDefault="00BF63C6" w:rsidP="00BF63C6">
      <w:pPr>
        <w:pStyle w:val="FootnoteText"/>
      </w:pPr>
      <w:r w:rsidRPr="00801533">
        <w:rPr>
          <w:rStyle w:val="FootnoteReference"/>
        </w:rPr>
        <w:footnoteRef/>
      </w:r>
      <w:r w:rsidR="00217CF4" w:rsidRPr="00217CF4">
        <w:t xml:space="preserve"> </w:t>
      </w:r>
      <w:r w:rsidRPr="00801533">
        <w:rPr>
          <w:smallCaps/>
        </w:rPr>
        <w:t>Lewis</w:t>
      </w:r>
      <w:r w:rsidRPr="00801533">
        <w:t xml:space="preserve">, </w:t>
      </w:r>
      <w:r w:rsidRPr="00801533">
        <w:rPr>
          <w:i/>
          <w:iCs/>
        </w:rPr>
        <w:t>supra</w:t>
      </w:r>
      <w:r w:rsidRPr="00801533">
        <w:t xml:space="preserve"> note</w:t>
      </w:r>
      <w:r w:rsidR="00772853">
        <w:t xml:space="preserve"> </w:t>
      </w:r>
      <w:r w:rsidR="00772853">
        <w:fldChar w:fldCharType="begin"/>
      </w:r>
      <w:r w:rsidR="00772853">
        <w:instrText xml:space="preserve"> NOTEREF _Ref212935627 \h </w:instrText>
      </w:r>
      <w:r w:rsidR="00772853">
        <w:fldChar w:fldCharType="separate"/>
      </w:r>
      <w:r w:rsidR="00064C93">
        <w:t>101</w:t>
      </w:r>
      <w:r w:rsidR="00772853">
        <w:fldChar w:fldCharType="end"/>
      </w:r>
      <w:r w:rsidRPr="00801533">
        <w:t>, at 177.</w:t>
      </w:r>
    </w:p>
  </w:footnote>
  <w:footnote w:id="106">
    <w:p w14:paraId="37B024D4" w14:textId="5EBA69BB" w:rsidR="00BF63C6" w:rsidRPr="00801533" w:rsidRDefault="00BF63C6" w:rsidP="00BF63C6">
      <w:pPr>
        <w:pStyle w:val="FootnoteText"/>
      </w:pPr>
      <w:r w:rsidRPr="00801533">
        <w:rPr>
          <w:rStyle w:val="FootnoteReference"/>
        </w:rPr>
        <w:footnoteRef/>
      </w:r>
      <w:r w:rsidR="00217CF4" w:rsidRPr="00217CF4">
        <w:t xml:space="preserve"> </w:t>
      </w:r>
      <w:r w:rsidR="00772853" w:rsidRPr="00801533">
        <w:t xml:space="preserve">Kagan, </w:t>
      </w:r>
      <w:r w:rsidR="00772853" w:rsidRPr="00801533">
        <w:rPr>
          <w:i/>
          <w:iCs/>
        </w:rPr>
        <w:t>supra</w:t>
      </w:r>
      <w:r w:rsidR="00772853" w:rsidRPr="00801533">
        <w:t xml:space="preserve"> note</w:t>
      </w:r>
      <w:r w:rsidR="00772853">
        <w:t xml:space="preserve"> </w:t>
      </w:r>
      <w:r w:rsidR="00772853">
        <w:fldChar w:fldCharType="begin"/>
      </w:r>
      <w:r w:rsidR="00772853">
        <w:instrText xml:space="preserve"> NOTEREF _Ref212935627 \h </w:instrText>
      </w:r>
      <w:r w:rsidR="00772853">
        <w:fldChar w:fldCharType="separate"/>
      </w:r>
      <w:r w:rsidR="00064C93">
        <w:t>101</w:t>
      </w:r>
      <w:r w:rsidR="00772853">
        <w:fldChar w:fldCharType="end"/>
      </w:r>
      <w:r w:rsidR="00772853" w:rsidRPr="00801533">
        <w:t>, at 20</w:t>
      </w:r>
      <w:r w:rsidR="00772853">
        <w:t>3</w:t>
      </w:r>
      <w:r w:rsidRPr="00801533">
        <w:t>.</w:t>
      </w:r>
    </w:p>
  </w:footnote>
  <w:footnote w:id="107">
    <w:p w14:paraId="1AD7717E" w14:textId="142790F5" w:rsidR="00217CF4" w:rsidRPr="00801533" w:rsidRDefault="00217CF4" w:rsidP="00217CF4">
      <w:pPr>
        <w:pStyle w:val="FootnoteText"/>
      </w:pPr>
      <w:r w:rsidRPr="00801533">
        <w:rPr>
          <w:rStyle w:val="FootnoteReference"/>
        </w:rPr>
        <w:footnoteRef/>
      </w:r>
      <w:r>
        <w:t xml:space="preserve"> </w:t>
      </w:r>
      <w:r w:rsidR="00772853" w:rsidRPr="00772853">
        <w:rPr>
          <w:i/>
          <w:iCs/>
        </w:rPr>
        <w:t>Id.</w:t>
      </w:r>
    </w:p>
  </w:footnote>
  <w:footnote w:id="108">
    <w:p w14:paraId="0BDCA6B1" w14:textId="7F315468" w:rsidR="001D0725" w:rsidRDefault="001D0725">
      <w:pPr>
        <w:pStyle w:val="FootnoteText"/>
      </w:pPr>
      <w:r>
        <w:rPr>
          <w:rStyle w:val="FootnoteReference"/>
        </w:rPr>
        <w:footnoteRef/>
      </w:r>
      <w:r>
        <w:t xml:space="preserve"> </w:t>
      </w:r>
      <w:r w:rsidRPr="001D0725">
        <w:rPr>
          <w:i/>
          <w:iCs/>
        </w:rPr>
        <w:t>Id.</w:t>
      </w:r>
      <w:r>
        <w:t xml:space="preserve"> at 201 (describing “an arresting quiet at the center of the case—specifically, in the Justices’ failure during deliberations to criticize, debate, or question the majority opinion’s adoption of the actual malice standard”); </w:t>
      </w:r>
      <w:r w:rsidRPr="00801533">
        <w:t xml:space="preserve">David A. Anderson, </w:t>
      </w:r>
      <w:r w:rsidRPr="00801533">
        <w:rPr>
          <w:i/>
          <w:iCs/>
        </w:rPr>
        <w:t>Wechsler’s Triumph</w:t>
      </w:r>
      <w:r w:rsidRPr="00801533">
        <w:t xml:space="preserve">, 66 </w:t>
      </w:r>
      <w:r w:rsidRPr="00801533">
        <w:rPr>
          <w:smallCaps/>
        </w:rPr>
        <w:t>Ala. L. Rev.</w:t>
      </w:r>
      <w:r w:rsidRPr="00801533">
        <w:t xml:space="preserve"> 229, 2</w:t>
      </w:r>
      <w:r>
        <w:t>42</w:t>
      </w:r>
      <w:r w:rsidRPr="00801533">
        <w:t xml:space="preserve"> (2014)</w:t>
      </w:r>
      <w:r>
        <w:t>.</w:t>
      </w:r>
    </w:p>
  </w:footnote>
  <w:footnote w:id="109">
    <w:p w14:paraId="557F30D3" w14:textId="035913A5" w:rsidR="001D0725" w:rsidRPr="00801533" w:rsidRDefault="001D0725" w:rsidP="001D0725">
      <w:pPr>
        <w:pStyle w:val="FootnoteText"/>
      </w:pPr>
      <w:r w:rsidRPr="00801533">
        <w:rPr>
          <w:rStyle w:val="FootnoteReference"/>
        </w:rPr>
        <w:footnoteRef/>
      </w:r>
      <w:r w:rsidRPr="001D0725">
        <w:t xml:space="preserve"> </w:t>
      </w:r>
      <w:r w:rsidRPr="001D0725">
        <w:rPr>
          <w:i/>
          <w:iCs/>
        </w:rPr>
        <w:t>See</w:t>
      </w:r>
      <w:r>
        <w:t xml:space="preserve"> </w:t>
      </w:r>
      <w:r w:rsidRPr="00801533">
        <w:t xml:space="preserve">Brief for Petitioner, </w:t>
      </w:r>
      <w:r w:rsidRPr="00801533">
        <w:rPr>
          <w:i/>
          <w:iCs/>
        </w:rPr>
        <w:t>Sullivan</w:t>
      </w:r>
      <w:r w:rsidRPr="00801533">
        <w:t>, 376 U.S. 254 (1964) (No. 39), 1963 WL 66441, at *53–55 &amp; n.*</w:t>
      </w:r>
      <w:r>
        <w:t xml:space="preserve"> (mentioning actual malice only once above the line, in a different context)</w:t>
      </w:r>
      <w:r w:rsidRPr="00801533">
        <w:t>.</w:t>
      </w:r>
    </w:p>
  </w:footnote>
  <w:footnote w:id="110">
    <w:p w14:paraId="6380AF8F" w14:textId="265B569C" w:rsidR="00BB143F" w:rsidRPr="00801533" w:rsidRDefault="00BB143F" w:rsidP="00BB143F">
      <w:pPr>
        <w:pStyle w:val="FootnoteText"/>
      </w:pPr>
      <w:r w:rsidRPr="00801533">
        <w:rPr>
          <w:rStyle w:val="FootnoteReference"/>
        </w:rPr>
        <w:footnoteRef/>
      </w:r>
      <w:r>
        <w:t xml:space="preserve"> </w:t>
      </w:r>
      <w:r w:rsidRPr="00801533">
        <w:rPr>
          <w:i/>
          <w:iCs/>
        </w:rPr>
        <w:t>Sullivan</w:t>
      </w:r>
      <w:r w:rsidRPr="00801533">
        <w:t>, 376 U.S. at 280 (citation omitted) (citing 98 P. 281 (Kan. 1908)).</w:t>
      </w:r>
    </w:p>
  </w:footnote>
  <w:footnote w:id="111">
    <w:p w14:paraId="602DE999" w14:textId="62BC7D8E" w:rsidR="00BB143F" w:rsidRPr="00801533" w:rsidRDefault="00BB143F" w:rsidP="00BB143F">
      <w:pPr>
        <w:pStyle w:val="FootnoteText"/>
      </w:pPr>
      <w:r w:rsidRPr="00801533">
        <w:rPr>
          <w:rStyle w:val="FootnoteReference"/>
        </w:rPr>
        <w:footnoteRef/>
      </w:r>
      <w:r w:rsidRPr="00BB143F">
        <w:t xml:space="preserve"> </w:t>
      </w:r>
      <w:r w:rsidRPr="00801533">
        <w:rPr>
          <w:i/>
          <w:iCs/>
        </w:rPr>
        <w:t>Id.</w:t>
      </w:r>
      <w:r w:rsidRPr="00801533">
        <w:t xml:space="preserve"> at 280 n.20; </w:t>
      </w:r>
      <w:r w:rsidRPr="00801533">
        <w:rPr>
          <w:i/>
          <w:iCs/>
        </w:rPr>
        <w:t>see</w:t>
      </w:r>
      <w:r w:rsidRPr="00801533">
        <w:t xml:space="preserve"> Anderson, </w:t>
      </w:r>
      <w:r w:rsidRPr="00801533">
        <w:rPr>
          <w:i/>
          <w:iCs/>
        </w:rPr>
        <w:t>supra</w:t>
      </w:r>
      <w:r w:rsidRPr="00801533">
        <w:t xml:space="preserve"> note</w:t>
      </w:r>
      <w:r>
        <w:t xml:space="preserve"> </w:t>
      </w:r>
      <w:r>
        <w:fldChar w:fldCharType="begin"/>
      </w:r>
      <w:r>
        <w:instrText xml:space="preserve"> NOTEREF _Ref212936251 \h </w:instrText>
      </w:r>
      <w:r>
        <w:fldChar w:fldCharType="separate"/>
      </w:r>
      <w:r w:rsidR="00064C93">
        <w:t>108</w:t>
      </w:r>
      <w:r>
        <w:fldChar w:fldCharType="end"/>
      </w:r>
      <w:r w:rsidRPr="00801533">
        <w:t>, at 241 (“most states accorded the privilege only to defamatory commentary based on truthful factual statements, but the minority rule had received favorable scholarly comment” (footnote omitted)).</w:t>
      </w:r>
    </w:p>
  </w:footnote>
  <w:footnote w:id="112">
    <w:p w14:paraId="0EB4338D" w14:textId="7D8E2AC0" w:rsidR="00546DFC" w:rsidRPr="00801533" w:rsidRDefault="00546DFC" w:rsidP="00546DFC">
      <w:pPr>
        <w:pStyle w:val="FootnoteText"/>
      </w:pPr>
      <w:r w:rsidRPr="00801533">
        <w:rPr>
          <w:rStyle w:val="FootnoteReference"/>
        </w:rPr>
        <w:footnoteRef/>
      </w:r>
      <w:r>
        <w:t xml:space="preserve"> </w:t>
      </w:r>
      <w:r w:rsidRPr="00801533">
        <w:t xml:space="preserve">Kagan, </w:t>
      </w:r>
      <w:r w:rsidRPr="00801533">
        <w:rPr>
          <w:i/>
          <w:iCs/>
        </w:rPr>
        <w:t>supra</w:t>
      </w:r>
      <w:r w:rsidRPr="00801533">
        <w:t xml:space="preserve"> note</w:t>
      </w:r>
      <w:r>
        <w:t xml:space="preserve"> </w:t>
      </w:r>
      <w:r>
        <w:fldChar w:fldCharType="begin"/>
      </w:r>
      <w:r>
        <w:instrText xml:space="preserve"> NOTEREF _Ref212935627 \h </w:instrText>
      </w:r>
      <w:r>
        <w:fldChar w:fldCharType="separate"/>
      </w:r>
      <w:r w:rsidR="00064C93">
        <w:t>101</w:t>
      </w:r>
      <w:r>
        <w:fldChar w:fldCharType="end"/>
      </w:r>
      <w:r w:rsidRPr="00801533">
        <w:t>, at 20</w:t>
      </w:r>
      <w:r>
        <w:t>3</w:t>
      </w:r>
      <w:r w:rsidRPr="00801533">
        <w:t xml:space="preserve"> (quoting </w:t>
      </w:r>
      <w:r w:rsidRPr="00801533">
        <w:rPr>
          <w:smallCaps/>
        </w:rPr>
        <w:t>Lewis</w:t>
      </w:r>
      <w:r w:rsidRPr="00801533">
        <w:t xml:space="preserve">, </w:t>
      </w:r>
      <w:r w:rsidRPr="00801533">
        <w:rPr>
          <w:i/>
          <w:iCs/>
        </w:rPr>
        <w:t>supra</w:t>
      </w:r>
      <w:r w:rsidRPr="00801533">
        <w:t xml:space="preserve"> note</w:t>
      </w:r>
      <w:r>
        <w:t xml:space="preserve"> </w:t>
      </w:r>
      <w:r>
        <w:fldChar w:fldCharType="begin"/>
      </w:r>
      <w:r>
        <w:instrText xml:space="preserve"> NOTEREF _Ref212935627 \h </w:instrText>
      </w:r>
      <w:r>
        <w:fldChar w:fldCharType="separate"/>
      </w:r>
      <w:r w:rsidR="00064C93">
        <w:t>101</w:t>
      </w:r>
      <w:r>
        <w:fldChar w:fldCharType="end"/>
      </w:r>
      <w:r w:rsidRPr="00801533">
        <w:t>, at 175).</w:t>
      </w:r>
    </w:p>
  </w:footnote>
  <w:footnote w:id="113">
    <w:p w14:paraId="3F8A2105" w14:textId="38AA5963" w:rsidR="00B61AB0" w:rsidRPr="00A46780" w:rsidRDefault="00B61AB0" w:rsidP="00B61AB0">
      <w:pPr>
        <w:pStyle w:val="FootnoteText"/>
      </w:pPr>
      <w:r w:rsidRPr="00801533">
        <w:rPr>
          <w:rStyle w:val="FootnoteReference"/>
        </w:rPr>
        <w:footnoteRef/>
      </w:r>
      <w:r w:rsidR="00A46780">
        <w:rPr>
          <w:i/>
          <w:iCs/>
        </w:rPr>
        <w:t xml:space="preserve"> </w:t>
      </w:r>
      <w:r w:rsidR="00A46780" w:rsidRPr="00801533">
        <w:rPr>
          <w:i/>
          <w:iCs/>
        </w:rPr>
        <w:t>Sullivan</w:t>
      </w:r>
      <w:r w:rsidR="00A46780" w:rsidRPr="00801533">
        <w:t>, 376 U.S. at 294 (Black, J., concurring).</w:t>
      </w:r>
    </w:p>
  </w:footnote>
  <w:footnote w:id="114">
    <w:p w14:paraId="3121A5F1" w14:textId="10881093" w:rsidR="00B61AB0" w:rsidRPr="00801533" w:rsidRDefault="00B61AB0" w:rsidP="00B61AB0">
      <w:pPr>
        <w:pStyle w:val="FootnoteText"/>
      </w:pPr>
      <w:r w:rsidRPr="00801533">
        <w:rPr>
          <w:rStyle w:val="FootnoteReference"/>
        </w:rPr>
        <w:footnoteRef/>
      </w:r>
      <w:r>
        <w:t xml:space="preserve"> </w:t>
      </w:r>
      <w:r w:rsidRPr="00801533">
        <w:rPr>
          <w:i/>
          <w:iCs/>
        </w:rPr>
        <w:t>Id.</w:t>
      </w:r>
      <w:r w:rsidRPr="00801533">
        <w:t xml:space="preserve"> at 295.</w:t>
      </w:r>
    </w:p>
  </w:footnote>
  <w:footnote w:id="115">
    <w:p w14:paraId="72E7E251" w14:textId="503BD0ED" w:rsidR="00B61AB0" w:rsidRPr="00801533" w:rsidRDefault="00B61AB0" w:rsidP="00B61AB0">
      <w:pPr>
        <w:pStyle w:val="FootnoteText"/>
      </w:pPr>
      <w:r w:rsidRPr="00801533">
        <w:rPr>
          <w:rStyle w:val="FootnoteReference"/>
        </w:rPr>
        <w:footnoteRef/>
      </w:r>
      <w:r w:rsidR="00A46780">
        <w:t xml:space="preserve"> </w:t>
      </w:r>
      <w:r w:rsidRPr="001A72D2">
        <w:t xml:space="preserve">Dun &amp; Bradstreet v. Greenmoss Builders, 472 U.S. 749, 769–70 (1985) </w:t>
      </w:r>
      <w:r w:rsidRPr="00801533">
        <w:t>(White, J., concurring in the judgment).</w:t>
      </w:r>
    </w:p>
  </w:footnote>
  <w:footnote w:id="116">
    <w:p w14:paraId="44E2407A" w14:textId="5F451BA0" w:rsidR="00B61AB0" w:rsidRPr="00801533" w:rsidRDefault="00B61AB0" w:rsidP="00B61AB0">
      <w:pPr>
        <w:pStyle w:val="FootnoteText"/>
      </w:pPr>
      <w:r w:rsidRPr="00801533">
        <w:rPr>
          <w:rStyle w:val="FootnoteReference"/>
        </w:rPr>
        <w:footnoteRef/>
      </w:r>
      <w:r w:rsidR="00A46780" w:rsidRPr="00A46780">
        <w:t xml:space="preserve"> </w:t>
      </w:r>
      <w:r w:rsidRPr="00801533">
        <w:rPr>
          <w:i/>
          <w:iCs/>
        </w:rPr>
        <w:t>Id.</w:t>
      </w:r>
    </w:p>
  </w:footnote>
  <w:footnote w:id="117">
    <w:p w14:paraId="777F63BA" w14:textId="6BFC5043" w:rsidR="00DA0944" w:rsidRDefault="00DA0944">
      <w:pPr>
        <w:pStyle w:val="FootnoteText"/>
      </w:pPr>
      <w:r>
        <w:rPr>
          <w:rStyle w:val="FootnoteReference"/>
        </w:rPr>
        <w:footnoteRef/>
      </w:r>
      <w:r>
        <w:t xml:space="preserve"> </w:t>
      </w:r>
      <w:r w:rsidR="00A85165" w:rsidRPr="003B2F79">
        <w:rPr>
          <w:i/>
          <w:iCs/>
        </w:rPr>
        <w:t>Sullivan</w:t>
      </w:r>
      <w:r w:rsidR="00A85165" w:rsidRPr="003B2F79">
        <w:t>, 376 U.S. at 27</w:t>
      </w:r>
      <w:r w:rsidR="00A85165">
        <w:t>9–80</w:t>
      </w:r>
      <w:r w:rsidR="00A85165" w:rsidRPr="003B2F79">
        <w:t>.</w:t>
      </w:r>
    </w:p>
  </w:footnote>
  <w:footnote w:id="118">
    <w:p w14:paraId="63A702CE" w14:textId="463F730C" w:rsidR="00DA0944" w:rsidRDefault="00DA0944">
      <w:pPr>
        <w:pStyle w:val="FootnoteText"/>
      </w:pPr>
      <w:r>
        <w:rPr>
          <w:rStyle w:val="FootnoteReference"/>
        </w:rPr>
        <w:footnoteRef/>
      </w:r>
      <w:r>
        <w:t xml:space="preserve"> </w:t>
      </w:r>
      <w:r w:rsidR="00A85165">
        <w:rPr>
          <w:i/>
          <w:iCs/>
        </w:rPr>
        <w:t xml:space="preserve">Id. </w:t>
      </w:r>
      <w:r w:rsidRPr="003B2F79">
        <w:t>at 270, 273.</w:t>
      </w:r>
    </w:p>
  </w:footnote>
  <w:footnote w:id="119">
    <w:p w14:paraId="002B04F0" w14:textId="77777777" w:rsidR="00CB74F5" w:rsidRPr="00801533" w:rsidRDefault="00CB74F5" w:rsidP="00CB74F5">
      <w:pPr>
        <w:pStyle w:val="FootnoteText"/>
      </w:pPr>
      <w:r w:rsidRPr="00801533">
        <w:rPr>
          <w:rStyle w:val="FootnoteReference"/>
        </w:rPr>
        <w:footnoteRef/>
      </w:r>
      <w:r>
        <w:rPr>
          <w:smallCaps/>
        </w:rPr>
        <w:t xml:space="preserve"> </w:t>
      </w:r>
      <w:r w:rsidRPr="00801533">
        <w:rPr>
          <w:smallCaps/>
        </w:rPr>
        <w:t xml:space="preserve">Kermit L. Hall &amp; Melvin I. Urofsky, </w:t>
      </w:r>
      <w:r w:rsidRPr="00801533">
        <w:rPr>
          <w:i/>
          <w:iCs/>
          <w:smallCaps/>
        </w:rPr>
        <w:t>New York Times v. Sullivan</w:t>
      </w:r>
      <w:r w:rsidRPr="00801533">
        <w:rPr>
          <w:smallCaps/>
        </w:rPr>
        <w:t>: Civil Rights, Libel Law, and the Free Press</w:t>
      </w:r>
      <w:r w:rsidRPr="00801533">
        <w:t xml:space="preserve"> 190 (2011).</w:t>
      </w:r>
    </w:p>
  </w:footnote>
  <w:footnote w:id="120">
    <w:p w14:paraId="142C188C" w14:textId="0B3D18FA" w:rsidR="00CB74F5" w:rsidRPr="00801533" w:rsidRDefault="00CB74F5" w:rsidP="00CB74F5">
      <w:pPr>
        <w:pStyle w:val="FootnoteText"/>
      </w:pPr>
      <w:r w:rsidRPr="00801533">
        <w:rPr>
          <w:rStyle w:val="FootnoteReference"/>
        </w:rPr>
        <w:footnoteRef/>
      </w:r>
      <w:r>
        <w:t xml:space="preserve"> </w:t>
      </w:r>
      <w:r w:rsidR="008F30DC" w:rsidRPr="00801533">
        <w:t xml:space="preserve">Kagan, </w:t>
      </w:r>
      <w:r w:rsidR="008F30DC" w:rsidRPr="00801533">
        <w:rPr>
          <w:i/>
          <w:iCs/>
        </w:rPr>
        <w:t>supra</w:t>
      </w:r>
      <w:r w:rsidR="008F30DC" w:rsidRPr="00801533">
        <w:t xml:space="preserve"> note</w:t>
      </w:r>
      <w:r w:rsidR="008F30DC">
        <w:t xml:space="preserve"> </w:t>
      </w:r>
      <w:r w:rsidR="008F30DC">
        <w:fldChar w:fldCharType="begin"/>
      </w:r>
      <w:r w:rsidR="008F30DC">
        <w:instrText xml:space="preserve"> NOTEREF _Ref212935627 \h </w:instrText>
      </w:r>
      <w:r w:rsidR="008F30DC">
        <w:fldChar w:fldCharType="separate"/>
      </w:r>
      <w:r w:rsidR="00064C93">
        <w:t>101</w:t>
      </w:r>
      <w:r w:rsidR="008F30DC">
        <w:fldChar w:fldCharType="end"/>
      </w:r>
      <w:r w:rsidR="008F30DC" w:rsidRPr="00801533">
        <w:t xml:space="preserve">, at </w:t>
      </w:r>
      <w:r w:rsidR="008F30DC">
        <w:t>199</w:t>
      </w:r>
      <w:r w:rsidRPr="00801533">
        <w:t>.</w:t>
      </w:r>
    </w:p>
  </w:footnote>
  <w:footnote w:id="121">
    <w:p w14:paraId="7AB670BA" w14:textId="5D8D6AF2" w:rsidR="00CB74F5" w:rsidRPr="00801533" w:rsidRDefault="00CB74F5" w:rsidP="00CB74F5">
      <w:pPr>
        <w:pStyle w:val="FootnoteText"/>
      </w:pPr>
      <w:r w:rsidRPr="00801533">
        <w:rPr>
          <w:rStyle w:val="FootnoteReference"/>
        </w:rPr>
        <w:footnoteRef/>
      </w:r>
      <w:r>
        <w:t xml:space="preserve"> </w:t>
      </w:r>
      <w:r w:rsidRPr="00801533">
        <w:t>388 U.S. 130, 150, 155 (1967)</w:t>
      </w:r>
      <w:r w:rsidR="00C53026">
        <w:t xml:space="preserve"> (plurality opinion)</w:t>
      </w:r>
      <w:r w:rsidRPr="00801533">
        <w:t xml:space="preserve"> (athletic director at state university and retired general</w:t>
      </w:r>
      <w:r w:rsidR="00C53026">
        <w:t>-turned-political activist</w:t>
      </w:r>
      <w:r w:rsidRPr="00801533">
        <w:t xml:space="preserve"> both public figures).</w:t>
      </w:r>
    </w:p>
  </w:footnote>
  <w:footnote w:id="122">
    <w:p w14:paraId="440F98F8" w14:textId="59FC3EA2" w:rsidR="00CB74F5" w:rsidRPr="00801533" w:rsidRDefault="00CB74F5" w:rsidP="00CB74F5">
      <w:pPr>
        <w:pStyle w:val="FootnoteText"/>
      </w:pPr>
      <w:r w:rsidRPr="00801533">
        <w:rPr>
          <w:rStyle w:val="FootnoteReference"/>
        </w:rPr>
        <w:footnoteRef/>
      </w:r>
      <w:r>
        <w:rPr>
          <w:i/>
          <w:iCs/>
        </w:rPr>
        <w:t xml:space="preserve"> </w:t>
      </w:r>
      <w:r w:rsidRPr="00801533">
        <w:rPr>
          <w:i/>
          <w:iCs/>
        </w:rPr>
        <w:t>Compare</w:t>
      </w:r>
      <w:r w:rsidRPr="00801533">
        <w:t xml:space="preserve"> </w:t>
      </w:r>
      <w:r w:rsidRPr="00801533">
        <w:rPr>
          <w:i/>
          <w:iCs/>
        </w:rPr>
        <w:t>id.</w:t>
      </w:r>
      <w:r w:rsidRPr="00801533">
        <w:t xml:space="preserve"> at 157 (plaintiff could recover where “story was in no sense ‘hot news’”), </w:t>
      </w:r>
      <w:r w:rsidRPr="00801533">
        <w:rPr>
          <w:i/>
          <w:iCs/>
        </w:rPr>
        <w:t>with</w:t>
      </w:r>
      <w:r w:rsidRPr="00801533">
        <w:t xml:space="preserve"> </w:t>
      </w:r>
      <w:r w:rsidRPr="00801533">
        <w:rPr>
          <w:i/>
          <w:iCs/>
        </w:rPr>
        <w:t>id.</w:t>
      </w:r>
      <w:r w:rsidRPr="00801533">
        <w:t xml:space="preserve"> at 158 (</w:t>
      </w:r>
      <w:r w:rsidR="00C53026">
        <w:t xml:space="preserve">other </w:t>
      </w:r>
      <w:r w:rsidRPr="00801533">
        <w:t>plaintiff could not recover because publication “was news which required immediate dissemination”).</w:t>
      </w:r>
    </w:p>
  </w:footnote>
  <w:footnote w:id="123">
    <w:p w14:paraId="256C48D3" w14:textId="39D1E1A0" w:rsidR="00CB74F5" w:rsidRPr="00801533" w:rsidRDefault="00CB74F5" w:rsidP="00CB74F5">
      <w:pPr>
        <w:pStyle w:val="FootnoteText"/>
      </w:pPr>
      <w:r w:rsidRPr="00801533">
        <w:rPr>
          <w:rStyle w:val="FootnoteReference"/>
        </w:rPr>
        <w:footnoteRef/>
      </w:r>
      <w:r>
        <w:t xml:space="preserve"> </w:t>
      </w:r>
      <w:r w:rsidRPr="001A72D2">
        <w:t xml:space="preserve">Berisha v. Lawson, 141 S. Ct. 2424, 2426 (2021) (Gorsuch, J., dissenting from denial of certiorari) (quoting 418 </w:t>
      </w:r>
      <w:r w:rsidRPr="00801533">
        <w:t>U.S. 323, 351 (1974)).</w:t>
      </w:r>
    </w:p>
  </w:footnote>
  <w:footnote w:id="124">
    <w:p w14:paraId="1C5B3023" w14:textId="1E0D6FE5" w:rsidR="0021277B" w:rsidRPr="00801533" w:rsidRDefault="0021277B" w:rsidP="0021277B">
      <w:pPr>
        <w:pStyle w:val="FootnoteText"/>
      </w:pPr>
      <w:r w:rsidRPr="00801533">
        <w:rPr>
          <w:rStyle w:val="FootnoteReference"/>
        </w:rPr>
        <w:footnoteRef/>
      </w:r>
      <w:r>
        <w:rPr>
          <w:i/>
          <w:iCs/>
        </w:rPr>
        <w:t xml:space="preserve"> </w:t>
      </w:r>
      <w:r w:rsidR="00364402" w:rsidRPr="00B31F0B">
        <w:rPr>
          <w:rFonts w:cs="Times New Roman"/>
          <w:i/>
          <w:iCs/>
        </w:rPr>
        <w:t>Gertz</w:t>
      </w:r>
      <w:r w:rsidR="00364402" w:rsidRPr="00A23C7E">
        <w:rPr>
          <w:rFonts w:cs="Times New Roman"/>
        </w:rPr>
        <w:t xml:space="preserve">, 418 U.S. </w:t>
      </w:r>
      <w:r w:rsidR="00364402">
        <w:rPr>
          <w:rFonts w:cs="Times New Roman"/>
        </w:rPr>
        <w:t>at</w:t>
      </w:r>
      <w:r w:rsidR="00364402" w:rsidRPr="00A23C7E">
        <w:rPr>
          <w:rFonts w:cs="Times New Roman"/>
        </w:rPr>
        <w:t xml:space="preserve"> </w:t>
      </w:r>
      <w:r w:rsidR="00B31F0B">
        <w:rPr>
          <w:rFonts w:cs="Times New Roman"/>
        </w:rPr>
        <w:t>325</w:t>
      </w:r>
      <w:r w:rsidR="00CF1114">
        <w:t>;</w:t>
      </w:r>
      <w:r w:rsidRPr="00801533">
        <w:t xml:space="preserve"> </w:t>
      </w:r>
      <w:r w:rsidRPr="001A72D2">
        <w:t>Time, Inc. v. Firestone, 424 U.S. 448 (1976)</w:t>
      </w:r>
      <w:r w:rsidR="00CF1114">
        <w:t>;</w:t>
      </w:r>
      <w:r w:rsidR="00772093">
        <w:t xml:space="preserve"> </w:t>
      </w:r>
      <w:r w:rsidRPr="001A72D2">
        <w:t>Hutchinson v. Proxmire, 443 U.S. 111 (1979)</w:t>
      </w:r>
      <w:r w:rsidR="00772093">
        <w:t>;</w:t>
      </w:r>
      <w:r w:rsidRPr="001A72D2">
        <w:t xml:space="preserve"> Wolston v. Reader’s Digest Ass’n,</w:t>
      </w:r>
      <w:r w:rsidRPr="00801533">
        <w:t xml:space="preserve"> 443 U.S. 157 (1979)).</w:t>
      </w:r>
    </w:p>
  </w:footnote>
  <w:footnote w:id="125">
    <w:p w14:paraId="77A04DA8" w14:textId="2BA38F82" w:rsidR="002D6A5D" w:rsidRDefault="002D6A5D">
      <w:pPr>
        <w:pStyle w:val="FootnoteText"/>
      </w:pPr>
      <w:r>
        <w:rPr>
          <w:rStyle w:val="FootnoteReference"/>
        </w:rPr>
        <w:footnoteRef/>
      </w:r>
      <w:r>
        <w:t xml:space="preserve"> </w:t>
      </w:r>
      <w:r w:rsidRPr="00801533">
        <w:t>472 U.S. 749 (1985).</w:t>
      </w:r>
    </w:p>
  </w:footnote>
  <w:footnote w:id="126">
    <w:p w14:paraId="0EB9E941" w14:textId="4C37CF30" w:rsidR="00CB74F5" w:rsidRPr="00801533" w:rsidRDefault="00CB74F5" w:rsidP="00CB74F5">
      <w:pPr>
        <w:pStyle w:val="FootnoteText"/>
      </w:pPr>
      <w:r w:rsidRPr="00801533">
        <w:rPr>
          <w:rStyle w:val="FootnoteReference"/>
        </w:rPr>
        <w:footnoteRef/>
      </w:r>
      <w:r>
        <w:t xml:space="preserve"> </w:t>
      </w:r>
      <w:r w:rsidR="002D6A5D" w:rsidRPr="002D6A5D">
        <w:rPr>
          <w:i/>
          <w:iCs/>
        </w:rPr>
        <w:t>Id.</w:t>
      </w:r>
      <w:r w:rsidR="002D6A5D">
        <w:t xml:space="preserve"> at </w:t>
      </w:r>
      <w:r w:rsidRPr="00801533">
        <w:t>757.</w:t>
      </w:r>
      <w:r w:rsidR="002D6A5D">
        <w:t xml:space="preserve">  </w:t>
      </w:r>
      <w:r w:rsidR="002D6A5D" w:rsidRPr="002D6A5D">
        <w:rPr>
          <w:i/>
          <w:iCs/>
        </w:rPr>
        <w:t>Gertz</w:t>
      </w:r>
      <w:r w:rsidR="002D6A5D">
        <w:t xml:space="preserve"> overruled </w:t>
      </w:r>
      <w:r w:rsidR="002D6A5D" w:rsidRPr="002D6A5D">
        <w:rPr>
          <w:i/>
          <w:iCs/>
        </w:rPr>
        <w:t>Rosenbloom v. Metromedia</w:t>
      </w:r>
      <w:r w:rsidR="002D6A5D" w:rsidRPr="003B2F79">
        <w:t>, 403 U.S. 29 (1971)</w:t>
      </w:r>
      <w:r w:rsidR="002D6A5D">
        <w:t xml:space="preserve">, where the Court had applied </w:t>
      </w:r>
      <w:r w:rsidR="002D6A5D" w:rsidRPr="003B2F79">
        <w:t>actual malice “to all discussion and communication involving matters of public or general concern, without regard to whether the persons involved are famous or anonymous</w:t>
      </w:r>
      <w:r w:rsidR="002D6A5D">
        <w:t>.</w:t>
      </w:r>
      <w:r w:rsidR="002D6A5D" w:rsidRPr="003B2F79">
        <w:t>”</w:t>
      </w:r>
      <w:r w:rsidR="002D6A5D">
        <w:t xml:space="preserve">  </w:t>
      </w:r>
      <w:r w:rsidR="002D6A5D" w:rsidRPr="002D6A5D">
        <w:rPr>
          <w:i/>
          <w:iCs/>
        </w:rPr>
        <w:t>Id.</w:t>
      </w:r>
      <w:r w:rsidR="002D6A5D">
        <w:t xml:space="preserve"> at</w:t>
      </w:r>
      <w:r w:rsidR="002D6A5D" w:rsidRPr="003B2F79">
        <w:t xml:space="preserve"> 42 (plurality opinion).</w:t>
      </w:r>
      <w:r w:rsidRPr="00801533">
        <w:t xml:space="preserve"> </w:t>
      </w:r>
    </w:p>
  </w:footnote>
  <w:footnote w:id="127">
    <w:p w14:paraId="7F89F0B7" w14:textId="5EB214F9" w:rsidR="00E061FD" w:rsidRDefault="00E061FD">
      <w:pPr>
        <w:pStyle w:val="FootnoteText"/>
      </w:pPr>
      <w:r>
        <w:rPr>
          <w:rStyle w:val="FootnoteReference"/>
        </w:rPr>
        <w:footnoteRef/>
      </w:r>
      <w:r>
        <w:t xml:space="preserve"> </w:t>
      </w:r>
      <w:r w:rsidRPr="00801533">
        <w:t>475 U.S. 767 (1986)</w:t>
      </w:r>
      <w:r>
        <w:t>.</w:t>
      </w:r>
    </w:p>
  </w:footnote>
  <w:footnote w:id="128">
    <w:p w14:paraId="0D360D07" w14:textId="265DC4A7" w:rsidR="00CB74F5" w:rsidRPr="00801533" w:rsidRDefault="00CB74F5" w:rsidP="00CB74F5">
      <w:pPr>
        <w:pStyle w:val="FootnoteText"/>
      </w:pPr>
      <w:r w:rsidRPr="00801533">
        <w:rPr>
          <w:rStyle w:val="FootnoteReference"/>
        </w:rPr>
        <w:footnoteRef/>
      </w:r>
      <w:r>
        <w:t xml:space="preserve"> </w:t>
      </w:r>
      <w:r w:rsidR="00E061FD" w:rsidRPr="00E061FD">
        <w:rPr>
          <w:i/>
          <w:iCs/>
        </w:rPr>
        <w:t>Id.</w:t>
      </w:r>
      <w:r w:rsidRPr="00801533">
        <w:t xml:space="preserve"> </w:t>
      </w:r>
      <w:r w:rsidR="00E061FD">
        <w:t>at</w:t>
      </w:r>
      <w:r w:rsidRPr="00801533">
        <w:t xml:space="preserve"> 777 (emphasis added).</w:t>
      </w:r>
    </w:p>
  </w:footnote>
  <w:footnote w:id="129">
    <w:p w14:paraId="6D9E71AC" w14:textId="43BBF51A" w:rsidR="00CB74F5" w:rsidRPr="00801533" w:rsidRDefault="00CB74F5" w:rsidP="00CB74F5">
      <w:pPr>
        <w:pStyle w:val="FootnoteText"/>
      </w:pPr>
      <w:r w:rsidRPr="00801533">
        <w:rPr>
          <w:rStyle w:val="FootnoteReference"/>
        </w:rPr>
        <w:footnoteRef/>
      </w:r>
      <w:r>
        <w:rPr>
          <w:smallCaps/>
        </w:rPr>
        <w:t xml:space="preserve"> </w:t>
      </w:r>
      <w:r w:rsidR="00E061FD" w:rsidRPr="00E061FD">
        <w:rPr>
          <w:i/>
          <w:iCs/>
        </w:rPr>
        <w:t>See</w:t>
      </w:r>
      <w:r w:rsidR="00E061FD" w:rsidRPr="00E061FD">
        <w:t xml:space="preserve"> </w:t>
      </w:r>
      <w:r w:rsidRPr="00801533">
        <w:rPr>
          <w:smallCaps/>
        </w:rPr>
        <w:t>Farber</w:t>
      </w:r>
      <w:r w:rsidRPr="00801533">
        <w:t xml:space="preserve">, </w:t>
      </w:r>
      <w:r w:rsidRPr="00801533">
        <w:rPr>
          <w:i/>
          <w:iCs/>
        </w:rPr>
        <w:t>supra</w:t>
      </w:r>
      <w:r w:rsidRPr="00801533">
        <w:t xml:space="preserve"> </w:t>
      </w:r>
      <w:r w:rsidRPr="003B2F79">
        <w:rPr>
          <w:rFonts w:cs="Times New Roman"/>
        </w:rPr>
        <w:t xml:space="preserve">note </w:t>
      </w:r>
      <w:r>
        <w:rPr>
          <w:rFonts w:cs="Times New Roman"/>
        </w:rPr>
        <w:fldChar w:fldCharType="begin"/>
      </w:r>
      <w:r>
        <w:rPr>
          <w:rFonts w:cs="Times New Roman"/>
        </w:rPr>
        <w:instrText xml:space="preserve"> NOTEREF _Ref198148394 \h </w:instrText>
      </w:r>
      <w:r>
        <w:rPr>
          <w:rFonts w:cs="Times New Roman"/>
        </w:rPr>
      </w:r>
      <w:r>
        <w:rPr>
          <w:rFonts w:cs="Times New Roman"/>
        </w:rPr>
        <w:fldChar w:fldCharType="separate"/>
      </w:r>
      <w:r w:rsidR="00064C93">
        <w:rPr>
          <w:rFonts w:cs="Times New Roman"/>
        </w:rPr>
        <w:t>7</w:t>
      </w:r>
      <w:r>
        <w:rPr>
          <w:rFonts w:cs="Times New Roman"/>
        </w:rPr>
        <w:fldChar w:fldCharType="end"/>
      </w:r>
      <w:r w:rsidRPr="00801533">
        <w:t>, at 106</w:t>
      </w:r>
      <w:r>
        <w:t xml:space="preserve">; </w:t>
      </w:r>
      <w:r w:rsidRPr="00596F71">
        <w:rPr>
          <w:i/>
          <w:iCs/>
        </w:rPr>
        <w:t>see, e.g.</w:t>
      </w:r>
      <w:r>
        <w:t>,</w:t>
      </w:r>
      <w:r w:rsidRPr="00596F71">
        <w:rPr>
          <w:i/>
          <w:iCs/>
        </w:rPr>
        <w:t xml:space="preserve"> </w:t>
      </w:r>
      <w:r w:rsidRPr="00801533">
        <w:rPr>
          <w:i/>
          <w:iCs/>
        </w:rPr>
        <w:t>Dun &amp; Bradstreet</w:t>
      </w:r>
      <w:r w:rsidRPr="00801533">
        <w:t xml:space="preserve">, 472 U.S. at 770 (White, J., concurring in the judgment) </w:t>
      </w:r>
      <w:r>
        <w:t>(“</w:t>
      </w:r>
      <w:r w:rsidRPr="00AF0EED">
        <w:t>the media enjoy no special privileges under libel law</w:t>
      </w:r>
      <w:r>
        <w:t>”)</w:t>
      </w:r>
      <w:r w:rsidRPr="00801533">
        <w:t>.</w:t>
      </w:r>
    </w:p>
  </w:footnote>
  <w:footnote w:id="130">
    <w:p w14:paraId="7FD5DAB0" w14:textId="6068C2B8" w:rsidR="00D13A43" w:rsidRDefault="00D13A43">
      <w:pPr>
        <w:pStyle w:val="FootnoteText"/>
      </w:pPr>
      <w:r>
        <w:rPr>
          <w:rStyle w:val="FootnoteReference"/>
        </w:rPr>
        <w:footnoteRef/>
      </w:r>
      <w:r>
        <w:t xml:space="preserve"> </w:t>
      </w:r>
      <w:r w:rsidRPr="00BC22DD">
        <w:rPr>
          <w:i/>
          <w:iCs/>
        </w:rPr>
        <w:t>See, e.g.</w:t>
      </w:r>
      <w:r w:rsidRPr="00BC22DD">
        <w:t>, Tah v. Glob. Witness Publ’g Inc., 991 F.3d 231, 271 (D.C. Cir. 2021) (Silberman, J., dissenting)</w:t>
      </w:r>
      <w:r w:rsidR="0051775D">
        <w:t xml:space="preserve">; </w:t>
      </w:r>
      <w:r w:rsidR="0051775D" w:rsidRPr="00BA6679">
        <w:rPr>
          <w:rFonts w:cs="Times New Roman"/>
        </w:rPr>
        <w:t xml:space="preserve">Jack M. Balkin, </w:t>
      </w:r>
      <w:r w:rsidR="0051775D" w:rsidRPr="00BA6679">
        <w:rPr>
          <w:rFonts w:cs="Times New Roman"/>
          <w:i/>
          <w:iCs/>
        </w:rPr>
        <w:t>Old-School/New-School Speech Regulation</w:t>
      </w:r>
      <w:r w:rsidR="0051775D" w:rsidRPr="00BA6679">
        <w:rPr>
          <w:rFonts w:cs="Times New Roman"/>
        </w:rPr>
        <w:t xml:space="preserve">, </w:t>
      </w:r>
      <w:r w:rsidR="0051775D" w:rsidRPr="00BA6679">
        <w:rPr>
          <w:rFonts w:cs="Times New Roman"/>
          <w:smallCaps/>
        </w:rPr>
        <w:t xml:space="preserve">127 Harv. L. Rev. </w:t>
      </w:r>
      <w:r w:rsidR="0051775D" w:rsidRPr="00BA6679">
        <w:rPr>
          <w:rFonts w:cs="Times New Roman"/>
        </w:rPr>
        <w:t>2296, 2342 (2014)</w:t>
      </w:r>
      <w:r w:rsidR="0051775D">
        <w:rPr>
          <w:rFonts w:cs="Times New Roman"/>
        </w:rPr>
        <w:t xml:space="preserve">; </w:t>
      </w:r>
      <w:r w:rsidR="0051775D" w:rsidRPr="00BA6679">
        <w:rPr>
          <w:rFonts w:cs="Times New Roman"/>
        </w:rPr>
        <w:t>David A. Anderson, </w:t>
      </w:r>
      <w:r w:rsidR="0051775D" w:rsidRPr="00BA6679">
        <w:rPr>
          <w:rFonts w:cs="Times New Roman"/>
          <w:i/>
          <w:iCs/>
        </w:rPr>
        <w:t xml:space="preserve">Is Libel Law Worth </w:t>
      </w:r>
      <w:proofErr w:type="gramStart"/>
      <w:r w:rsidR="0051775D" w:rsidRPr="00BA6679">
        <w:rPr>
          <w:rFonts w:cs="Times New Roman"/>
          <w:i/>
          <w:iCs/>
        </w:rPr>
        <w:t>Reforming</w:t>
      </w:r>
      <w:r w:rsidR="0051775D">
        <w:rPr>
          <w:rFonts w:cs="Times New Roman"/>
          <w:i/>
          <w:iCs/>
        </w:rPr>
        <w:t>?</w:t>
      </w:r>
      <w:r w:rsidR="0051775D" w:rsidRPr="00BA6679">
        <w:rPr>
          <w:rFonts w:cs="Times New Roman"/>
        </w:rPr>
        <w:t>,</w:t>
      </w:r>
      <w:proofErr w:type="gramEnd"/>
      <w:r w:rsidR="0051775D" w:rsidRPr="00BA6679">
        <w:rPr>
          <w:rFonts w:cs="Times New Roman"/>
        </w:rPr>
        <w:t xml:space="preserve"> 140 </w:t>
      </w:r>
      <w:r w:rsidR="0051775D" w:rsidRPr="00BA6679">
        <w:rPr>
          <w:rFonts w:cs="Times New Roman"/>
          <w:smallCaps/>
        </w:rPr>
        <w:t>U. Pa. L. Rev.</w:t>
      </w:r>
      <w:r w:rsidR="0051775D" w:rsidRPr="00BA6679">
        <w:rPr>
          <w:rFonts w:cs="Times New Roman"/>
        </w:rPr>
        <w:t> 487, 510 (1991)</w:t>
      </w:r>
      <w:r w:rsidR="0051775D">
        <w:rPr>
          <w:rFonts w:cs="Times New Roman"/>
        </w:rPr>
        <w:t xml:space="preserve">; </w:t>
      </w:r>
      <w:r w:rsidR="0051775D" w:rsidRPr="00A23C7E">
        <w:rPr>
          <w:rFonts w:cs="Times New Roman"/>
        </w:rPr>
        <w:t xml:space="preserve">Richard A. Epstein, </w:t>
      </w:r>
      <w:r w:rsidR="0051775D" w:rsidRPr="00A23C7E">
        <w:rPr>
          <w:rFonts w:cs="Times New Roman"/>
          <w:i/>
          <w:iCs/>
        </w:rPr>
        <w:t xml:space="preserve">Was </w:t>
      </w:r>
      <w:r w:rsidR="0051775D" w:rsidRPr="00BC22DD">
        <w:rPr>
          <w:rFonts w:cs="Times New Roman"/>
        </w:rPr>
        <w:t>New York Times v. Sullivan</w:t>
      </w:r>
      <w:r w:rsidR="0051775D" w:rsidRPr="00A23C7E">
        <w:rPr>
          <w:rFonts w:cs="Times New Roman"/>
          <w:i/>
          <w:iCs/>
        </w:rPr>
        <w:t xml:space="preserve"> </w:t>
      </w:r>
      <w:proofErr w:type="gramStart"/>
      <w:r w:rsidR="0051775D" w:rsidRPr="00A23C7E">
        <w:rPr>
          <w:rFonts w:cs="Times New Roman"/>
          <w:i/>
          <w:iCs/>
        </w:rPr>
        <w:t>Wrong?</w:t>
      </w:r>
      <w:r w:rsidR="0051775D" w:rsidRPr="00A23C7E">
        <w:rPr>
          <w:rFonts w:cs="Times New Roman"/>
        </w:rPr>
        <w:t>,</w:t>
      </w:r>
      <w:proofErr w:type="gramEnd"/>
      <w:r w:rsidR="0051775D" w:rsidRPr="00A23C7E">
        <w:rPr>
          <w:rFonts w:cs="Times New Roman"/>
        </w:rPr>
        <w:t xml:space="preserve"> 53 </w:t>
      </w:r>
      <w:r w:rsidR="0051775D" w:rsidRPr="00A23C7E">
        <w:rPr>
          <w:rFonts w:cs="Times New Roman"/>
          <w:smallCaps/>
        </w:rPr>
        <w:t xml:space="preserve">U. Chi. L. Rev. </w:t>
      </w:r>
      <w:r w:rsidR="0051775D" w:rsidRPr="00A23C7E">
        <w:rPr>
          <w:rFonts w:cs="Times New Roman"/>
        </w:rPr>
        <w:t>782, 805 (1986).</w:t>
      </w:r>
    </w:p>
  </w:footnote>
  <w:footnote w:id="131">
    <w:p w14:paraId="44257269" w14:textId="61D54A6C" w:rsidR="0051775D" w:rsidRDefault="0051775D">
      <w:pPr>
        <w:pStyle w:val="FootnoteText"/>
      </w:pPr>
      <w:r>
        <w:rPr>
          <w:rStyle w:val="FootnoteReference"/>
        </w:rPr>
        <w:footnoteRef/>
      </w:r>
      <w:r>
        <w:t xml:space="preserve"> </w:t>
      </w:r>
      <w:r w:rsidRPr="00BA6679">
        <w:t>586 U.S. 1172 (2019)</w:t>
      </w:r>
      <w:r>
        <w:t>.</w:t>
      </w:r>
    </w:p>
  </w:footnote>
  <w:footnote w:id="132">
    <w:p w14:paraId="34ECBB2B" w14:textId="4B680656" w:rsidR="00E061FD" w:rsidRPr="00BA6679" w:rsidRDefault="00E061FD" w:rsidP="00E061FD">
      <w:pPr>
        <w:pStyle w:val="FootnoteText"/>
      </w:pPr>
      <w:r w:rsidRPr="00BA6679">
        <w:rPr>
          <w:rStyle w:val="FootnoteReference"/>
        </w:rPr>
        <w:footnoteRef/>
      </w:r>
      <w:r w:rsidR="0051775D">
        <w:t xml:space="preserve"> </w:t>
      </w:r>
      <w:r w:rsidR="0051775D" w:rsidRPr="0051775D">
        <w:rPr>
          <w:i/>
          <w:iCs/>
        </w:rPr>
        <w:t>Id.</w:t>
      </w:r>
      <w:r w:rsidR="0051775D">
        <w:t xml:space="preserve"> at </w:t>
      </w:r>
      <w:r w:rsidRPr="00BA6679">
        <w:t>1182.</w:t>
      </w:r>
    </w:p>
  </w:footnote>
  <w:footnote w:id="133">
    <w:p w14:paraId="78D540FA" w14:textId="4BAB9595" w:rsidR="00E061FD" w:rsidRPr="00BA6679" w:rsidRDefault="00E061FD" w:rsidP="00E061FD">
      <w:pPr>
        <w:pStyle w:val="FootnoteText"/>
      </w:pPr>
      <w:r w:rsidRPr="00BA6679">
        <w:rPr>
          <w:rStyle w:val="FootnoteReference"/>
        </w:rPr>
        <w:footnoteRef/>
      </w:r>
      <w:r w:rsidR="004826BA">
        <w:t xml:space="preserve"> </w:t>
      </w:r>
      <w:r w:rsidRPr="00BA6679">
        <w:rPr>
          <w:rFonts w:cs="Times New Roman"/>
        </w:rPr>
        <w:t>Berisha v. Lawson, 141 S. Ct. 2424, 242</w:t>
      </w:r>
      <w:r>
        <w:rPr>
          <w:rFonts w:cs="Times New Roman"/>
        </w:rPr>
        <w:t>4</w:t>
      </w:r>
      <w:r w:rsidRPr="00BA6679">
        <w:rPr>
          <w:rFonts w:cs="Times New Roman"/>
        </w:rPr>
        <w:t xml:space="preserve"> (2021) (Thomas</w:t>
      </w:r>
      <w:r>
        <w:rPr>
          <w:rFonts w:cs="Times New Roman"/>
        </w:rPr>
        <w:t xml:space="preserve">, J., </w:t>
      </w:r>
      <w:r w:rsidRPr="00BA6679">
        <w:rPr>
          <w:rFonts w:cs="Times New Roman"/>
        </w:rPr>
        <w:t xml:space="preserve">dissenting from denial of certiorari); </w:t>
      </w:r>
      <w:r w:rsidRPr="00BA6679">
        <w:t xml:space="preserve">Blankenship v. NBCUniversal, LLC, 144 S. Ct. 5, 5 (2023) (Thomas, J., concurring in denial of certiorari; </w:t>
      </w:r>
      <w:r w:rsidRPr="00BA6679">
        <w:rPr>
          <w:i/>
          <w:iCs/>
        </w:rPr>
        <w:t>see also</w:t>
      </w:r>
      <w:r w:rsidRPr="00BA6679">
        <w:t xml:space="preserve"> </w:t>
      </w:r>
      <w:r w:rsidRPr="004826BA">
        <w:rPr>
          <w:rFonts w:cs="Times New Roman"/>
          <w:i/>
          <w:iCs/>
        </w:rPr>
        <w:t>Berisha</w:t>
      </w:r>
      <w:r w:rsidRPr="00BA6679">
        <w:rPr>
          <w:rFonts w:cs="Times New Roman"/>
        </w:rPr>
        <w:t>, 141 S. Ct.</w:t>
      </w:r>
      <w:r w:rsidRPr="00BA6679">
        <w:t xml:space="preserve"> </w:t>
      </w:r>
      <w:r>
        <w:t xml:space="preserve">at 2425 </w:t>
      </w:r>
      <w:r w:rsidRPr="00BA6679">
        <w:t>(Gorsuch</w:t>
      </w:r>
      <w:r>
        <w:t xml:space="preserve">, J., </w:t>
      </w:r>
      <w:r w:rsidRPr="00BA6679">
        <w:rPr>
          <w:rFonts w:cs="Times New Roman"/>
        </w:rPr>
        <w:t>dissenting from denial of certiorari</w:t>
      </w:r>
      <w:r w:rsidRPr="00BA6679">
        <w:t>)</w:t>
      </w:r>
      <w:r>
        <w:t>.</w:t>
      </w:r>
    </w:p>
  </w:footnote>
  <w:footnote w:id="134">
    <w:p w14:paraId="5546EE05" w14:textId="28F5EDF6" w:rsidR="004826BA" w:rsidRDefault="004826BA">
      <w:pPr>
        <w:pStyle w:val="FootnoteText"/>
      </w:pPr>
      <w:r>
        <w:rPr>
          <w:rStyle w:val="FootnoteReference"/>
        </w:rPr>
        <w:footnoteRef/>
      </w:r>
      <w:r>
        <w:t xml:space="preserve"> </w:t>
      </w:r>
      <w:r w:rsidR="002C634A">
        <w:t xml:space="preserve">Even as then-Professor Kagan criticized </w:t>
      </w:r>
      <w:r w:rsidR="002C634A" w:rsidRPr="002C634A">
        <w:rPr>
          <w:i/>
          <w:iCs/>
        </w:rPr>
        <w:t>Sullivan</w:t>
      </w:r>
      <w:r w:rsidR="002C634A">
        <w:t xml:space="preserve">, she also made clear that the </w:t>
      </w:r>
      <w:r w:rsidRPr="00BA6679">
        <w:t xml:space="preserve">questions </w:t>
      </w:r>
      <w:r w:rsidR="002C634A">
        <w:t>it</w:t>
      </w:r>
      <w:r w:rsidRPr="00BA6679">
        <w:t xml:space="preserve"> raised “in no way prove that the Court decided [it] incorrectly or that the Court now should reconsider its holding</w:t>
      </w:r>
      <w:r w:rsidR="002C634A">
        <w:t xml:space="preserve">.”  </w:t>
      </w:r>
      <w:r w:rsidR="002C634A" w:rsidRPr="003B2F79">
        <w:t xml:space="preserve">Kagan, </w:t>
      </w:r>
      <w:r w:rsidR="002C634A">
        <w:rPr>
          <w:i/>
        </w:rPr>
        <w:t>supra</w:t>
      </w:r>
      <w:r w:rsidR="002C634A" w:rsidRPr="003B2F79">
        <w:rPr>
          <w:iCs/>
        </w:rPr>
        <w:t xml:space="preserve"> note</w:t>
      </w:r>
      <w:r w:rsidR="002C634A">
        <w:rPr>
          <w:iCs/>
        </w:rPr>
        <w:t xml:space="preserve"> </w:t>
      </w:r>
      <w:r w:rsidR="002C634A">
        <w:rPr>
          <w:iCs/>
        </w:rPr>
        <w:fldChar w:fldCharType="begin"/>
      </w:r>
      <w:r w:rsidR="002C634A">
        <w:rPr>
          <w:iCs/>
        </w:rPr>
        <w:instrText xml:space="preserve"> NOTEREF _Ref212935627 \h </w:instrText>
      </w:r>
      <w:r w:rsidR="002C634A">
        <w:rPr>
          <w:iCs/>
        </w:rPr>
      </w:r>
      <w:r w:rsidR="002C634A">
        <w:rPr>
          <w:iCs/>
        </w:rPr>
        <w:fldChar w:fldCharType="separate"/>
      </w:r>
      <w:r w:rsidR="00064C93">
        <w:rPr>
          <w:iCs/>
        </w:rPr>
        <w:t>101</w:t>
      </w:r>
      <w:r w:rsidR="002C634A">
        <w:rPr>
          <w:iCs/>
        </w:rPr>
        <w:fldChar w:fldCharType="end"/>
      </w:r>
      <w:r w:rsidR="002C634A" w:rsidRPr="003B2F79">
        <w:t xml:space="preserve">, </w:t>
      </w:r>
      <w:r w:rsidR="002C634A">
        <w:t xml:space="preserve">at 208.  Justice Gorsuch </w:t>
      </w:r>
      <w:r w:rsidR="002C634A" w:rsidRPr="00BA6679">
        <w:t>“</w:t>
      </w:r>
      <w:proofErr w:type="gramStart"/>
      <w:r w:rsidR="002C634A" w:rsidRPr="00BA6679">
        <w:t>profess[</w:t>
      </w:r>
      <w:proofErr w:type="gramEnd"/>
      <w:r w:rsidR="002C634A" w:rsidRPr="00BA6679">
        <w:t xml:space="preserve">ed no] sure answers” </w:t>
      </w:r>
      <w:r w:rsidR="002C634A">
        <w:t xml:space="preserve">about </w:t>
      </w:r>
      <w:r w:rsidR="002C634A" w:rsidRPr="002C634A">
        <w:rPr>
          <w:i/>
          <w:iCs/>
        </w:rPr>
        <w:t>Sullivan</w:t>
      </w:r>
      <w:r w:rsidR="002C634A">
        <w:t xml:space="preserve"> </w:t>
      </w:r>
      <w:r w:rsidR="002C634A" w:rsidRPr="00BA6679">
        <w:t xml:space="preserve">and admitted that he was “not even certain of all the questions </w:t>
      </w:r>
      <w:r w:rsidR="002C634A">
        <w:t>[the Court]</w:t>
      </w:r>
      <w:r w:rsidR="002C634A" w:rsidRPr="00BA6679">
        <w:t xml:space="preserve"> should be asking.”</w:t>
      </w:r>
      <w:r w:rsidR="002C634A">
        <w:t xml:space="preserve">  </w:t>
      </w:r>
      <w:r w:rsidR="002C634A" w:rsidRPr="00F03FE4">
        <w:rPr>
          <w:i/>
          <w:iCs/>
        </w:rPr>
        <w:t>Berisha</w:t>
      </w:r>
      <w:r w:rsidR="002C634A" w:rsidRPr="00BA6679">
        <w:t xml:space="preserve">, 141 S. Ct. </w:t>
      </w:r>
      <w:r w:rsidR="002C634A">
        <w:t>at</w:t>
      </w:r>
      <w:r w:rsidR="002C634A" w:rsidRPr="00BA6679">
        <w:t xml:space="preserve"> 2430</w:t>
      </w:r>
      <w:r w:rsidR="002C634A">
        <w:t>.</w:t>
      </w:r>
    </w:p>
  </w:footnote>
  <w:footnote w:id="135">
    <w:p w14:paraId="38AF66CB" w14:textId="47A81A74" w:rsidR="00DE5CCF" w:rsidRDefault="00DE5CCF">
      <w:pPr>
        <w:pStyle w:val="FootnoteText"/>
      </w:pPr>
      <w:r>
        <w:rPr>
          <w:rStyle w:val="FootnoteReference"/>
        </w:rPr>
        <w:footnoteRef/>
      </w:r>
      <w:r>
        <w:t xml:space="preserve"> This Article does not argue that special rights for the press should be read into the Speech Clause.  The argument is, rather, that the </w:t>
      </w:r>
      <w:r w:rsidRPr="00DE5CCF">
        <w:rPr>
          <w:i/>
          <w:iCs/>
        </w:rPr>
        <w:t>Press Clause</w:t>
      </w:r>
      <w:r>
        <w:t xml:space="preserve"> provides an independent textual basis for these rights and should be expressly invoked as such.</w:t>
      </w:r>
    </w:p>
  </w:footnote>
  <w:footnote w:id="136">
    <w:p w14:paraId="4F112AB8" w14:textId="77777777" w:rsidR="000A4E71" w:rsidRDefault="000A4E71" w:rsidP="000A4E71">
      <w:pPr>
        <w:pStyle w:val="FootnoteText"/>
      </w:pPr>
      <w:r w:rsidRPr="00FD2A01">
        <w:rPr>
          <w:rStyle w:val="FootnoteReference"/>
        </w:rPr>
        <w:footnoteRef/>
      </w:r>
      <w:r>
        <w:rPr>
          <w:rFonts w:cs="Calibri"/>
          <w:color w:val="000000"/>
          <w:bdr w:val="none" w:sz="0" w:space="0" w:color="auto" w:frame="1"/>
        </w:rPr>
        <w:t xml:space="preserve"> </w:t>
      </w:r>
      <w:r w:rsidRPr="00587BA1">
        <w:rPr>
          <w:rFonts w:cs="Calibri"/>
          <w:color w:val="000000"/>
          <w:bdr w:val="none" w:sz="0" w:space="0" w:color="auto" w:frame="1"/>
        </w:rPr>
        <w:t>David A. Anderson,</w:t>
      </w:r>
      <w:r w:rsidRPr="00587BA1">
        <w:rPr>
          <w:rStyle w:val="apple-converted-space"/>
          <w:rFonts w:eastAsiaTheme="majorEastAsia" w:cs="Calibri"/>
          <w:color w:val="000000"/>
          <w:bdr w:val="none" w:sz="0" w:space="0" w:color="auto" w:frame="1"/>
        </w:rPr>
        <w:t> </w:t>
      </w:r>
      <w:r w:rsidRPr="00587BA1">
        <w:rPr>
          <w:rFonts w:cs="Calibri"/>
          <w:i/>
          <w:iCs/>
          <w:color w:val="000000"/>
          <w:bdr w:val="none" w:sz="0" w:space="0" w:color="auto" w:frame="1"/>
        </w:rPr>
        <w:t>The Origins of the Press Clause</w:t>
      </w:r>
      <w:r w:rsidRPr="00587BA1">
        <w:rPr>
          <w:rFonts w:cs="Calibri"/>
          <w:color w:val="000000"/>
          <w:bdr w:val="none" w:sz="0" w:space="0" w:color="auto" w:frame="1"/>
        </w:rPr>
        <w:t xml:space="preserve">, 30 </w:t>
      </w:r>
      <w:r w:rsidRPr="003700C9">
        <w:rPr>
          <w:rFonts w:cs="Calibri"/>
          <w:smallCaps/>
          <w:color w:val="000000"/>
          <w:bdr w:val="none" w:sz="0" w:space="0" w:color="auto" w:frame="1"/>
        </w:rPr>
        <w:t>UCLA L. Rev.</w:t>
      </w:r>
      <w:r w:rsidRPr="00587BA1">
        <w:rPr>
          <w:rFonts w:cs="Calibri"/>
          <w:color w:val="000000"/>
          <w:bdr w:val="none" w:sz="0" w:space="0" w:color="auto" w:frame="1"/>
        </w:rPr>
        <w:t xml:space="preserve"> 455, 456 (1983)</w:t>
      </w:r>
      <w:r>
        <w:rPr>
          <w:rFonts w:cs="Calibri"/>
          <w:color w:val="000000"/>
          <w:bdr w:val="none" w:sz="0" w:space="0" w:color="auto" w:frame="1"/>
        </w:rPr>
        <w:t>.</w:t>
      </w:r>
    </w:p>
  </w:footnote>
  <w:footnote w:id="137">
    <w:p w14:paraId="357EA5FB" w14:textId="2608ABF9" w:rsidR="00806A12" w:rsidRDefault="00806A12" w:rsidP="00806A12">
      <w:pPr>
        <w:pStyle w:val="FootnoteText"/>
      </w:pPr>
      <w:r w:rsidRPr="00FD184B">
        <w:rPr>
          <w:rStyle w:val="FootnoteReference"/>
        </w:rPr>
        <w:footnoteRef/>
      </w:r>
      <w:r>
        <w:rPr>
          <w:i/>
          <w:iCs/>
        </w:rPr>
        <w:t xml:space="preserve"> </w:t>
      </w:r>
      <w:r w:rsidR="006F7FF1">
        <w:t xml:space="preserve">Stewart, </w:t>
      </w:r>
      <w:r w:rsidR="006F7FF1" w:rsidRPr="00D41F71">
        <w:rPr>
          <w:i/>
          <w:iCs/>
        </w:rPr>
        <w:t>supra</w:t>
      </w:r>
      <w:r w:rsidR="006F7FF1">
        <w:t xml:space="preserve"> note </w:t>
      </w:r>
      <w:r w:rsidR="006F7FF1">
        <w:fldChar w:fldCharType="begin"/>
      </w:r>
      <w:r w:rsidR="006F7FF1">
        <w:instrText xml:space="preserve"> NOTEREF _Ref212940374 \h </w:instrText>
      </w:r>
      <w:r w:rsidR="006F7FF1">
        <w:fldChar w:fldCharType="separate"/>
      </w:r>
      <w:r w:rsidR="00064C93">
        <w:t>43</w:t>
      </w:r>
      <w:r w:rsidR="006F7FF1">
        <w:fldChar w:fldCharType="end"/>
      </w:r>
      <w:r w:rsidR="006F7FF1">
        <w:t xml:space="preserve">, at 633.  For Nimmer, the very existence of the text of the Press Clause foreclosed this reading, as “the law cannot abide a redundancy.”  </w:t>
      </w:r>
      <w:r>
        <w:t xml:space="preserve">Nimmer, </w:t>
      </w:r>
      <w:r w:rsidRPr="00023612">
        <w:rPr>
          <w:i/>
          <w:iCs/>
        </w:rPr>
        <w:t>supra</w:t>
      </w:r>
      <w:r>
        <w:t xml:space="preserve"> note </w:t>
      </w:r>
      <w:r>
        <w:fldChar w:fldCharType="begin"/>
      </w:r>
      <w:r>
        <w:instrText xml:space="preserve"> NOTEREF _Ref212847603 \h </w:instrText>
      </w:r>
      <w:r>
        <w:fldChar w:fldCharType="separate"/>
      </w:r>
      <w:r w:rsidR="00064C93">
        <w:t>35</w:t>
      </w:r>
      <w:r>
        <w:fldChar w:fldCharType="end"/>
      </w:r>
      <w:r>
        <w:t>,</w:t>
      </w:r>
      <w:r w:rsidRPr="00C97210">
        <w:t xml:space="preserve"> at 64</w:t>
      </w:r>
      <w:r>
        <w:t>0.</w:t>
      </w:r>
    </w:p>
  </w:footnote>
  <w:footnote w:id="138">
    <w:p w14:paraId="3EAE4A34" w14:textId="1C62EE28" w:rsidR="000007AD" w:rsidRDefault="000007AD" w:rsidP="000007AD">
      <w:pPr>
        <w:pStyle w:val="FootnoteText"/>
      </w:pPr>
      <w:r w:rsidRPr="00CD03EC">
        <w:rPr>
          <w:rStyle w:val="FootnoteReference"/>
        </w:rPr>
        <w:footnoteRef/>
      </w:r>
      <w:r>
        <w:t xml:space="preserve"> </w:t>
      </w:r>
      <w:r w:rsidRPr="003239F2">
        <w:t xml:space="preserve">Sonja R. West, </w:t>
      </w:r>
      <w:r w:rsidRPr="003239F2">
        <w:rPr>
          <w:i/>
          <w:iCs/>
        </w:rPr>
        <w:t>Press Exceptionalism</w:t>
      </w:r>
      <w:r w:rsidRPr="003239F2">
        <w:t xml:space="preserve">, 127 </w:t>
      </w:r>
      <w:r w:rsidRPr="003239F2">
        <w:rPr>
          <w:smallCaps/>
        </w:rPr>
        <w:t>Harv. L. Rev.</w:t>
      </w:r>
      <w:r w:rsidRPr="003239F2">
        <w:t xml:space="preserve"> 2434, 2439 (2014)</w:t>
      </w:r>
      <w:r>
        <w:t xml:space="preserve">.  </w:t>
      </w:r>
    </w:p>
  </w:footnote>
  <w:footnote w:id="139">
    <w:p w14:paraId="06D8BD02" w14:textId="1A57246A" w:rsidR="000007AD" w:rsidRPr="003239F2" w:rsidRDefault="000007AD" w:rsidP="000007AD">
      <w:pPr>
        <w:pStyle w:val="FootnoteText"/>
      </w:pPr>
      <w:r w:rsidRPr="003239F2">
        <w:rPr>
          <w:rStyle w:val="FootnoteReference"/>
        </w:rPr>
        <w:footnoteRef/>
      </w:r>
      <w:r>
        <w:rPr>
          <w:i/>
          <w:iCs/>
        </w:rPr>
        <w:t xml:space="preserve"> </w:t>
      </w:r>
      <w:r w:rsidRPr="00CD03EC">
        <w:rPr>
          <w:i/>
          <w:iCs/>
        </w:rPr>
        <w:t>Id.</w:t>
      </w:r>
      <w:r>
        <w:t xml:space="preserve"> (“</w:t>
      </w:r>
      <w:r w:rsidRPr="00CE5640">
        <w:t>If the Speech Clause is the Court’s favorite child, the Press Clause has been the neglected one</w:t>
      </w:r>
      <w:r w:rsidRPr="003239F2">
        <w:t>.</w:t>
      </w:r>
      <w:r>
        <w:t>”).</w:t>
      </w:r>
    </w:p>
  </w:footnote>
  <w:footnote w:id="140">
    <w:p w14:paraId="7905D2F8" w14:textId="77777777" w:rsidR="00AC619C" w:rsidRPr="00801533" w:rsidRDefault="00AC619C" w:rsidP="00AC619C">
      <w:pPr>
        <w:pStyle w:val="FootnoteText"/>
      </w:pPr>
      <w:r w:rsidRPr="00801533">
        <w:rPr>
          <w:rStyle w:val="FootnoteReference"/>
        </w:rPr>
        <w:footnoteRef/>
      </w:r>
      <w:r>
        <w:t xml:space="preserve"> </w:t>
      </w:r>
      <w:r w:rsidRPr="00801533">
        <w:t xml:space="preserve">RonNell Andersen Jones &amp; Sonja R. West, </w:t>
      </w:r>
      <w:r w:rsidRPr="00801533">
        <w:rPr>
          <w:i/>
          <w:iCs/>
        </w:rPr>
        <w:t>The U.S. Supreme Court’s Characterizations of the Press: An Empirical Study</w:t>
      </w:r>
      <w:r w:rsidRPr="00801533">
        <w:t xml:space="preserve">, 100 </w:t>
      </w:r>
      <w:r w:rsidRPr="00801533">
        <w:rPr>
          <w:smallCaps/>
        </w:rPr>
        <w:t>N.C. L. Rev.</w:t>
      </w:r>
      <w:r w:rsidRPr="00801533">
        <w:t xml:space="preserve"> 375</w:t>
      </w:r>
      <w:r>
        <w:t>, 377</w:t>
      </w:r>
      <w:r w:rsidRPr="00801533">
        <w:t xml:space="preserve"> (2022).</w:t>
      </w:r>
    </w:p>
  </w:footnote>
  <w:footnote w:id="141">
    <w:p w14:paraId="75D88F63" w14:textId="77777777" w:rsidR="00AC619C" w:rsidRDefault="00AC619C" w:rsidP="00AC619C">
      <w:pPr>
        <w:pStyle w:val="FootnoteText"/>
      </w:pPr>
      <w:r w:rsidRPr="007B19A6">
        <w:rPr>
          <w:rStyle w:val="FootnoteReference"/>
        </w:rPr>
        <w:footnoteRef/>
      </w:r>
      <w:r>
        <w:t xml:space="preserve"> </w:t>
      </w:r>
      <w:r w:rsidRPr="007B19A6">
        <w:t xml:space="preserve">RonNell Andersen Jones, </w:t>
      </w:r>
      <w:r w:rsidRPr="007B19A6">
        <w:rPr>
          <w:i/>
          <w:iCs/>
        </w:rPr>
        <w:t>The Dangers of Press Clause Dicta</w:t>
      </w:r>
      <w:r w:rsidRPr="007B19A6">
        <w:t xml:space="preserve">, 48 </w:t>
      </w:r>
      <w:r w:rsidRPr="007B19A6">
        <w:rPr>
          <w:smallCaps/>
        </w:rPr>
        <w:t>Ga. L. Rev.</w:t>
      </w:r>
      <w:r w:rsidRPr="007B19A6">
        <w:t xml:space="preserve"> 706, 707, 709 (2014)</w:t>
      </w:r>
      <w:r>
        <w:t>.</w:t>
      </w:r>
    </w:p>
  </w:footnote>
  <w:footnote w:id="142">
    <w:p w14:paraId="4522E477" w14:textId="05F8D882" w:rsidR="00806A12" w:rsidRDefault="00806A12" w:rsidP="00806A12">
      <w:pPr>
        <w:pStyle w:val="FootnoteText"/>
      </w:pPr>
      <w:r w:rsidRPr="009875B4">
        <w:rPr>
          <w:rStyle w:val="FootnoteReference"/>
        </w:rPr>
        <w:footnoteRef/>
      </w:r>
      <w:r>
        <w:rPr>
          <w:i/>
          <w:iCs/>
        </w:rPr>
        <w:t xml:space="preserve"> </w:t>
      </w:r>
      <w:r w:rsidR="007C5E70" w:rsidRPr="009875B4">
        <w:rPr>
          <w:rFonts w:eastAsia="Times New Roman" w:cs="Times New Roman"/>
          <w:color w:val="000000"/>
        </w:rPr>
        <w:t>Robert</w:t>
      </w:r>
      <w:r w:rsidR="007C5E70">
        <w:rPr>
          <w:rFonts w:eastAsia="Times New Roman" w:cs="Times New Roman"/>
          <w:color w:val="000000"/>
        </w:rPr>
        <w:t xml:space="preserve"> D. Sack, </w:t>
      </w:r>
      <w:r w:rsidR="007C5E70">
        <w:rPr>
          <w:rFonts w:eastAsia="Times New Roman" w:cs="Times New Roman"/>
          <w:i/>
          <w:iCs/>
          <w:color w:val="000000"/>
        </w:rPr>
        <w:t>Reflections on the Wrong Question: Special Constitutional Privilege for the Institutional Press</w:t>
      </w:r>
      <w:r w:rsidR="007C5E70">
        <w:rPr>
          <w:rFonts w:eastAsia="Times New Roman" w:cs="Times New Roman"/>
          <w:color w:val="000000"/>
        </w:rPr>
        <w:t xml:space="preserve">, 7 </w:t>
      </w:r>
      <w:r w:rsidR="007C5E70">
        <w:rPr>
          <w:rFonts w:eastAsia="Times New Roman" w:cs="Times New Roman"/>
          <w:smallCaps/>
          <w:color w:val="000000"/>
        </w:rPr>
        <w:t>Hofstra L. Rev.</w:t>
      </w:r>
      <w:r w:rsidR="007C5E70">
        <w:rPr>
          <w:rFonts w:eastAsia="Times New Roman" w:cs="Times New Roman"/>
          <w:color w:val="000000"/>
        </w:rPr>
        <w:t xml:space="preserve"> 629, </w:t>
      </w:r>
      <w:r w:rsidR="007C5E70">
        <w:t xml:space="preserve">631 </w:t>
      </w:r>
      <w:r w:rsidR="007C5E70">
        <w:rPr>
          <w:rFonts w:eastAsia="Times New Roman" w:cs="Times New Roman"/>
          <w:color w:val="000000"/>
        </w:rPr>
        <w:t>(1979)</w:t>
      </w:r>
      <w:r>
        <w:t xml:space="preserve"> (citing </w:t>
      </w:r>
      <w:r w:rsidR="007C5E70" w:rsidRPr="00402FF2">
        <w:t>First Nat’l Bank of Boston v. Bellotti</w:t>
      </w:r>
      <w:r w:rsidR="007C5E70" w:rsidRPr="00801533">
        <w:t xml:space="preserve">, 435 U.S. 765, </w:t>
      </w:r>
      <w:r w:rsidR="007C5E70">
        <w:t>798–801</w:t>
      </w:r>
      <w:r w:rsidR="007C5E70" w:rsidRPr="00801533">
        <w:t xml:space="preserve"> (1978) (Burger, C.J., concurring)</w:t>
      </w:r>
      <w:r>
        <w:t>).</w:t>
      </w:r>
    </w:p>
  </w:footnote>
  <w:footnote w:id="143">
    <w:p w14:paraId="6DB35CF1" w14:textId="447E5298" w:rsidR="007C5E70" w:rsidRDefault="007C5E70">
      <w:pPr>
        <w:pStyle w:val="FootnoteText"/>
      </w:pPr>
      <w:r>
        <w:rPr>
          <w:rStyle w:val="FootnoteReference"/>
        </w:rPr>
        <w:footnoteRef/>
      </w:r>
      <w:r>
        <w:t xml:space="preserve"> West, </w:t>
      </w:r>
      <w:r w:rsidRPr="007C5E70">
        <w:rPr>
          <w:i/>
          <w:iCs/>
        </w:rPr>
        <w:t>supra</w:t>
      </w:r>
      <w:r>
        <w:t xml:space="preserve"> note </w:t>
      </w:r>
      <w:r>
        <w:fldChar w:fldCharType="begin"/>
      </w:r>
      <w:r>
        <w:instrText xml:space="preserve"> NOTEREF _Ref212983171 \h </w:instrText>
      </w:r>
      <w:r>
        <w:fldChar w:fldCharType="separate"/>
      </w:r>
      <w:r w:rsidR="00064C93">
        <w:t>138</w:t>
      </w:r>
      <w:r>
        <w:fldChar w:fldCharType="end"/>
      </w:r>
      <w:r>
        <w:t>, at 2439.</w:t>
      </w:r>
    </w:p>
  </w:footnote>
  <w:footnote w:id="144">
    <w:p w14:paraId="57C33BBF" w14:textId="50C90B6B"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The Supreme Court, 1977 Term</w:t>
      </w:r>
      <w:r w:rsidRPr="003B2F79">
        <w:t xml:space="preserve">, 92 </w:t>
      </w:r>
      <w:r w:rsidRPr="003B2F79">
        <w:rPr>
          <w:smallCaps/>
        </w:rPr>
        <w:t>Harv. L. Rev.</w:t>
      </w:r>
      <w:r w:rsidRPr="003B2F79">
        <w:t xml:space="preserve"> 174, 179 (1978).</w:t>
      </w:r>
    </w:p>
  </w:footnote>
  <w:footnote w:id="145">
    <w:p w14:paraId="77D7E573" w14:textId="6886476F" w:rsidR="00BF2649" w:rsidRPr="003B2F79" w:rsidRDefault="00BF2649" w:rsidP="00BF2649">
      <w:pPr>
        <w:pStyle w:val="FootnoteText"/>
        <w:rPr>
          <w:rFonts w:cs="Times New Roman"/>
        </w:rPr>
      </w:pPr>
      <w:r w:rsidRPr="003B2F79">
        <w:rPr>
          <w:rStyle w:val="FootnoteReference"/>
          <w:rFonts w:cs="Times New Roman"/>
        </w:rPr>
        <w:footnoteRef/>
      </w:r>
      <w:r w:rsidR="003D7AEC">
        <w:rPr>
          <w:rFonts w:cs="Times New Roman"/>
          <w:smallCaps/>
        </w:rPr>
        <w:t xml:space="preserve"> </w:t>
      </w:r>
      <w:r w:rsidRPr="003B2F79">
        <w:rPr>
          <w:rFonts w:cs="Times New Roman"/>
          <w:smallCaps/>
        </w:rPr>
        <w:t>The Federalist No.</w:t>
      </w:r>
      <w:r w:rsidRPr="003B2F79">
        <w:rPr>
          <w:rFonts w:cs="Times New Roman"/>
        </w:rPr>
        <w:t xml:space="preserve"> 84 (Alexander Hamilton).</w:t>
      </w:r>
    </w:p>
  </w:footnote>
  <w:footnote w:id="146">
    <w:p w14:paraId="308A6F87" w14:textId="6C305C2C"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Id.</w:t>
      </w:r>
    </w:p>
  </w:footnote>
  <w:footnote w:id="147">
    <w:p w14:paraId="49E56688" w14:textId="6CE3EE59" w:rsidR="00BF2649" w:rsidRPr="003B2F79" w:rsidRDefault="00BF2649" w:rsidP="00BF2649">
      <w:pPr>
        <w:pStyle w:val="FootnoteText"/>
      </w:pPr>
      <w:r w:rsidRPr="003B2F79">
        <w:rPr>
          <w:rStyle w:val="FootnoteReference"/>
        </w:rPr>
        <w:footnoteRef/>
      </w:r>
      <w:r w:rsidR="003D7AEC">
        <w:t xml:space="preserve"> </w:t>
      </w:r>
      <w:r w:rsidRPr="003B2F79">
        <w:rPr>
          <w:i/>
          <w:iCs/>
        </w:rPr>
        <w:t>See</w:t>
      </w:r>
      <w:r w:rsidR="00BB20E6">
        <w:rPr>
          <w:i/>
          <w:iCs/>
        </w:rPr>
        <w:t xml:space="preserve"> also, e.g.</w:t>
      </w:r>
      <w:r w:rsidR="00BB20E6">
        <w:t>,</w:t>
      </w:r>
      <w:r w:rsidRPr="003B2F79">
        <w:t xml:space="preserve"> First Nat’l Bank of Boston v. Bellotti, 435 U.S. 765, 801 (1978) (Burger, C.J., concurring) (expressing discomfort with the process of “including some entities within the ‘institutional press’ while excluding others” (quoting Lovell v. Griffin, 303 U.S. 444, 451–52 (1938))).</w:t>
      </w:r>
    </w:p>
  </w:footnote>
  <w:footnote w:id="148">
    <w:p w14:paraId="009B5D1B" w14:textId="73F0F706"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Lovell</w:t>
      </w:r>
      <w:r w:rsidRPr="003B2F79">
        <w:t>, 303 U.S. at 452.</w:t>
      </w:r>
    </w:p>
  </w:footnote>
  <w:footnote w:id="149">
    <w:p w14:paraId="634F8549" w14:textId="55139EEF" w:rsidR="00BF2649" w:rsidRPr="003B2F79" w:rsidRDefault="00BF2649" w:rsidP="00BF2649">
      <w:pPr>
        <w:pStyle w:val="FootnoteText"/>
      </w:pPr>
      <w:r w:rsidRPr="003B2F79">
        <w:rPr>
          <w:rStyle w:val="FootnoteReference"/>
        </w:rPr>
        <w:footnoteRef/>
      </w:r>
      <w:r w:rsidR="003D7AEC">
        <w:t xml:space="preserve"> </w:t>
      </w:r>
      <w:r w:rsidRPr="003B2F79">
        <w:t>Branzburg v. Hayes, 408 U.S. 665, 704 (1972) (plurality</w:t>
      </w:r>
      <w:r>
        <w:t xml:space="preserve"> opinion</w:t>
      </w:r>
      <w:r w:rsidRPr="003B2F79">
        <w:t>).</w:t>
      </w:r>
    </w:p>
  </w:footnote>
  <w:footnote w:id="150">
    <w:p w14:paraId="7CB92F5D" w14:textId="588A4ABC"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Id.</w:t>
      </w:r>
    </w:p>
  </w:footnote>
  <w:footnote w:id="151">
    <w:p w14:paraId="31343759" w14:textId="0D933B12" w:rsidR="00BB20E6" w:rsidRDefault="00BB20E6">
      <w:pPr>
        <w:pStyle w:val="FootnoteText"/>
      </w:pPr>
      <w:r>
        <w:rPr>
          <w:rStyle w:val="FootnoteReference"/>
        </w:rPr>
        <w:footnoteRef/>
      </w:r>
      <w:r>
        <w:t xml:space="preserve"> </w:t>
      </w:r>
      <w:r w:rsidRPr="00BB20E6">
        <w:rPr>
          <w:i/>
          <w:iCs/>
        </w:rPr>
        <w:t>Id.</w:t>
      </w:r>
      <w:r>
        <w:t xml:space="preserve"> at 704–05.</w:t>
      </w:r>
    </w:p>
  </w:footnote>
  <w:footnote w:id="152">
    <w:p w14:paraId="16464B9B" w14:textId="79AD23F6" w:rsidR="00BB20E6" w:rsidRDefault="00BB20E6">
      <w:pPr>
        <w:pStyle w:val="FootnoteText"/>
      </w:pPr>
      <w:r>
        <w:rPr>
          <w:rStyle w:val="FootnoteReference"/>
        </w:rPr>
        <w:footnoteRef/>
      </w:r>
      <w:r>
        <w:t xml:space="preserve"> </w:t>
      </w:r>
      <w:r w:rsidRPr="007309D2">
        <w:rPr>
          <w:i/>
          <w:iCs/>
        </w:rPr>
        <w:t>See</w:t>
      </w:r>
      <w:r>
        <w:t xml:space="preserve"> </w:t>
      </w:r>
      <w:proofErr w:type="gramStart"/>
      <w:r w:rsidRPr="007309D2">
        <w:rPr>
          <w:i/>
          <w:iCs/>
        </w:rPr>
        <w:t>supra</w:t>
      </w:r>
      <w:r>
        <w:t xml:space="preserve"> Part</w:t>
      </w:r>
      <w:proofErr w:type="gramEnd"/>
      <w:r>
        <w:t xml:space="preserve"> </w:t>
      </w:r>
      <w:r>
        <w:fldChar w:fldCharType="begin"/>
      </w:r>
      <w:r>
        <w:instrText xml:space="preserve"> REF _Ref212984648 \w \h </w:instrText>
      </w:r>
      <w:r>
        <w:fldChar w:fldCharType="separate"/>
      </w:r>
      <w:r w:rsidR="00064C93">
        <w:t>I.B.1</w:t>
      </w:r>
      <w:r>
        <w:fldChar w:fldCharType="end"/>
      </w:r>
      <w:r w:rsidR="007309D2">
        <w:t>.</w:t>
      </w:r>
    </w:p>
  </w:footnote>
  <w:footnote w:id="153">
    <w:p w14:paraId="771D23C8" w14:textId="628CE509" w:rsidR="007309D2" w:rsidRPr="00DD6AF6" w:rsidRDefault="007309D2" w:rsidP="007309D2">
      <w:pPr>
        <w:pStyle w:val="FootnoteText"/>
      </w:pPr>
      <w:r w:rsidRPr="003B2F79">
        <w:rPr>
          <w:rStyle w:val="FootnoteReference"/>
        </w:rPr>
        <w:footnoteRef/>
      </w:r>
      <w:r w:rsidR="00DD6AF6">
        <w:t xml:space="preserve"> </w:t>
      </w:r>
      <w:r w:rsidR="00DD6AF6" w:rsidRPr="00DD6AF6">
        <w:t>Dun &amp; Bradstreet, Inc. v. Greenmoss Builders, Inc.</w:t>
      </w:r>
      <w:r w:rsidR="00DD6AF6">
        <w:t xml:space="preserve">, </w:t>
      </w:r>
      <w:r w:rsidR="00DD6AF6" w:rsidRPr="003B2F79">
        <w:t>472 U.S. 749, 75</w:t>
      </w:r>
      <w:r w:rsidR="00DD6AF6">
        <w:t xml:space="preserve">1–52 </w:t>
      </w:r>
      <w:r w:rsidR="00DD6AF6" w:rsidRPr="003B2F79">
        <w:t>(1985).</w:t>
      </w:r>
    </w:p>
  </w:footnote>
  <w:footnote w:id="154">
    <w:p w14:paraId="33F2B2EF" w14:textId="2BC72A66" w:rsidR="007309D2" w:rsidRPr="003B2F79" w:rsidRDefault="007309D2" w:rsidP="007309D2">
      <w:pPr>
        <w:pStyle w:val="FootnoteText"/>
      </w:pPr>
      <w:r w:rsidRPr="003B2F79">
        <w:rPr>
          <w:rStyle w:val="FootnoteReference"/>
        </w:rPr>
        <w:footnoteRef/>
      </w:r>
      <w:r w:rsidR="00DD6AF6">
        <w:t xml:space="preserve"> </w:t>
      </w:r>
      <w:r w:rsidRPr="00DD6AF6">
        <w:t>Greenmoss Builders v. Dun &amp; Bradstreet</w:t>
      </w:r>
      <w:r w:rsidRPr="003B2F79">
        <w:t>, 461 A.2d 414, 417 (Vt. 1983).</w:t>
      </w:r>
    </w:p>
  </w:footnote>
  <w:footnote w:id="155">
    <w:p w14:paraId="00C7374C" w14:textId="5799F194" w:rsidR="007309D2" w:rsidRPr="003B2F79" w:rsidRDefault="007309D2" w:rsidP="007309D2">
      <w:pPr>
        <w:pStyle w:val="FootnoteText"/>
      </w:pPr>
      <w:r w:rsidRPr="003B2F79">
        <w:rPr>
          <w:rStyle w:val="FootnoteReference"/>
        </w:rPr>
        <w:footnoteRef/>
      </w:r>
      <w:r w:rsidR="00DD6AF6">
        <w:rPr>
          <w:i/>
          <w:iCs/>
        </w:rPr>
        <w:t xml:space="preserve"> </w:t>
      </w:r>
      <w:r w:rsidRPr="003B2F79">
        <w:rPr>
          <w:i/>
          <w:iCs/>
        </w:rPr>
        <w:t>Id.</w:t>
      </w:r>
      <w:r w:rsidRPr="003B2F79">
        <w:t xml:space="preserve"> at 418 (quoting </w:t>
      </w:r>
      <w:r w:rsidRPr="00DD6AF6">
        <w:t>Harley-Davidson Motorsports, Inc. v. Markley</w:t>
      </w:r>
      <w:r w:rsidRPr="003B2F79">
        <w:t>, 568 P.2d 1359 (Or. 1977)).</w:t>
      </w:r>
    </w:p>
  </w:footnote>
  <w:footnote w:id="156">
    <w:p w14:paraId="34441B5A" w14:textId="4FC6FF46" w:rsidR="00DD6AF6" w:rsidRPr="003B2F79" w:rsidRDefault="00DD6AF6" w:rsidP="00DD6AF6">
      <w:pPr>
        <w:pStyle w:val="FootnoteText"/>
      </w:pPr>
      <w:r w:rsidRPr="003B2F79">
        <w:rPr>
          <w:rStyle w:val="FootnoteReference"/>
        </w:rPr>
        <w:footnoteRef/>
      </w:r>
      <w:r w:rsidRPr="00DD6AF6">
        <w:t xml:space="preserve"> </w:t>
      </w:r>
      <w:r w:rsidRPr="003B2F79">
        <w:rPr>
          <w:i/>
          <w:iCs/>
        </w:rPr>
        <w:t>Dun &amp; Bradstreet</w:t>
      </w:r>
      <w:r w:rsidRPr="003B2F79">
        <w:t>, 472 U.S. at 753</w:t>
      </w:r>
      <w:r w:rsidR="003B0222">
        <w:t xml:space="preserve"> (plurality opinion)</w:t>
      </w:r>
      <w:r w:rsidRPr="003B2F79">
        <w:t>.</w:t>
      </w:r>
    </w:p>
  </w:footnote>
  <w:footnote w:id="157">
    <w:p w14:paraId="77B6A25F" w14:textId="21428E50" w:rsidR="00DD6AF6" w:rsidRPr="003B2F79" w:rsidRDefault="00DD6AF6" w:rsidP="00DD6AF6">
      <w:pPr>
        <w:pStyle w:val="FootnoteText"/>
      </w:pPr>
      <w:r w:rsidRPr="003B2F79">
        <w:rPr>
          <w:rStyle w:val="FootnoteReference"/>
        </w:rPr>
        <w:footnoteRef/>
      </w:r>
      <w:r w:rsidR="00736F72" w:rsidRPr="00736F72">
        <w:t xml:space="preserve"> </w:t>
      </w:r>
      <w:r w:rsidRPr="003B2F79">
        <w:rPr>
          <w:i/>
          <w:iCs/>
        </w:rPr>
        <w:t>Id.</w:t>
      </w:r>
      <w:r w:rsidRPr="003B2F79">
        <w:t xml:space="preserve"> at 75</w:t>
      </w:r>
      <w:r w:rsidR="003B0222">
        <w:t>9</w:t>
      </w:r>
      <w:r w:rsidRPr="003B2F79">
        <w:t xml:space="preserve"> (plurality</w:t>
      </w:r>
      <w:r>
        <w:t xml:space="preserve"> opinion</w:t>
      </w:r>
      <w:r w:rsidRPr="003B2F79">
        <w:t>).</w:t>
      </w:r>
    </w:p>
  </w:footnote>
  <w:footnote w:id="158">
    <w:p w14:paraId="02EDB43E" w14:textId="09C345A0" w:rsidR="00736F72" w:rsidRDefault="00736F72">
      <w:pPr>
        <w:pStyle w:val="FootnoteText"/>
      </w:pPr>
      <w:r>
        <w:rPr>
          <w:rStyle w:val="FootnoteReference"/>
        </w:rPr>
        <w:footnoteRef/>
      </w:r>
      <w:r>
        <w:t xml:space="preserve"> </w:t>
      </w:r>
      <w:r w:rsidRPr="00736F72">
        <w:rPr>
          <w:i/>
          <w:iCs/>
        </w:rPr>
        <w:t>Id.</w:t>
      </w:r>
      <w:r>
        <w:t xml:space="preserve"> at 775–76 (Brennan, J., dissenting).</w:t>
      </w:r>
    </w:p>
  </w:footnote>
  <w:footnote w:id="159">
    <w:p w14:paraId="10A4309D" w14:textId="77777777" w:rsidR="007D7471" w:rsidRPr="003B2F79" w:rsidRDefault="007D7471" w:rsidP="007D7471">
      <w:pPr>
        <w:pStyle w:val="FootnoteText"/>
      </w:pPr>
      <w:r w:rsidRPr="003B2F79">
        <w:rPr>
          <w:rStyle w:val="FootnoteReference"/>
        </w:rPr>
        <w:footnoteRef/>
      </w:r>
      <w:r>
        <w:t xml:space="preserve"> </w:t>
      </w:r>
      <w:r w:rsidRPr="003B2F79">
        <w:t>472 U.S. 749, 781–82 (1985) (Brennan, J., dissenting).</w:t>
      </w:r>
    </w:p>
  </w:footnote>
  <w:footnote w:id="160">
    <w:p w14:paraId="382A85C4" w14:textId="696E9A48" w:rsidR="007D7471" w:rsidRPr="003B2F79" w:rsidRDefault="007D7471" w:rsidP="007D7471">
      <w:pPr>
        <w:pStyle w:val="FootnoteText"/>
      </w:pPr>
      <w:r w:rsidRPr="003B2F79">
        <w:rPr>
          <w:rStyle w:val="FootnoteReference"/>
        </w:rPr>
        <w:footnoteRef/>
      </w:r>
      <w:r>
        <w:t xml:space="preserve"> </w:t>
      </w:r>
      <w:r w:rsidRPr="003B2F79">
        <w:t xml:space="preserve">Greenmoss Builders, 461 A.2d </w:t>
      </w:r>
      <w:r w:rsidR="00252435">
        <w:t>at</w:t>
      </w:r>
      <w:r w:rsidRPr="003B2F79">
        <w:t xml:space="preserve"> 417.  </w:t>
      </w:r>
    </w:p>
  </w:footnote>
  <w:footnote w:id="161">
    <w:p w14:paraId="525A88C4" w14:textId="77777777" w:rsidR="007D7471" w:rsidRPr="003B2F79" w:rsidRDefault="007D7471" w:rsidP="007D7471">
      <w:pPr>
        <w:pStyle w:val="FootnoteText"/>
      </w:pPr>
      <w:r w:rsidRPr="003B2F79">
        <w:rPr>
          <w:rStyle w:val="FootnoteReference"/>
        </w:rPr>
        <w:footnoteRef/>
      </w:r>
      <w:r>
        <w:rPr>
          <w:i/>
          <w:iCs/>
        </w:rPr>
        <w:t xml:space="preserve"> </w:t>
      </w:r>
      <w:r w:rsidRPr="003B2F79">
        <w:rPr>
          <w:i/>
          <w:iCs/>
        </w:rPr>
        <w:t>Id.</w:t>
      </w:r>
    </w:p>
  </w:footnote>
  <w:footnote w:id="162">
    <w:p w14:paraId="586EBF22" w14:textId="48748300" w:rsidR="00252435" w:rsidRDefault="00252435">
      <w:pPr>
        <w:pStyle w:val="FootnoteText"/>
      </w:pPr>
      <w:r>
        <w:rPr>
          <w:rStyle w:val="FootnoteReference"/>
        </w:rPr>
        <w:footnoteRef/>
      </w:r>
      <w:r>
        <w:t xml:space="preserve"> </w:t>
      </w:r>
      <w:r w:rsidRPr="003B2F79">
        <w:rPr>
          <w:i/>
          <w:iCs/>
        </w:rPr>
        <w:t>See, e.g.</w:t>
      </w:r>
      <w:r w:rsidRPr="003B2F79">
        <w:t xml:space="preserve">, </w:t>
      </w:r>
      <w:r w:rsidRPr="003B2F79">
        <w:rPr>
          <w:rFonts w:eastAsia="Times New Roman" w:cs="Times New Roman"/>
          <w:lang w:val="fr-FR"/>
        </w:rPr>
        <w:t>Dahlstrom v. Sun-Times Media, LLC, 777 F.3d 937, 946 (7th Cir. 2015); Reporters Comm. for Freedom of Press v. Am. Tel. &amp; Tel. Co., 593 F.2d 1030, 1060 (D.C. Cir. 1978); Smith v. Plati, 56 F. Supp. 2d 1195, 1203 (D. Colo. 1999)</w:t>
      </w:r>
      <w:r w:rsidR="005C7B9F">
        <w:rPr>
          <w:rFonts w:eastAsia="Times New Roman" w:cs="Times New Roman"/>
          <w:lang w:val="fr-FR"/>
        </w:rPr>
        <w:t>,</w:t>
      </w:r>
      <w:r w:rsidRPr="003B2F79">
        <w:rPr>
          <w:rFonts w:eastAsia="Times New Roman" w:cs="Times New Roman"/>
          <w:lang w:val="fr-FR"/>
        </w:rPr>
        <w:t xml:space="preserve"> </w:t>
      </w:r>
      <w:r w:rsidRPr="003B2F79">
        <w:rPr>
          <w:rFonts w:eastAsia="Times New Roman" w:cs="Times New Roman"/>
          <w:i/>
          <w:iCs/>
          <w:lang w:val="fr-FR"/>
        </w:rPr>
        <w:t>aff’d</w:t>
      </w:r>
      <w:r w:rsidRPr="003B2F79">
        <w:rPr>
          <w:rFonts w:eastAsia="Times New Roman" w:cs="Times New Roman"/>
          <w:lang w:val="fr-FR"/>
        </w:rPr>
        <w:t>, 258 F.3d 1167 (10th Cir. 2001).</w:t>
      </w:r>
    </w:p>
  </w:footnote>
  <w:footnote w:id="163">
    <w:p w14:paraId="1A9DF8F9" w14:textId="5B347E07" w:rsidR="00BF2649" w:rsidRPr="003B2F79" w:rsidRDefault="00BF2649" w:rsidP="00BF2649">
      <w:pPr>
        <w:pStyle w:val="FootnoteText"/>
      </w:pPr>
      <w:r w:rsidRPr="003B2F79">
        <w:rPr>
          <w:rStyle w:val="FootnoteReference"/>
        </w:rPr>
        <w:footnoteRef/>
      </w:r>
      <w:r w:rsidR="003D7AEC">
        <w:t xml:space="preserve"> </w:t>
      </w:r>
      <w:r w:rsidRPr="003B2F79">
        <w:t xml:space="preserve">Abrams, </w:t>
      </w:r>
      <w:r w:rsidRPr="003B2F79">
        <w:rPr>
          <w:i/>
        </w:rPr>
        <w:t>supra</w:t>
      </w:r>
      <w:r w:rsidRPr="003B2F79">
        <w:rPr>
          <w:iCs/>
        </w:rPr>
        <w:t xml:space="preserve"> note</w:t>
      </w:r>
      <w:r w:rsidR="00CF1114">
        <w:rPr>
          <w:iCs/>
        </w:rPr>
        <w:t xml:space="preserve"> </w:t>
      </w:r>
      <w:r w:rsidR="00CF1114">
        <w:rPr>
          <w:iCs/>
        </w:rPr>
        <w:fldChar w:fldCharType="begin"/>
      </w:r>
      <w:r w:rsidR="00CF1114">
        <w:rPr>
          <w:iCs/>
        </w:rPr>
        <w:instrText xml:space="preserve"> NOTEREF _Ref212979416 \h </w:instrText>
      </w:r>
      <w:r w:rsidR="00CF1114">
        <w:rPr>
          <w:iCs/>
        </w:rPr>
      </w:r>
      <w:r w:rsidR="00CF1114">
        <w:rPr>
          <w:iCs/>
        </w:rPr>
        <w:fldChar w:fldCharType="separate"/>
      </w:r>
      <w:r w:rsidR="00064C93">
        <w:rPr>
          <w:iCs/>
        </w:rPr>
        <w:t>46</w:t>
      </w:r>
      <w:r w:rsidR="00CF1114">
        <w:rPr>
          <w:iCs/>
        </w:rPr>
        <w:fldChar w:fldCharType="end"/>
      </w:r>
      <w:r w:rsidRPr="003B2F79">
        <w:t>, at 580</w:t>
      </w:r>
      <w:r w:rsidR="00351941">
        <w:t>.</w:t>
      </w:r>
    </w:p>
  </w:footnote>
  <w:footnote w:id="164">
    <w:p w14:paraId="4094010B" w14:textId="068A5FA1" w:rsidR="00BF2649" w:rsidRPr="003B2F79" w:rsidRDefault="00BF2649" w:rsidP="00BF2649">
      <w:pPr>
        <w:pStyle w:val="FootnoteText"/>
      </w:pPr>
      <w:r w:rsidRPr="003B2F79">
        <w:rPr>
          <w:rStyle w:val="FootnoteReference"/>
        </w:rPr>
        <w:footnoteRef/>
      </w:r>
      <w:r w:rsidR="003D7AEC">
        <w:t xml:space="preserve"> </w:t>
      </w:r>
      <w:r w:rsidR="00351941" w:rsidRPr="00351941">
        <w:rPr>
          <w:i/>
          <w:iCs/>
        </w:rPr>
        <w:t>Id.</w:t>
      </w:r>
    </w:p>
  </w:footnote>
  <w:footnote w:id="165">
    <w:p w14:paraId="4C49770B" w14:textId="7EEB8F2C" w:rsidR="00351941" w:rsidRDefault="00351941">
      <w:pPr>
        <w:pStyle w:val="FootnoteText"/>
      </w:pPr>
      <w:r>
        <w:rPr>
          <w:rStyle w:val="FootnoteReference"/>
        </w:rPr>
        <w:footnoteRef/>
      </w:r>
      <w:r>
        <w:t xml:space="preserve"> </w:t>
      </w:r>
      <w:r w:rsidRPr="00351941">
        <w:rPr>
          <w:i/>
          <w:iCs/>
        </w:rPr>
        <w:t>See</w:t>
      </w:r>
      <w:r>
        <w:t xml:space="preserve"> </w:t>
      </w:r>
      <w:r w:rsidRPr="00351941">
        <w:rPr>
          <w:i/>
          <w:iCs/>
        </w:rPr>
        <w:t>id.</w:t>
      </w:r>
    </w:p>
  </w:footnote>
  <w:footnote w:id="166">
    <w:p w14:paraId="558B2A52" w14:textId="77777777" w:rsidR="00351941" w:rsidRDefault="00351941" w:rsidP="00351941">
      <w:pPr>
        <w:pStyle w:val="FootnoteText"/>
      </w:pPr>
      <w:r>
        <w:rPr>
          <w:rStyle w:val="FootnoteReference"/>
        </w:rPr>
        <w:footnoteRef/>
      </w:r>
      <w:r>
        <w:t xml:space="preserve"> </w:t>
      </w:r>
      <w:r w:rsidRPr="00351941">
        <w:rPr>
          <w:i/>
          <w:iCs/>
        </w:rPr>
        <w:t>See</w:t>
      </w:r>
      <w:r>
        <w:t xml:space="preserve"> </w:t>
      </w:r>
      <w:r w:rsidRPr="00351941">
        <w:rPr>
          <w:i/>
          <w:iCs/>
        </w:rPr>
        <w:t>id.</w:t>
      </w:r>
      <w:r>
        <w:t xml:space="preserve"> (</w:t>
      </w:r>
      <w:r w:rsidRPr="003B2F79">
        <w:t>“[A] court [typically] has little difficulty knowing a journalist when it sees one.”</w:t>
      </w:r>
      <w:r>
        <w:t>).</w:t>
      </w:r>
    </w:p>
  </w:footnote>
  <w:footnote w:id="167">
    <w:p w14:paraId="08F8D3B3" w14:textId="7C5E8993"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Id.</w:t>
      </w:r>
      <w:r w:rsidRPr="003B2F79">
        <w:t xml:space="preserve"> at 581.</w:t>
      </w:r>
    </w:p>
  </w:footnote>
  <w:footnote w:id="168">
    <w:p w14:paraId="4CDE1F31" w14:textId="00251E18"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Id.</w:t>
      </w:r>
    </w:p>
  </w:footnote>
  <w:footnote w:id="169">
    <w:p w14:paraId="005F783E" w14:textId="5D15400A" w:rsidR="00BF2649" w:rsidRPr="003B2F79" w:rsidRDefault="00BF2649" w:rsidP="00BF2649">
      <w:pPr>
        <w:pStyle w:val="FootnoteText"/>
      </w:pPr>
      <w:r w:rsidRPr="003B2F79">
        <w:rPr>
          <w:rStyle w:val="FootnoteReference"/>
        </w:rPr>
        <w:footnoteRef/>
      </w:r>
      <w:r w:rsidR="003D7AEC">
        <w:rPr>
          <w:i/>
          <w:iCs/>
        </w:rPr>
        <w:t xml:space="preserve"> </w:t>
      </w:r>
      <w:r w:rsidRPr="003B2F79">
        <w:rPr>
          <w:i/>
          <w:iCs/>
        </w:rPr>
        <w:t>See</w:t>
      </w:r>
      <w:r w:rsidRPr="003B2F79">
        <w:t xml:space="preserve"> </w:t>
      </w:r>
      <w:r w:rsidRPr="003B2F79">
        <w:rPr>
          <w:smallCaps/>
        </w:rPr>
        <w:t>U.S. Const.</w:t>
      </w:r>
      <w:r w:rsidRPr="003B2F79">
        <w:t xml:space="preserve"> </w:t>
      </w:r>
      <w:proofErr w:type="gramStart"/>
      <w:r w:rsidRPr="003B2F79">
        <w:t>amend</w:t>
      </w:r>
      <w:proofErr w:type="gramEnd"/>
      <w:r w:rsidRPr="003B2F79">
        <w:t>. IV, XIV § 1.</w:t>
      </w:r>
    </w:p>
  </w:footnote>
  <w:footnote w:id="170">
    <w:p w14:paraId="6994830A" w14:textId="1955B8B2" w:rsidR="00BF2649" w:rsidRPr="003B2F79" w:rsidRDefault="00D50F7E" w:rsidP="00BF2649">
      <w:pPr>
        <w:pStyle w:val="FootnoteText"/>
      </w:pPr>
      <w:r>
        <w:rPr>
          <w:rStyle w:val="FootnoteReference"/>
        </w:rPr>
        <w:footnoteRef/>
      </w:r>
      <w:bookmarkStart w:id="34" w:name="_Hlk203053721"/>
      <w:r w:rsidR="003D7AEC">
        <w:t xml:space="preserve"> </w:t>
      </w:r>
      <w:r w:rsidR="00BF2649" w:rsidRPr="003B2F79">
        <w:t xml:space="preserve">Sonja R. West, </w:t>
      </w:r>
      <w:r w:rsidR="00BF2649" w:rsidRPr="003B2F79">
        <w:rPr>
          <w:i/>
          <w:iCs/>
        </w:rPr>
        <w:t>Awakening the Press Clause</w:t>
      </w:r>
      <w:r w:rsidR="00BF2649" w:rsidRPr="003B2F79">
        <w:t xml:space="preserve">, 58 </w:t>
      </w:r>
      <w:r w:rsidR="00BF2649" w:rsidRPr="003B2F79">
        <w:rPr>
          <w:smallCaps/>
        </w:rPr>
        <w:t>UCLA L. Rev.</w:t>
      </w:r>
      <w:r w:rsidR="00BF2649" w:rsidRPr="003B2F79">
        <w:t xml:space="preserve"> 1025, 1028–29, 1033, 1039–40 (2011)</w:t>
      </w:r>
      <w:bookmarkEnd w:id="34"/>
      <w:r w:rsidR="00BF2649" w:rsidRPr="003B2F79">
        <w:t xml:space="preserve"> [hereinafter West, </w:t>
      </w:r>
      <w:r w:rsidR="00BF2649" w:rsidRPr="003B2F79">
        <w:rPr>
          <w:i/>
          <w:iCs/>
        </w:rPr>
        <w:t>Awakening</w:t>
      </w:r>
      <w:r w:rsidR="00BF2649" w:rsidRPr="003B2F79">
        <w:t>].</w:t>
      </w:r>
    </w:p>
  </w:footnote>
  <w:footnote w:id="171">
    <w:p w14:paraId="25625624" w14:textId="0953DC45" w:rsidR="00A1643B" w:rsidRDefault="00A1643B">
      <w:pPr>
        <w:pStyle w:val="FootnoteText"/>
      </w:pPr>
      <w:r>
        <w:rPr>
          <w:rStyle w:val="FootnoteReference"/>
        </w:rPr>
        <w:footnoteRef/>
      </w:r>
      <w:r>
        <w:t xml:space="preserve"> U.S. Const. amend. I.</w:t>
      </w:r>
    </w:p>
  </w:footnote>
  <w:footnote w:id="172">
    <w:p w14:paraId="10D9ED6E" w14:textId="5F9A27FD" w:rsidR="0051247D" w:rsidRPr="003B2F79" w:rsidRDefault="0051247D" w:rsidP="0051247D">
      <w:pPr>
        <w:pStyle w:val="FootnoteText"/>
      </w:pPr>
      <w:r w:rsidRPr="003B2F79">
        <w:rPr>
          <w:rStyle w:val="FootnoteReference"/>
          <w:rFonts w:cs="Times New Roman"/>
        </w:rPr>
        <w:footnoteRef/>
      </w:r>
      <w:r>
        <w:t xml:space="preserve"> </w:t>
      </w:r>
      <w:r w:rsidRPr="0051247D">
        <w:rPr>
          <w:i/>
          <w:iCs/>
        </w:rPr>
        <w:t>See</w:t>
      </w:r>
      <w:r>
        <w:t xml:space="preserve"> </w:t>
      </w:r>
      <w:r w:rsidRPr="003B2F79">
        <w:t xml:space="preserve">Hudson, </w:t>
      </w:r>
      <w:r w:rsidRPr="003B2F79">
        <w:rPr>
          <w:i/>
        </w:rPr>
        <w:t>supra</w:t>
      </w:r>
      <w:r w:rsidRPr="003B2F79">
        <w:t xml:space="preserve"> note</w:t>
      </w:r>
      <w:r>
        <w:t xml:space="preserve"> </w:t>
      </w:r>
      <w:r>
        <w:fldChar w:fldCharType="begin"/>
      </w:r>
      <w:r>
        <w:instrText xml:space="preserve"> NOTEREF _Ref198148394 \h </w:instrText>
      </w:r>
      <w:r>
        <w:fldChar w:fldCharType="separate"/>
      </w:r>
      <w:r w:rsidR="00064C93">
        <w:t>7</w:t>
      </w:r>
      <w:r>
        <w:fldChar w:fldCharType="end"/>
      </w:r>
      <w:r w:rsidRPr="003B2F79">
        <w:t>.</w:t>
      </w:r>
    </w:p>
  </w:footnote>
  <w:footnote w:id="173">
    <w:p w14:paraId="2F410342" w14:textId="0D92687D" w:rsidR="0030227F" w:rsidRPr="00C11544" w:rsidRDefault="0030227F" w:rsidP="0030227F">
      <w:pPr>
        <w:pStyle w:val="FootnoteText"/>
      </w:pPr>
      <w:r w:rsidRPr="003B2F79">
        <w:rPr>
          <w:rStyle w:val="FootnoteReference"/>
          <w:rFonts w:cs="Times New Roman"/>
        </w:rPr>
        <w:footnoteRef/>
      </w:r>
      <w:r w:rsidR="002479C4">
        <w:t xml:space="preserve"> </w:t>
      </w:r>
      <w:r w:rsidR="00C11544">
        <w:rPr>
          <w:i/>
          <w:iCs/>
        </w:rPr>
        <w:t>Id.</w:t>
      </w:r>
      <w:r w:rsidR="00C11544">
        <w:t xml:space="preserve">  For Professor Hudson, this is </w:t>
      </w:r>
      <w:proofErr w:type="gramStart"/>
      <w:r w:rsidR="00C11544">
        <w:t>significant in itself, showing</w:t>
      </w:r>
      <w:proofErr w:type="gramEnd"/>
      <w:r w:rsidR="00C11544">
        <w:t xml:space="preserve"> that “</w:t>
      </w:r>
      <w:r w:rsidR="00C11544" w:rsidRPr="00411941">
        <w:t>freedom of the press had special relevance and importance”</w:t>
      </w:r>
      <w:r w:rsidR="00C11544">
        <w:t xml:space="preserve"> at the founding.  </w:t>
      </w:r>
      <w:r w:rsidR="00C11544" w:rsidRPr="00C11544">
        <w:rPr>
          <w:i/>
          <w:iCs/>
        </w:rPr>
        <w:t>Id.</w:t>
      </w:r>
    </w:p>
  </w:footnote>
  <w:footnote w:id="174">
    <w:p w14:paraId="3B0DEE51" w14:textId="432B3CCA" w:rsidR="009D187C" w:rsidRDefault="009D187C">
      <w:pPr>
        <w:pStyle w:val="FootnoteText"/>
      </w:pPr>
      <w:r>
        <w:rPr>
          <w:rStyle w:val="FootnoteReference"/>
        </w:rPr>
        <w:footnoteRef/>
      </w:r>
      <w:r>
        <w:t xml:space="preserve"> </w:t>
      </w:r>
      <w:r w:rsidR="007A1B57">
        <w:t xml:space="preserve">1 </w:t>
      </w:r>
      <w:r w:rsidRPr="009D187C">
        <w:rPr>
          <w:smallCaps/>
        </w:rPr>
        <w:t>Annals of Cong</w:t>
      </w:r>
      <w:r>
        <w:rPr>
          <w:smallCaps/>
        </w:rPr>
        <w:t>ress</w:t>
      </w:r>
      <w:r w:rsidRPr="009D187C">
        <w:t xml:space="preserve"> 434 (1789)</w:t>
      </w:r>
      <w:r>
        <w:t>.</w:t>
      </w:r>
    </w:p>
  </w:footnote>
  <w:footnote w:id="175">
    <w:p w14:paraId="6F14AB27" w14:textId="25064DB6" w:rsidR="009D187C" w:rsidRDefault="009D187C">
      <w:pPr>
        <w:pStyle w:val="FootnoteText"/>
      </w:pPr>
      <w:r>
        <w:rPr>
          <w:rStyle w:val="FootnoteReference"/>
        </w:rPr>
        <w:footnoteRef/>
      </w:r>
      <w:r>
        <w:t xml:space="preserve"> </w:t>
      </w:r>
      <w:r w:rsidRPr="009D187C">
        <w:rPr>
          <w:i/>
          <w:iCs/>
        </w:rPr>
        <w:t>Id.</w:t>
      </w:r>
      <w:r>
        <w:t xml:space="preserve"> at 435.</w:t>
      </w:r>
    </w:p>
  </w:footnote>
  <w:footnote w:id="176">
    <w:p w14:paraId="37BF1405" w14:textId="1AB0F9A0" w:rsidR="009D187C" w:rsidRDefault="009D187C">
      <w:pPr>
        <w:pStyle w:val="FootnoteText"/>
      </w:pPr>
      <w:r>
        <w:rPr>
          <w:rStyle w:val="FootnoteReference"/>
        </w:rPr>
        <w:footnoteRef/>
      </w:r>
      <w:r>
        <w:t xml:space="preserve"> </w:t>
      </w:r>
      <w:bookmarkStart w:id="39" w:name="_Hlk212995120"/>
      <w:r w:rsidRPr="00B45326">
        <w:rPr>
          <w:i/>
          <w:iCs/>
        </w:rPr>
        <w:t>Amdt1.7.1 Historical Background on Free Speech Clause</w:t>
      </w:r>
      <w:r>
        <w:t xml:space="preserve">, </w:t>
      </w:r>
      <w:r w:rsidRPr="00B45326">
        <w:rPr>
          <w:smallCaps/>
        </w:rPr>
        <w:t>Constitution Annotated</w:t>
      </w:r>
      <w:r>
        <w:t xml:space="preserve">, </w:t>
      </w:r>
      <w:r w:rsidRPr="00B45326">
        <w:rPr>
          <w:smallCaps/>
        </w:rPr>
        <w:t>Congress.gov</w:t>
      </w:r>
      <w:r>
        <w:t xml:space="preserve"> (last visited Oct. 31, 2025); </w:t>
      </w:r>
      <w:r w:rsidR="00F6300A" w:rsidRPr="00F6300A">
        <w:t>https://</w:t>
      </w:r>
      <w:r w:rsidR="00F6300A" w:rsidRPr="00F6300A">
        <w:rPr>
          <w:rFonts w:ascii="Times New Roman" w:hAnsi="Times New Roman" w:cs="Times New Roman"/>
        </w:rPr>
        <w:t>​</w:t>
      </w:r>
      <w:r w:rsidR="00F6300A" w:rsidRPr="00F6300A">
        <w:t>consti</w:t>
      </w:r>
      <w:r w:rsidR="00F6300A" w:rsidRPr="00F6300A">
        <w:rPr>
          <w:rFonts w:ascii="Times New Roman" w:hAnsi="Times New Roman" w:cs="Times New Roman"/>
        </w:rPr>
        <w:t>​</w:t>
      </w:r>
      <w:r w:rsidR="00F6300A" w:rsidRPr="00F6300A">
        <w:t>tution.</w:t>
      </w:r>
      <w:r w:rsidR="00F6300A" w:rsidRPr="00F6300A">
        <w:rPr>
          <w:rFonts w:ascii="Times New Roman" w:hAnsi="Times New Roman" w:cs="Times New Roman"/>
        </w:rPr>
        <w:t>​</w:t>
      </w:r>
      <w:r w:rsidR="00F6300A" w:rsidRPr="00F6300A">
        <w:t>cong</w:t>
      </w:r>
      <w:r w:rsidR="00F6300A" w:rsidRPr="00F6300A">
        <w:rPr>
          <w:rFonts w:ascii="Times New Roman" w:hAnsi="Times New Roman" w:cs="Times New Roman"/>
        </w:rPr>
        <w:t>​</w:t>
      </w:r>
      <w:r w:rsidR="00F6300A" w:rsidRPr="00F6300A">
        <w:t>ress.</w:t>
      </w:r>
      <w:r w:rsidR="00F6300A" w:rsidRPr="00F6300A">
        <w:rPr>
          <w:rFonts w:ascii="Times New Roman" w:hAnsi="Times New Roman" w:cs="Times New Roman"/>
        </w:rPr>
        <w:t>​</w:t>
      </w:r>
      <w:r w:rsidR="00F6300A" w:rsidRPr="00F6300A">
        <w:t>gov/</w:t>
      </w:r>
      <w:r w:rsidR="00F6300A" w:rsidRPr="00F6300A">
        <w:rPr>
          <w:rFonts w:ascii="Times New Roman" w:hAnsi="Times New Roman" w:cs="Times New Roman"/>
        </w:rPr>
        <w:t>​</w:t>
      </w:r>
      <w:r w:rsidR="00F6300A" w:rsidRPr="00F6300A">
        <w:t>browse/essay/amdt1-7-1/ALDE_00013537/</w:t>
      </w:r>
      <w:r w:rsidR="00F6300A">
        <w:t xml:space="preserve"> [hereinafter </w:t>
      </w:r>
      <w:r w:rsidR="00F6300A" w:rsidRPr="00F6300A">
        <w:rPr>
          <w:i/>
          <w:iCs/>
        </w:rPr>
        <w:t>Historical Background</w:t>
      </w:r>
      <w:r w:rsidR="00F6300A">
        <w:t>]</w:t>
      </w:r>
      <w:r>
        <w:t>.</w:t>
      </w:r>
      <w:bookmarkEnd w:id="39"/>
    </w:p>
  </w:footnote>
  <w:footnote w:id="177">
    <w:p w14:paraId="445AD063" w14:textId="465A9159" w:rsidR="007A1B57" w:rsidRDefault="007A1B57">
      <w:pPr>
        <w:pStyle w:val="FootnoteText"/>
      </w:pPr>
      <w:r>
        <w:rPr>
          <w:rStyle w:val="FootnoteReference"/>
        </w:rPr>
        <w:footnoteRef/>
      </w:r>
      <w:r>
        <w:t xml:space="preserve"> </w:t>
      </w:r>
      <w:r w:rsidRPr="007A1B57">
        <w:rPr>
          <w:i/>
          <w:iCs/>
        </w:rPr>
        <w:t>Id.</w:t>
      </w:r>
    </w:p>
  </w:footnote>
  <w:footnote w:id="178">
    <w:p w14:paraId="33B30B2D" w14:textId="42FB52B1" w:rsidR="007A7F9A" w:rsidRPr="007A1B57" w:rsidRDefault="007A7F9A">
      <w:pPr>
        <w:pStyle w:val="FootnoteText"/>
      </w:pPr>
      <w:r>
        <w:rPr>
          <w:rStyle w:val="FootnoteReference"/>
        </w:rPr>
        <w:footnoteRef/>
      </w:r>
      <w:r>
        <w:t xml:space="preserve"> </w:t>
      </w:r>
      <w:r w:rsidR="007A1B57">
        <w:rPr>
          <w:i/>
          <w:iCs/>
        </w:rPr>
        <w:t>Id.</w:t>
      </w:r>
      <w:r w:rsidR="007A1B57">
        <w:t xml:space="preserve">  The House debate concerned the right to assemble and a proposal to add a “right of the people to instruct their Representatives.”  </w:t>
      </w:r>
      <w:r w:rsidR="007A1B57" w:rsidRPr="007A1B57">
        <w:rPr>
          <w:i/>
          <w:iCs/>
        </w:rPr>
        <w:t>Id.</w:t>
      </w:r>
      <w:r w:rsidR="007A1B57">
        <w:t xml:space="preserve"> (quoting </w:t>
      </w:r>
      <w:r w:rsidR="007A1B57" w:rsidRPr="007A1B57">
        <w:t xml:space="preserve">1 </w:t>
      </w:r>
      <w:r w:rsidR="007A1B57" w:rsidRPr="007A1B57">
        <w:rPr>
          <w:smallCaps/>
        </w:rPr>
        <w:t>Annals of Cong</w:t>
      </w:r>
      <w:r w:rsidR="007A1B57">
        <w:rPr>
          <w:smallCaps/>
        </w:rPr>
        <w:t>ress</w:t>
      </w:r>
      <w:r w:rsidR="007A1B57" w:rsidRPr="007A1B57">
        <w:t xml:space="preserve"> 731–49 (Aug. 15, 1789)</w:t>
      </w:r>
      <w:r w:rsidR="007A1B57">
        <w:t>)</w:t>
      </w:r>
      <w:r w:rsidR="007A1B57" w:rsidRPr="007A1B57">
        <w:t>.</w:t>
      </w:r>
    </w:p>
  </w:footnote>
  <w:footnote w:id="179">
    <w:p w14:paraId="64469C30" w14:textId="3054FDCC" w:rsidR="002841C6" w:rsidRDefault="002841C6">
      <w:pPr>
        <w:pStyle w:val="FootnoteText"/>
      </w:pPr>
      <w:r>
        <w:rPr>
          <w:rStyle w:val="FootnoteReference"/>
        </w:rPr>
        <w:footnoteRef/>
      </w:r>
      <w:r>
        <w:t xml:space="preserve"> </w:t>
      </w:r>
      <w:r w:rsidRPr="007A1B57">
        <w:t xml:space="preserve">1 </w:t>
      </w:r>
      <w:r w:rsidRPr="007A1B57">
        <w:rPr>
          <w:smallCaps/>
        </w:rPr>
        <w:t>Annals of Cong</w:t>
      </w:r>
      <w:r>
        <w:rPr>
          <w:smallCaps/>
        </w:rPr>
        <w:t>ress</w:t>
      </w:r>
      <w:r w:rsidRPr="007A1B57">
        <w:t xml:space="preserve"> 73</w:t>
      </w:r>
      <w:r>
        <w:t>8.</w:t>
      </w:r>
    </w:p>
  </w:footnote>
  <w:footnote w:id="180">
    <w:p w14:paraId="248239E4" w14:textId="32F39FE5" w:rsidR="006916F1" w:rsidRPr="00801533" w:rsidRDefault="006916F1" w:rsidP="006916F1">
      <w:pPr>
        <w:pStyle w:val="FootnoteText"/>
      </w:pPr>
      <w:r w:rsidRPr="00801533">
        <w:rPr>
          <w:rStyle w:val="FootnoteReference"/>
        </w:rPr>
        <w:footnoteRef/>
      </w:r>
      <w:r>
        <w:t xml:space="preserve"> </w:t>
      </w:r>
      <w:r w:rsidRPr="00801533">
        <w:t xml:space="preserve">An Act for the Punishment of Certain Crimes Against the United States (Sedition Act of 1798), 1 Stat. 596, </w:t>
      </w:r>
      <w:r w:rsidRPr="00801533">
        <w:rPr>
          <w:i/>
          <w:iCs/>
        </w:rPr>
        <w:t>in</w:t>
      </w:r>
      <w:r w:rsidRPr="00801533">
        <w:t xml:space="preserve"> </w:t>
      </w:r>
      <w:r w:rsidRPr="00801533">
        <w:rPr>
          <w:smallCaps/>
        </w:rPr>
        <w:t>Library of Congress, American Memory, A Century of Lawmaking for a New Nation: U.S. Congressional Documents and Debates, 1774–1875</w:t>
      </w:r>
      <w:r w:rsidRPr="00801533">
        <w:t>, at 596, https://memory.loc.gov/cgi-bin/</w:t>
      </w:r>
      <w:r w:rsidRPr="00801533">
        <w:rPr>
          <w:rFonts w:ascii="Times New Roman" w:hAnsi="Times New Roman" w:cs="Times New Roman"/>
        </w:rPr>
        <w:t>‌</w:t>
      </w:r>
      <w:r w:rsidRPr="00801533">
        <w:t>ampage?</w:t>
      </w:r>
      <w:r w:rsidRPr="00801533">
        <w:rPr>
          <w:rFonts w:ascii="Times New Roman" w:hAnsi="Times New Roman" w:cs="Times New Roman"/>
        </w:rPr>
        <w:t>‌</w:t>
      </w:r>
      <w:r w:rsidRPr="00801533">
        <w:t>collId=</w:t>
      </w:r>
      <w:r w:rsidRPr="00801533">
        <w:rPr>
          <w:rFonts w:ascii="Times New Roman" w:hAnsi="Times New Roman" w:cs="Times New Roman"/>
        </w:rPr>
        <w:t>‌</w:t>
      </w:r>
      <w:r w:rsidRPr="00801533">
        <w:t>llsl&amp;</w:t>
      </w:r>
      <w:r w:rsidRPr="00801533">
        <w:rPr>
          <w:rFonts w:ascii="Times New Roman" w:hAnsi="Times New Roman" w:cs="Times New Roman"/>
        </w:rPr>
        <w:t>‌</w:t>
      </w:r>
      <w:r w:rsidRPr="00801533">
        <w:t>file</w:t>
      </w:r>
      <w:r w:rsidRPr="00801533">
        <w:rPr>
          <w:rFonts w:ascii="Times New Roman" w:hAnsi="Times New Roman" w:cs="Times New Roman"/>
        </w:rPr>
        <w:t>‌</w:t>
      </w:r>
      <w:r w:rsidRPr="00801533">
        <w:t>Name=</w:t>
      </w:r>
      <w:r w:rsidRPr="00801533">
        <w:rPr>
          <w:rFonts w:ascii="Times New Roman" w:hAnsi="Times New Roman" w:cs="Times New Roman"/>
        </w:rPr>
        <w:t>‌</w:t>
      </w:r>
      <w:r w:rsidRPr="00801533">
        <w:t>001/</w:t>
      </w:r>
      <w:r w:rsidRPr="00801533">
        <w:rPr>
          <w:rFonts w:ascii="Times New Roman" w:hAnsi="Times New Roman" w:cs="Times New Roman"/>
        </w:rPr>
        <w:t>‌</w:t>
      </w:r>
      <w:r w:rsidRPr="00801533">
        <w:t>llsl001</w:t>
      </w:r>
      <w:r w:rsidRPr="00801533">
        <w:rPr>
          <w:rFonts w:ascii="Times New Roman" w:hAnsi="Times New Roman" w:cs="Times New Roman"/>
        </w:rPr>
        <w:t>‌</w:t>
      </w:r>
      <w:r w:rsidRPr="00801533">
        <w:t>.db&amp;</w:t>
      </w:r>
      <w:r w:rsidRPr="00801533">
        <w:rPr>
          <w:rFonts w:ascii="Times New Roman" w:hAnsi="Times New Roman" w:cs="Times New Roman"/>
        </w:rPr>
        <w:t>‌</w:t>
      </w:r>
      <w:r w:rsidRPr="00801533">
        <w:t>rec</w:t>
      </w:r>
      <w:r w:rsidRPr="00801533">
        <w:rPr>
          <w:rFonts w:ascii="Times New Roman" w:hAnsi="Times New Roman" w:cs="Times New Roman"/>
        </w:rPr>
        <w:t>‌</w:t>
      </w:r>
      <w:r w:rsidRPr="00801533">
        <w:t>Num=</w:t>
      </w:r>
      <w:r w:rsidRPr="00801533">
        <w:rPr>
          <w:rFonts w:ascii="Times New Roman" w:hAnsi="Times New Roman" w:cs="Times New Roman"/>
        </w:rPr>
        <w:t>‌</w:t>
      </w:r>
      <w:r w:rsidRPr="00801533">
        <w:t>719.</w:t>
      </w:r>
    </w:p>
  </w:footnote>
  <w:footnote w:id="181">
    <w:p w14:paraId="763B48BF" w14:textId="77E3BB72" w:rsidR="006916F1" w:rsidRDefault="006916F1">
      <w:pPr>
        <w:pStyle w:val="FootnoteText"/>
      </w:pPr>
      <w:r>
        <w:rPr>
          <w:rStyle w:val="FootnoteReference"/>
        </w:rPr>
        <w:footnoteRef/>
      </w:r>
      <w:r>
        <w:t xml:space="preserve"> </w:t>
      </w:r>
      <w:r w:rsidRPr="006916F1">
        <w:rPr>
          <w:i/>
          <w:iCs/>
        </w:rPr>
        <w:t>Id.</w:t>
      </w:r>
      <w:r>
        <w:t xml:space="preserve"> at 596.</w:t>
      </w:r>
    </w:p>
  </w:footnote>
  <w:footnote w:id="182">
    <w:p w14:paraId="5B2CA116" w14:textId="608E84C7" w:rsidR="00F32F31" w:rsidRPr="00801533" w:rsidRDefault="00F32F31" w:rsidP="00F32F31">
      <w:pPr>
        <w:pStyle w:val="FootnoteText"/>
      </w:pPr>
      <w:r w:rsidRPr="00801533">
        <w:rPr>
          <w:rStyle w:val="FootnoteReference"/>
        </w:rPr>
        <w:footnoteRef/>
      </w:r>
      <w:r w:rsidR="002479C4">
        <w:t xml:space="preserve"> </w:t>
      </w:r>
      <w:r w:rsidRPr="00801533">
        <w:t xml:space="preserve">Virginia Resolutions, 21 December 1798, </w:t>
      </w:r>
      <w:r w:rsidRPr="00801533">
        <w:rPr>
          <w:i/>
          <w:iCs/>
        </w:rPr>
        <w:t>in</w:t>
      </w:r>
      <w:r w:rsidRPr="00801533">
        <w:t xml:space="preserve"> </w:t>
      </w:r>
      <w:r w:rsidRPr="00801533">
        <w:rPr>
          <w:i/>
          <w:iCs/>
        </w:rPr>
        <w:t>Founders Online</w:t>
      </w:r>
      <w:r w:rsidRPr="00801533">
        <w:t xml:space="preserve">, National Archives, https://founders.archives.gov/documents/Madison/01-17-02-0128 (last visited </w:t>
      </w:r>
      <w:r w:rsidR="002479C4">
        <w:t>Oct. 31, 2025</w:t>
      </w:r>
      <w:r w:rsidRPr="00801533">
        <w:t xml:space="preserve">) (reprinting 17 </w:t>
      </w:r>
      <w:r w:rsidRPr="00801533">
        <w:rPr>
          <w:smallCaps/>
        </w:rPr>
        <w:t>The Papers of James Madison 31 March 1797–3 March 1801</w:t>
      </w:r>
      <w:r w:rsidRPr="00801533">
        <w:t xml:space="preserve"> &amp; supp. </w:t>
      </w:r>
      <w:r w:rsidRPr="00801533">
        <w:rPr>
          <w:smallCaps/>
        </w:rPr>
        <w:t>22 January 1778–9 August 1795</w:t>
      </w:r>
      <w:r w:rsidRPr="00801533">
        <w:t>, at 185–91 (David B. Mattern et al. eds. 1991)).</w:t>
      </w:r>
    </w:p>
  </w:footnote>
  <w:footnote w:id="183">
    <w:p w14:paraId="5A2CBF27" w14:textId="1F580EFC" w:rsidR="00F32F31" w:rsidRPr="00801533" w:rsidRDefault="00F32F31" w:rsidP="00F32F31">
      <w:pPr>
        <w:pStyle w:val="FootnoteText"/>
      </w:pPr>
      <w:r w:rsidRPr="00801533">
        <w:rPr>
          <w:rStyle w:val="FootnoteReference"/>
        </w:rPr>
        <w:footnoteRef/>
      </w:r>
      <w:r w:rsidR="002479C4">
        <w:rPr>
          <w:i/>
          <w:iCs/>
        </w:rPr>
        <w:t xml:space="preserve"> </w:t>
      </w:r>
      <w:r w:rsidR="0037128B">
        <w:rPr>
          <w:i/>
          <w:iCs/>
        </w:rPr>
        <w:t>See i</w:t>
      </w:r>
      <w:r w:rsidRPr="00801533">
        <w:rPr>
          <w:i/>
          <w:iCs/>
        </w:rPr>
        <w:t>d.</w:t>
      </w:r>
      <w:r w:rsidRPr="00801533">
        <w:t xml:space="preserve"> at editor’s note (quoting Enclosure ¶ 8, Letter from Thomas Jefferson to James Madison (Nov. 17, 1798), </w:t>
      </w:r>
      <w:r w:rsidRPr="00801533">
        <w:rPr>
          <w:i/>
          <w:iCs/>
        </w:rPr>
        <w:t>in</w:t>
      </w:r>
      <w:r w:rsidRPr="00801533">
        <w:t xml:space="preserve"> Founders Online, National Archives, </w:t>
      </w:r>
      <w:r w:rsidR="006A5E9D" w:rsidRPr="006A5E9D">
        <w:t>https://</w:t>
      </w:r>
      <w:r w:rsidR="006A5E9D" w:rsidRPr="006A5E9D">
        <w:rPr>
          <w:rFonts w:ascii="Times New Roman" w:hAnsi="Times New Roman" w:cs="Times New Roman"/>
        </w:rPr>
        <w:t>‌</w:t>
      </w:r>
      <w:r w:rsidR="006A5E9D" w:rsidRPr="006A5E9D">
        <w:t>foun</w:t>
      </w:r>
      <w:r w:rsidR="006A5E9D" w:rsidRPr="006A5E9D">
        <w:rPr>
          <w:rFonts w:ascii="Times New Roman" w:hAnsi="Times New Roman" w:cs="Times New Roman"/>
        </w:rPr>
        <w:t>​</w:t>
      </w:r>
      <w:r w:rsidR="006A5E9D" w:rsidRPr="006A5E9D">
        <w:t>ders</w:t>
      </w:r>
      <w:r w:rsidR="006A5E9D" w:rsidRPr="006A5E9D">
        <w:rPr>
          <w:rFonts w:ascii="Times New Roman" w:hAnsi="Times New Roman" w:cs="Times New Roman"/>
        </w:rPr>
        <w:t>‌</w:t>
      </w:r>
      <w:r w:rsidR="006A5E9D" w:rsidRPr="006A5E9D">
        <w:t>.arch</w:t>
      </w:r>
      <w:r w:rsidR="006A5E9D" w:rsidRPr="006A5E9D">
        <w:rPr>
          <w:rFonts w:ascii="Times New Roman" w:hAnsi="Times New Roman" w:cs="Times New Roman"/>
        </w:rPr>
        <w:t>‌</w:t>
      </w:r>
      <w:r w:rsidR="006A5E9D" w:rsidRPr="006A5E9D">
        <w:t>ives</w:t>
      </w:r>
      <w:r w:rsidR="006A5E9D" w:rsidRPr="006A5E9D">
        <w:rPr>
          <w:rFonts w:ascii="Times New Roman" w:hAnsi="Times New Roman" w:cs="Times New Roman"/>
        </w:rPr>
        <w:t>‌</w:t>
      </w:r>
      <w:r w:rsidR="006A5E9D" w:rsidRPr="006A5E9D">
        <w:t>.gov/</w:t>
      </w:r>
      <w:r w:rsidR="006A5E9D" w:rsidRPr="006A5E9D">
        <w:rPr>
          <w:rFonts w:ascii="Times New Roman" w:hAnsi="Times New Roman" w:cs="Times New Roman"/>
        </w:rPr>
        <w:t>‌</w:t>
      </w:r>
      <w:r w:rsidR="006A5E9D" w:rsidRPr="006A5E9D">
        <w:t>docu</w:t>
      </w:r>
      <w:r w:rsidR="006A5E9D" w:rsidRPr="006A5E9D">
        <w:rPr>
          <w:rFonts w:ascii="Times New Roman" w:hAnsi="Times New Roman" w:cs="Times New Roman"/>
        </w:rPr>
        <w:t>‌</w:t>
      </w:r>
      <w:r w:rsidR="006A5E9D" w:rsidRPr="006A5E9D">
        <w:t>ments/</w:t>
      </w:r>
      <w:r w:rsidR="006A5E9D" w:rsidRPr="006A5E9D">
        <w:rPr>
          <w:rFonts w:ascii="Times New Roman" w:hAnsi="Times New Roman" w:cs="Times New Roman"/>
        </w:rPr>
        <w:t>‌</w:t>
      </w:r>
      <w:r w:rsidR="006A5E9D" w:rsidRPr="006A5E9D">
        <w:t>Madi</w:t>
      </w:r>
      <w:r w:rsidR="006A5E9D" w:rsidRPr="006A5E9D">
        <w:rPr>
          <w:rFonts w:ascii="Times New Roman" w:hAnsi="Times New Roman" w:cs="Times New Roman"/>
        </w:rPr>
        <w:t>‌</w:t>
      </w:r>
      <w:r w:rsidR="006A5E9D" w:rsidRPr="006A5E9D">
        <w:t>son/</w:t>
      </w:r>
      <w:r w:rsidR="006A5E9D" w:rsidRPr="006A5E9D">
        <w:rPr>
          <w:rFonts w:ascii="Times New Roman" w:hAnsi="Times New Roman" w:cs="Times New Roman"/>
        </w:rPr>
        <w:t>‌</w:t>
      </w:r>
      <w:r w:rsidR="006A5E9D" w:rsidRPr="006A5E9D">
        <w:t>01-17-02-0122</w:t>
      </w:r>
      <w:r w:rsidRPr="00801533">
        <w:t>).</w:t>
      </w:r>
      <w:r w:rsidR="006A5E9D">
        <w:t xml:space="preserve">  Jefferson’s rhetoric in a proposed resolution he prepared for the Kentucky legislature, with its warnings of “revolution &amp; blood,” “</w:t>
      </w:r>
      <w:r w:rsidR="006A5E9D" w:rsidRPr="00FF2D18">
        <w:t>were too strongly worded</w:t>
      </w:r>
      <w:r w:rsidR="006A5E9D">
        <w:t xml:space="preserve">” for Madison.  </w:t>
      </w:r>
      <w:r w:rsidR="006A5E9D" w:rsidRPr="006A5E9D">
        <w:rPr>
          <w:i/>
          <w:iCs/>
        </w:rPr>
        <w:t>Id.</w:t>
      </w:r>
    </w:p>
  </w:footnote>
  <w:footnote w:id="184">
    <w:p w14:paraId="07EB9A85" w14:textId="0E5C5D79" w:rsidR="0037128B" w:rsidRPr="00801533" w:rsidRDefault="0037128B" w:rsidP="0037128B">
      <w:pPr>
        <w:pStyle w:val="FootnoteText"/>
      </w:pPr>
      <w:r w:rsidRPr="00801533">
        <w:rPr>
          <w:rStyle w:val="FootnoteReference"/>
        </w:rPr>
        <w:footnoteRef/>
      </w:r>
      <w:r>
        <w:rPr>
          <w:i/>
          <w:iCs/>
        </w:rPr>
        <w:t xml:space="preserve"> </w:t>
      </w:r>
      <w:r w:rsidRPr="00801533">
        <w:t xml:space="preserve">Letter from Thomas Jefferson to Edward Carrington (Jan. 16, 1787), </w:t>
      </w:r>
      <w:r w:rsidRPr="00801533">
        <w:rPr>
          <w:i/>
          <w:iCs/>
        </w:rPr>
        <w:t>in</w:t>
      </w:r>
      <w:r w:rsidRPr="00801533">
        <w:t xml:space="preserve"> Founders Online, National Archives, https://</w:t>
      </w:r>
      <w:r w:rsidRPr="00801533">
        <w:rPr>
          <w:rFonts w:ascii="Times New Roman" w:hAnsi="Times New Roman" w:cs="Times New Roman" w:hint="eastAsia"/>
          <w:rtl/>
        </w:rPr>
        <w:t>‌</w:t>
      </w:r>
      <w:r w:rsidRPr="00801533">
        <w:rPr>
          <w:rFonts w:ascii="Times New Roman" w:hAnsi="Times New Roman" w:cs="Times New Roman" w:hint="cs"/>
          <w:rtl/>
        </w:rPr>
        <w:t>​</w:t>
      </w:r>
      <w:r w:rsidRPr="00801533">
        <w:t>founders.</w:t>
      </w:r>
      <w:r w:rsidRPr="00801533">
        <w:rPr>
          <w:rFonts w:ascii="Times New Roman" w:hAnsi="Times New Roman" w:cs="Times New Roman" w:hint="cs"/>
          <w:rtl/>
        </w:rPr>
        <w:t>​</w:t>
      </w:r>
      <w:r w:rsidRPr="00801533">
        <w:t>archives.</w:t>
      </w:r>
      <w:r w:rsidRPr="00801533">
        <w:rPr>
          <w:rFonts w:ascii="Times New Roman" w:hAnsi="Times New Roman" w:cs="Times New Roman" w:hint="cs"/>
          <w:rtl/>
        </w:rPr>
        <w:t>​</w:t>
      </w:r>
      <w:r w:rsidRPr="00801533">
        <w:t>gov/</w:t>
      </w:r>
      <w:r w:rsidRPr="00801533">
        <w:rPr>
          <w:rFonts w:ascii="Times New Roman" w:hAnsi="Times New Roman" w:cs="Times New Roman" w:hint="cs"/>
          <w:rtl/>
        </w:rPr>
        <w:t>​</w:t>
      </w:r>
      <w:r w:rsidRPr="00801533">
        <w:t>docu</w:t>
      </w:r>
      <w:r w:rsidRPr="00801533">
        <w:rPr>
          <w:rFonts w:ascii="Times New Roman" w:hAnsi="Times New Roman" w:cs="Times New Roman" w:hint="cs"/>
          <w:rtl/>
        </w:rPr>
        <w:t>​</w:t>
      </w:r>
      <w:r w:rsidRPr="00801533">
        <w:t xml:space="preserve">ments/Jefferson/01-11-02-0047 (reprinting 11 </w:t>
      </w:r>
      <w:r w:rsidRPr="00801533">
        <w:rPr>
          <w:smallCaps/>
        </w:rPr>
        <w:t>The Papers of Thomas Jefferson, 1 January–6 August 1787</w:t>
      </w:r>
      <w:r w:rsidRPr="00801533">
        <w:t>, at 48–50 (Julian P. Boyd ed., 1955)) (“[W]ere it left to me to decide whether we should have a government without newspapers, or newspapers without a government, I should not hesitate a moment to prefer the latter.”).</w:t>
      </w:r>
    </w:p>
  </w:footnote>
  <w:footnote w:id="185">
    <w:p w14:paraId="1375941E" w14:textId="0084E937" w:rsidR="00C87C1F" w:rsidRDefault="00C87C1F">
      <w:pPr>
        <w:pStyle w:val="FootnoteText"/>
      </w:pPr>
      <w:r>
        <w:rPr>
          <w:rStyle w:val="FootnoteReference"/>
        </w:rPr>
        <w:footnoteRef/>
      </w:r>
      <w:r>
        <w:t xml:space="preserve"> </w:t>
      </w:r>
      <w:r w:rsidRPr="00F6300A">
        <w:rPr>
          <w:i/>
          <w:iCs/>
        </w:rPr>
        <w:t>See</w:t>
      </w:r>
      <w:r>
        <w:t xml:space="preserve"> </w:t>
      </w:r>
      <w:r w:rsidRPr="00F6300A">
        <w:rPr>
          <w:i/>
          <w:iCs/>
        </w:rPr>
        <w:t>Historical Background</w:t>
      </w:r>
      <w:r>
        <w:t xml:space="preserve">, </w:t>
      </w:r>
      <w:r w:rsidRPr="00F6300A">
        <w:rPr>
          <w:i/>
          <w:iCs/>
        </w:rPr>
        <w:t>supra</w:t>
      </w:r>
      <w:r>
        <w:t xml:space="preserve"> note </w:t>
      </w:r>
      <w:r>
        <w:fldChar w:fldCharType="begin"/>
      </w:r>
      <w:r>
        <w:instrText xml:space="preserve"> NOTEREF _Ref212997364 \h </w:instrText>
      </w:r>
      <w:r>
        <w:fldChar w:fldCharType="separate"/>
      </w:r>
      <w:r w:rsidR="00064C93">
        <w:t>176</w:t>
      </w:r>
      <w:r>
        <w:fldChar w:fldCharType="end"/>
      </w:r>
      <w:r>
        <w:t xml:space="preserve"> (citing </w:t>
      </w:r>
      <w:r w:rsidRPr="00C87C1F">
        <w:t xml:space="preserve">13 </w:t>
      </w:r>
      <w:r w:rsidRPr="00C87C1F">
        <w:rPr>
          <w:smallCaps/>
        </w:rPr>
        <w:t>Papers of Thomas Jefferson</w:t>
      </w:r>
      <w:r w:rsidRPr="00C87C1F">
        <w:t xml:space="preserve"> 442 (J. Boyd ed., 1955)</w:t>
      </w:r>
      <w:r>
        <w:t>).</w:t>
      </w:r>
    </w:p>
  </w:footnote>
  <w:footnote w:id="186">
    <w:p w14:paraId="01AE262B" w14:textId="6E14162B" w:rsidR="00F32F31" w:rsidRPr="00801533" w:rsidRDefault="00F32F31" w:rsidP="00F32F31">
      <w:pPr>
        <w:pStyle w:val="FootnoteText"/>
      </w:pPr>
      <w:r w:rsidRPr="00801533">
        <w:rPr>
          <w:rStyle w:val="FootnoteReference"/>
        </w:rPr>
        <w:footnoteRef/>
      </w:r>
      <w:r w:rsidR="002479C4">
        <w:t xml:space="preserve"> </w:t>
      </w:r>
      <w:r w:rsidRPr="00801533">
        <w:t>Letter from Thomas Jefferson to James Currie at 1 (Jan. 28, 1786), https://</w:t>
      </w:r>
      <w:r w:rsidRPr="00801533">
        <w:rPr>
          <w:rFonts w:ascii="Times New Roman" w:hAnsi="Times New Roman" w:cs="Times New Roman"/>
        </w:rPr>
        <w:t>‌</w:t>
      </w:r>
      <w:r w:rsidRPr="00801533">
        <w:t>www</w:t>
      </w:r>
      <w:r w:rsidRPr="00801533">
        <w:rPr>
          <w:rFonts w:ascii="Times New Roman" w:hAnsi="Times New Roman" w:cs="Times New Roman"/>
        </w:rPr>
        <w:t>‌</w:t>
      </w:r>
      <w:r w:rsidRPr="00801533">
        <w:t>.loc</w:t>
      </w:r>
      <w:r w:rsidRPr="00801533">
        <w:rPr>
          <w:rFonts w:ascii="Times New Roman" w:hAnsi="Times New Roman" w:cs="Times New Roman"/>
        </w:rPr>
        <w:t>‌</w:t>
      </w:r>
      <w:r w:rsidRPr="00801533">
        <w:t>.gov/</w:t>
      </w:r>
      <w:r w:rsidRPr="00801533">
        <w:rPr>
          <w:rFonts w:ascii="Times New Roman" w:hAnsi="Times New Roman" w:cs="Times New Roman"/>
        </w:rPr>
        <w:t>‌</w:t>
      </w:r>
      <w:r w:rsidRPr="00801533">
        <w:t>res</w:t>
      </w:r>
      <w:r w:rsidRPr="00801533">
        <w:rPr>
          <w:rFonts w:ascii="Times New Roman" w:hAnsi="Times New Roman" w:cs="Times New Roman"/>
        </w:rPr>
        <w:t>‌</w:t>
      </w:r>
      <w:r w:rsidRPr="00801533">
        <w:t>ource/</w:t>
      </w:r>
      <w:r w:rsidRPr="00801533">
        <w:rPr>
          <w:rFonts w:ascii="Times New Roman" w:hAnsi="Times New Roman" w:cs="Times New Roman"/>
        </w:rPr>
        <w:t>‌</w:t>
      </w:r>
      <w:r w:rsidRPr="00801533">
        <w:t>mtj1</w:t>
      </w:r>
      <w:r w:rsidRPr="00801533">
        <w:rPr>
          <w:rFonts w:ascii="Times New Roman" w:hAnsi="Times New Roman" w:cs="Times New Roman"/>
        </w:rPr>
        <w:t>‌</w:t>
      </w:r>
      <w:r w:rsidRPr="00801533">
        <w:t>.005_</w:t>
      </w:r>
      <w:r w:rsidRPr="00801533">
        <w:rPr>
          <w:rFonts w:ascii="Times New Roman" w:hAnsi="Times New Roman" w:cs="Times New Roman"/>
        </w:rPr>
        <w:t>‌</w:t>
      </w:r>
      <w:r w:rsidRPr="00801533">
        <w:t>0216_</w:t>
      </w:r>
      <w:r w:rsidRPr="00801533">
        <w:rPr>
          <w:rFonts w:ascii="Times New Roman" w:hAnsi="Times New Roman" w:cs="Times New Roman"/>
        </w:rPr>
        <w:t>‌</w:t>
      </w:r>
      <w:r w:rsidRPr="00801533">
        <w:t>0218/</w:t>
      </w:r>
      <w:r w:rsidRPr="00801533">
        <w:rPr>
          <w:rFonts w:ascii="Times New Roman" w:hAnsi="Times New Roman" w:cs="Times New Roman"/>
        </w:rPr>
        <w:t>‌</w:t>
      </w:r>
      <w:r w:rsidRPr="00801533">
        <w:t>?sp=</w:t>
      </w:r>
      <w:r w:rsidRPr="00801533">
        <w:rPr>
          <w:rFonts w:ascii="Times New Roman" w:hAnsi="Times New Roman" w:cs="Times New Roman"/>
        </w:rPr>
        <w:t>‌</w:t>
      </w:r>
      <w:r w:rsidRPr="00801533">
        <w:t>1&amp;st=</w:t>
      </w:r>
      <w:r w:rsidRPr="00801533">
        <w:rPr>
          <w:rFonts w:ascii="Times New Roman" w:hAnsi="Times New Roman" w:cs="Times New Roman"/>
        </w:rPr>
        <w:t>‌</w:t>
      </w:r>
      <w:r w:rsidRPr="00801533">
        <w:t xml:space="preserve">image.  </w:t>
      </w:r>
      <w:r w:rsidR="00C1792D">
        <w:t>Experts at the Library of Congress, which houses Jefferson’s library, cite this</w:t>
      </w:r>
      <w:r w:rsidRPr="00801533">
        <w:t xml:space="preserve"> </w:t>
      </w:r>
      <w:r w:rsidR="00C1792D">
        <w:t xml:space="preserve">quote </w:t>
      </w:r>
      <w:r w:rsidRPr="00801533">
        <w:t xml:space="preserve">as an example of his “staunch advoca[cy] of freedom of the press.”  Library of Congress, </w:t>
      </w:r>
      <w:r w:rsidRPr="00801533">
        <w:rPr>
          <w:i/>
          <w:iCs/>
        </w:rPr>
        <w:t>Thomas Jefferson: Establishing a Federal Republic</w:t>
      </w:r>
      <w:r w:rsidRPr="00801533">
        <w:t>, https://</w:t>
      </w:r>
      <w:r w:rsidRPr="00801533">
        <w:rPr>
          <w:rFonts w:ascii="Times New Roman" w:hAnsi="Times New Roman" w:cs="Times New Roman"/>
        </w:rPr>
        <w:t>​</w:t>
      </w:r>
      <w:proofErr w:type="gramStart"/>
      <w:r w:rsidRPr="00801533">
        <w:t>www</w:t>
      </w:r>
      <w:r w:rsidRPr="00801533">
        <w:rPr>
          <w:rFonts w:ascii="Times New Roman" w:hAnsi="Times New Roman" w:cs="Times New Roman"/>
        </w:rPr>
        <w:t>​</w:t>
      </w:r>
      <w:r w:rsidRPr="00801533">
        <w:t>.loc.gov</w:t>
      </w:r>
      <w:proofErr w:type="gramEnd"/>
      <w:r w:rsidRPr="00801533">
        <w:t>/</w:t>
      </w:r>
      <w:r w:rsidRPr="00801533">
        <w:rPr>
          <w:rFonts w:ascii="Times New Roman" w:hAnsi="Times New Roman" w:cs="Times New Roman"/>
        </w:rPr>
        <w:t>​</w:t>
      </w:r>
      <w:r w:rsidRPr="00801533">
        <w:t>exhibits/</w:t>
      </w:r>
      <w:r w:rsidRPr="00801533">
        <w:rPr>
          <w:rFonts w:ascii="Times New Roman" w:hAnsi="Times New Roman" w:cs="Times New Roman"/>
        </w:rPr>
        <w:t>​</w:t>
      </w:r>
      <w:r w:rsidRPr="00801533">
        <w:t>jefferson/</w:t>
      </w:r>
      <w:r w:rsidRPr="00801533">
        <w:rPr>
          <w:rFonts w:ascii="Times New Roman" w:hAnsi="Times New Roman" w:cs="Times New Roman"/>
        </w:rPr>
        <w:t>​</w:t>
      </w:r>
      <w:r w:rsidRPr="00801533">
        <w:t>jefffed.</w:t>
      </w:r>
      <w:r w:rsidRPr="00801533">
        <w:rPr>
          <w:rFonts w:ascii="Times New Roman" w:hAnsi="Times New Roman" w:cs="Times New Roman"/>
        </w:rPr>
        <w:t>​</w:t>
      </w:r>
      <w:r w:rsidRPr="00801533">
        <w:t xml:space="preserve">html (last visited </w:t>
      </w:r>
      <w:r w:rsidR="009C07BC">
        <w:t>Oct. 31, 2025</w:t>
      </w:r>
      <w:r w:rsidRPr="00801533">
        <w:t>).</w:t>
      </w:r>
      <w:r w:rsidR="00335E42">
        <w:t xml:space="preserve">  Despite some occasional waffling, Jefferson generally maintained this philosophical position for the rest of his life.  “There is no safe deposit for [liberty] but with the people themselves; </w:t>
      </w:r>
      <w:r w:rsidR="00335E42" w:rsidRPr="009F27AA">
        <w:t>nor can they be safe with them without information</w:t>
      </w:r>
      <w:r w:rsidR="00335E42">
        <w:t xml:space="preserve">,” he wrote in 1816.  </w:t>
      </w:r>
      <w:r w:rsidR="00335E42" w:rsidRPr="00801533">
        <w:t xml:space="preserve">Letter from Thomas Jefferson to Charles Yancey (Jan. 6, 1816), </w:t>
      </w:r>
      <w:r w:rsidR="00335E42" w:rsidRPr="00801533">
        <w:rPr>
          <w:i/>
          <w:iCs/>
        </w:rPr>
        <w:t>Founders Online</w:t>
      </w:r>
      <w:r w:rsidR="00335E42" w:rsidRPr="00801533">
        <w:t>, National Archives, https://</w:t>
      </w:r>
      <w:r w:rsidR="00335E42" w:rsidRPr="00801533">
        <w:rPr>
          <w:rFonts w:ascii="Times New Roman" w:hAnsi="Times New Roman" w:cs="Times New Roman"/>
        </w:rPr>
        <w:t>​</w:t>
      </w:r>
      <w:r w:rsidR="00335E42" w:rsidRPr="00801533">
        <w:t>founders.</w:t>
      </w:r>
      <w:r w:rsidR="00335E42" w:rsidRPr="00801533">
        <w:rPr>
          <w:rFonts w:ascii="Times New Roman" w:hAnsi="Times New Roman" w:cs="Times New Roman"/>
        </w:rPr>
        <w:t>​</w:t>
      </w:r>
      <w:r w:rsidR="00335E42" w:rsidRPr="00801533">
        <w:t>archives.</w:t>
      </w:r>
      <w:r w:rsidR="00335E42" w:rsidRPr="00801533">
        <w:rPr>
          <w:rFonts w:ascii="Times New Roman" w:hAnsi="Times New Roman" w:cs="Times New Roman"/>
        </w:rPr>
        <w:t>​</w:t>
      </w:r>
      <w:r w:rsidR="00335E42" w:rsidRPr="00801533">
        <w:t>gov/</w:t>
      </w:r>
      <w:r w:rsidR="00335E42" w:rsidRPr="00801533">
        <w:rPr>
          <w:rFonts w:ascii="Times New Roman" w:hAnsi="Times New Roman" w:cs="Times New Roman"/>
        </w:rPr>
        <w:t>​</w:t>
      </w:r>
      <w:r w:rsidR="00335E42" w:rsidRPr="00801533">
        <w:t>docu</w:t>
      </w:r>
      <w:r w:rsidR="00335E42" w:rsidRPr="00801533">
        <w:rPr>
          <w:rFonts w:ascii="Times New Roman" w:hAnsi="Times New Roman" w:cs="Times New Roman"/>
        </w:rPr>
        <w:t>​</w:t>
      </w:r>
      <w:r w:rsidR="00335E42" w:rsidRPr="00801533">
        <w:t>ments/</w:t>
      </w:r>
      <w:r w:rsidR="00335E42" w:rsidRPr="00801533">
        <w:rPr>
          <w:rFonts w:ascii="Times New Roman" w:hAnsi="Times New Roman" w:cs="Times New Roman"/>
        </w:rPr>
        <w:t>​</w:t>
      </w:r>
      <w:r w:rsidR="00335E42" w:rsidRPr="00801533">
        <w:t>Jeff</w:t>
      </w:r>
      <w:r w:rsidR="00335E42" w:rsidRPr="00801533">
        <w:rPr>
          <w:rFonts w:ascii="Times New Roman" w:hAnsi="Times New Roman" w:cs="Times New Roman"/>
        </w:rPr>
        <w:t>​</w:t>
      </w:r>
      <w:r w:rsidR="00335E42" w:rsidRPr="00801533">
        <w:t>er</w:t>
      </w:r>
      <w:r w:rsidR="00335E42" w:rsidRPr="00801533">
        <w:rPr>
          <w:rFonts w:ascii="Times New Roman" w:hAnsi="Times New Roman" w:cs="Times New Roman"/>
        </w:rPr>
        <w:t>​</w:t>
      </w:r>
      <w:r w:rsidR="00335E42" w:rsidRPr="00801533">
        <w:t>son/</w:t>
      </w:r>
      <w:r w:rsidR="00335E42" w:rsidRPr="00801533">
        <w:rPr>
          <w:rFonts w:ascii="Times New Roman" w:hAnsi="Times New Roman" w:cs="Times New Roman"/>
        </w:rPr>
        <w:t>​</w:t>
      </w:r>
      <w:r w:rsidR="00335E42" w:rsidRPr="00801533">
        <w:t xml:space="preserve">03-09-02-0209 (reprinting 9 </w:t>
      </w:r>
      <w:r w:rsidR="00335E42" w:rsidRPr="00801533">
        <w:rPr>
          <w:smallCaps/>
        </w:rPr>
        <w:t>The Papers of Thomas Jefferson, Retirement Series, September 1815 to April 1816</w:t>
      </w:r>
      <w:r w:rsidR="00335E42" w:rsidRPr="00801533">
        <w:t xml:space="preserve">, at 328–31 (J. Jefferson Looney, ed., 2012).  Yancey was a member of the Virginia General Assembly.  </w:t>
      </w:r>
      <w:r w:rsidR="00335E42" w:rsidRPr="00801533">
        <w:rPr>
          <w:smallCaps/>
        </w:rPr>
        <w:t>Kenneth B. Yancey, Charles Yancey of Albemarle &amp; Thomas Jefferson, Selected Correspondence 1807–1825</w:t>
      </w:r>
      <w:r w:rsidR="00335E42" w:rsidRPr="00801533">
        <w:t xml:space="preserve"> (2013), https://yancey</w:t>
      </w:r>
      <w:r w:rsidR="00335E42" w:rsidRPr="00801533">
        <w:rPr>
          <w:rFonts w:ascii="Times New Roman" w:hAnsi="Times New Roman" w:cs="Times New Roman"/>
        </w:rPr>
        <w:t>​</w:t>
      </w:r>
      <w:r w:rsidR="00335E42" w:rsidRPr="00801533">
        <w:t>family</w:t>
      </w:r>
      <w:r w:rsidR="00335E42" w:rsidRPr="00801533">
        <w:rPr>
          <w:rFonts w:ascii="Times New Roman" w:hAnsi="Times New Roman" w:cs="Times New Roman"/>
        </w:rPr>
        <w:t>​</w:t>
      </w:r>
      <w:r w:rsidR="00335E42" w:rsidRPr="00801533">
        <w:t>genealogy</w:t>
      </w:r>
      <w:r w:rsidR="00335E42" w:rsidRPr="00801533">
        <w:rPr>
          <w:rFonts w:ascii="Times New Roman" w:hAnsi="Times New Roman" w:cs="Times New Roman"/>
        </w:rPr>
        <w:t>​</w:t>
      </w:r>
      <w:r w:rsidR="00335E42" w:rsidRPr="00801533">
        <w:t>.org/</w:t>
      </w:r>
      <w:r w:rsidR="00335E42" w:rsidRPr="00801533">
        <w:rPr>
          <w:rFonts w:ascii="Times New Roman" w:hAnsi="Times New Roman" w:cs="Times New Roman"/>
        </w:rPr>
        <w:t>​</w:t>
      </w:r>
      <w:r w:rsidR="00335E42" w:rsidRPr="00801533">
        <w:t>charles</w:t>
      </w:r>
      <w:r w:rsidR="00335E42" w:rsidRPr="00801533">
        <w:rPr>
          <w:rFonts w:ascii="Times New Roman" w:hAnsi="Times New Roman" w:cs="Times New Roman"/>
        </w:rPr>
        <w:t>​</w:t>
      </w:r>
      <w:r w:rsidR="00335E42" w:rsidRPr="00801533">
        <w:t>yancey</w:t>
      </w:r>
      <w:r w:rsidR="00335E42" w:rsidRPr="00801533">
        <w:rPr>
          <w:rFonts w:ascii="Times New Roman" w:hAnsi="Times New Roman" w:cs="Times New Roman"/>
        </w:rPr>
        <w:t>​</w:t>
      </w:r>
      <w:r w:rsidR="00335E42" w:rsidRPr="00801533">
        <w:t>thomas</w:t>
      </w:r>
      <w:r w:rsidR="00335E42" w:rsidRPr="00801533">
        <w:rPr>
          <w:rFonts w:ascii="Times New Roman" w:hAnsi="Times New Roman" w:cs="Times New Roman"/>
        </w:rPr>
        <w:t>​</w:t>
      </w:r>
      <w:r w:rsidR="00335E42" w:rsidRPr="00801533">
        <w:t>jeff</w:t>
      </w:r>
      <w:r w:rsidR="00335E42" w:rsidRPr="00801533">
        <w:rPr>
          <w:rFonts w:ascii="Times New Roman" w:hAnsi="Times New Roman" w:cs="Times New Roman"/>
        </w:rPr>
        <w:t>​</w:t>
      </w:r>
      <w:r w:rsidR="00335E42" w:rsidRPr="00801533">
        <w:t>er</w:t>
      </w:r>
      <w:r w:rsidR="00335E42" w:rsidRPr="00801533">
        <w:rPr>
          <w:rFonts w:ascii="Times New Roman" w:hAnsi="Times New Roman" w:cs="Times New Roman"/>
        </w:rPr>
        <w:t>​</w:t>
      </w:r>
      <w:r w:rsidR="00335E42" w:rsidRPr="00801533">
        <w:t>son.</w:t>
      </w:r>
      <w:r w:rsidR="00335E42" w:rsidRPr="00801533">
        <w:rPr>
          <w:rFonts w:ascii="Times New Roman" w:hAnsi="Times New Roman" w:cs="Times New Roman"/>
        </w:rPr>
        <w:t>​</w:t>
      </w:r>
      <w:r w:rsidR="00335E42" w:rsidRPr="00801533">
        <w:t>pdf.</w:t>
      </w:r>
      <w:r w:rsidR="00335E42">
        <w:t xml:space="preserve">  But </w:t>
      </w:r>
      <w:proofErr w:type="gramStart"/>
      <w:r w:rsidR="00335E42">
        <w:t>as long as</w:t>
      </w:r>
      <w:proofErr w:type="gramEnd"/>
      <w:r w:rsidR="00335E42">
        <w:t xml:space="preserve"> “the press is free and every man able to read, all is safe.”  </w:t>
      </w:r>
      <w:r w:rsidR="00335E42" w:rsidRPr="00335E42">
        <w:rPr>
          <w:i/>
          <w:iCs/>
        </w:rPr>
        <w:t>Id.</w:t>
      </w:r>
    </w:p>
  </w:footnote>
  <w:footnote w:id="187">
    <w:p w14:paraId="0DB4E011" w14:textId="6C5B9E20" w:rsidR="00C1792D" w:rsidRDefault="00C1792D" w:rsidP="00C1792D">
      <w:pPr>
        <w:pStyle w:val="FootnoteText"/>
      </w:pPr>
      <w:r>
        <w:rPr>
          <w:rStyle w:val="FootnoteReference"/>
        </w:rPr>
        <w:footnoteRef/>
      </w:r>
      <w:r>
        <w:t xml:space="preserve"> </w:t>
      </w:r>
      <w:r w:rsidRPr="00F6300A">
        <w:rPr>
          <w:i/>
          <w:iCs/>
        </w:rPr>
        <w:t>Historical Background</w:t>
      </w:r>
      <w:r>
        <w:t xml:space="preserve">, </w:t>
      </w:r>
      <w:r w:rsidRPr="00F6300A">
        <w:rPr>
          <w:i/>
          <w:iCs/>
        </w:rPr>
        <w:t>supra</w:t>
      </w:r>
      <w:r>
        <w:t xml:space="preserve"> note </w:t>
      </w:r>
      <w:r>
        <w:fldChar w:fldCharType="begin"/>
      </w:r>
      <w:r>
        <w:instrText xml:space="preserve"> NOTEREF _Ref212997364 \h </w:instrText>
      </w:r>
      <w:r>
        <w:fldChar w:fldCharType="separate"/>
      </w:r>
      <w:r w:rsidR="00064C93">
        <w:t>176</w:t>
      </w:r>
      <w:r>
        <w:fldChar w:fldCharType="end"/>
      </w:r>
      <w:r w:rsidR="00C87C1F">
        <w:t xml:space="preserve"> (quoting </w:t>
      </w:r>
      <w:r w:rsidR="00C87C1F" w:rsidRPr="00C87C1F">
        <w:t>1</w:t>
      </w:r>
      <w:r w:rsidR="00C87C1F">
        <w:t>5</w:t>
      </w:r>
      <w:r w:rsidR="00C87C1F" w:rsidRPr="00C87C1F">
        <w:t xml:space="preserve"> </w:t>
      </w:r>
      <w:r w:rsidR="00C87C1F" w:rsidRPr="00C87C1F">
        <w:rPr>
          <w:smallCaps/>
        </w:rPr>
        <w:t>Papers of Thomas Jefferson</w:t>
      </w:r>
      <w:r w:rsidR="00C87C1F" w:rsidRPr="00C87C1F">
        <w:t xml:space="preserve"> </w:t>
      </w:r>
      <w:r w:rsidR="00C87C1F">
        <w:t>at 367)</w:t>
      </w:r>
      <w:r>
        <w:t>.</w:t>
      </w:r>
    </w:p>
  </w:footnote>
  <w:footnote w:id="188">
    <w:p w14:paraId="0697A312" w14:textId="29EC38D1" w:rsidR="0077789F" w:rsidRPr="003B2F79" w:rsidRDefault="0077789F" w:rsidP="0077789F">
      <w:pPr>
        <w:pStyle w:val="FootnoteText"/>
      </w:pPr>
      <w:r w:rsidRPr="003B2F79">
        <w:rPr>
          <w:rStyle w:val="FootnoteReference"/>
        </w:rPr>
        <w:footnoteRef/>
      </w:r>
      <w:r>
        <w:t xml:space="preserve"> </w:t>
      </w:r>
      <w:r w:rsidRPr="003B2F79">
        <w:t xml:space="preserve">Abrams, </w:t>
      </w:r>
      <w:r w:rsidRPr="003B2F79">
        <w:rPr>
          <w:i/>
        </w:rPr>
        <w:t>supra</w:t>
      </w:r>
      <w:r w:rsidRPr="003B2F79">
        <w:rPr>
          <w:iCs/>
        </w:rPr>
        <w:t xml:space="preserve"> note</w:t>
      </w:r>
      <w:r>
        <w:rPr>
          <w:iCs/>
        </w:rPr>
        <w:t xml:space="preserve"> </w:t>
      </w:r>
      <w:r>
        <w:rPr>
          <w:iCs/>
        </w:rPr>
        <w:fldChar w:fldCharType="begin"/>
      </w:r>
      <w:r>
        <w:rPr>
          <w:iCs/>
        </w:rPr>
        <w:instrText xml:space="preserve"> NOTEREF _Ref212979416 \h </w:instrText>
      </w:r>
      <w:r>
        <w:rPr>
          <w:iCs/>
        </w:rPr>
      </w:r>
      <w:r>
        <w:rPr>
          <w:iCs/>
        </w:rPr>
        <w:fldChar w:fldCharType="separate"/>
      </w:r>
      <w:r w:rsidR="00064C93">
        <w:rPr>
          <w:iCs/>
        </w:rPr>
        <w:t>46</w:t>
      </w:r>
      <w:r>
        <w:rPr>
          <w:iCs/>
        </w:rPr>
        <w:fldChar w:fldCharType="end"/>
      </w:r>
      <w:r w:rsidRPr="003B2F79">
        <w:t>, at 581–82.</w:t>
      </w:r>
    </w:p>
  </w:footnote>
  <w:footnote w:id="189">
    <w:p w14:paraId="26C4450B" w14:textId="119447A3" w:rsidR="006B262D" w:rsidRDefault="006B262D">
      <w:pPr>
        <w:pStyle w:val="FootnoteText"/>
      </w:pPr>
      <w:r>
        <w:rPr>
          <w:rStyle w:val="FootnoteReference"/>
        </w:rPr>
        <w:footnoteRef/>
      </w:r>
      <w:r>
        <w:t xml:space="preserve"> </w:t>
      </w:r>
      <w:r w:rsidRPr="00801533">
        <w:rPr>
          <w:i/>
          <w:iCs/>
        </w:rPr>
        <w:t>Compare</w:t>
      </w:r>
      <w:r w:rsidRPr="00801533">
        <w:t xml:space="preserve"> </w:t>
      </w:r>
      <w:r w:rsidRPr="005D440F">
        <w:t>Citizens United v. FEC</w:t>
      </w:r>
      <w:r w:rsidRPr="00801533">
        <w:t xml:space="preserve">, 558 U.S. 310, 352 (2010) (rejecting “the proposition that the institutional press has any constitutional privilege beyond that of other speakers” (quotation omitted)), </w:t>
      </w:r>
      <w:r w:rsidRPr="00801533">
        <w:rPr>
          <w:i/>
          <w:iCs/>
        </w:rPr>
        <w:t>and</w:t>
      </w:r>
      <w:r w:rsidRPr="00801533">
        <w:t xml:space="preserve"> </w:t>
      </w:r>
      <w:r w:rsidRPr="00801533">
        <w:rPr>
          <w:i/>
          <w:iCs/>
        </w:rPr>
        <w:t>id.</w:t>
      </w:r>
      <w:r w:rsidRPr="00801533">
        <w:t xml:space="preserve"> at 390 n.6 (Scalia, J., concurring) (“It is passing strange to interpret the phrase ‘the freedom of speech, or of the press’ to mean, not everyone’s right to speak or publish, but rather everyone’s right to speak or the institutional press’s right to publish.”), </w:t>
      </w:r>
      <w:r w:rsidRPr="00801533">
        <w:rPr>
          <w:i/>
          <w:iCs/>
        </w:rPr>
        <w:t>with</w:t>
      </w:r>
      <w:r w:rsidRPr="00801533">
        <w:t xml:space="preserve"> </w:t>
      </w:r>
      <w:r w:rsidRPr="00801533">
        <w:rPr>
          <w:i/>
          <w:iCs/>
        </w:rPr>
        <w:t>id.</w:t>
      </w:r>
      <w:r w:rsidRPr="00801533">
        <w:t xml:space="preserve"> at 431 (Stevens, J., dissenting) (“The text and history . . . suggests why one type of corporation, those that are part of the press, might be able to claim special First Amendment status”).</w:t>
      </w:r>
    </w:p>
  </w:footnote>
  <w:footnote w:id="190">
    <w:p w14:paraId="5EF331EB" w14:textId="1B4BE2B9" w:rsidR="006B262D" w:rsidRPr="00801533" w:rsidRDefault="006B262D" w:rsidP="006B262D">
      <w:pPr>
        <w:pStyle w:val="FootnoteText"/>
      </w:pPr>
      <w:r w:rsidRPr="00801533">
        <w:rPr>
          <w:rStyle w:val="FootnoteReference"/>
        </w:rPr>
        <w:footnoteRef/>
      </w:r>
      <w:r w:rsidRPr="00281DC3">
        <w:t xml:space="preserve"> </w:t>
      </w:r>
      <w:r w:rsidR="00A034C2">
        <w:t>P</w:t>
      </w:r>
      <w:r w:rsidR="00A034C2" w:rsidRPr="00801533">
        <w:t>atrick J. Charles</w:t>
      </w:r>
      <w:r w:rsidR="00A034C2">
        <w:t xml:space="preserve"> &amp; </w:t>
      </w:r>
      <w:r w:rsidR="00A034C2" w:rsidRPr="00801533">
        <w:t xml:space="preserve">Kevin F. O’Neill, </w:t>
      </w:r>
      <w:r w:rsidR="00A034C2" w:rsidRPr="00801533">
        <w:rPr>
          <w:i/>
          <w:iCs/>
        </w:rPr>
        <w:t>Saving the Press Clause from Ruin: The Customary Origins of a ‘Free Press’ as Interface to the Present and Future</w:t>
      </w:r>
      <w:r w:rsidR="00A034C2" w:rsidRPr="00801533">
        <w:t xml:space="preserve">, 2012 </w:t>
      </w:r>
      <w:r w:rsidR="00A034C2" w:rsidRPr="00801533">
        <w:rPr>
          <w:smallCaps/>
        </w:rPr>
        <w:t>Utah L. Rev.</w:t>
      </w:r>
      <w:r w:rsidR="00A034C2" w:rsidRPr="00801533">
        <w:t xml:space="preserve"> 1691 (2012)</w:t>
      </w:r>
      <w:r w:rsidR="00281DC3">
        <w:rPr>
          <w:rFonts w:cs="Times New Roman"/>
        </w:rPr>
        <w:t xml:space="preserve">; </w:t>
      </w:r>
      <w:r w:rsidRPr="00801533">
        <w:t xml:space="preserve">Eugene Volokh, </w:t>
      </w:r>
      <w:r w:rsidRPr="00801533">
        <w:rPr>
          <w:i/>
          <w:iCs/>
        </w:rPr>
        <w:t>Freedom for the Press as an Industry, or for the Press as a Technology? From the Framing to Today</w:t>
      </w:r>
      <w:r w:rsidRPr="00801533">
        <w:t xml:space="preserve">, 160 </w:t>
      </w:r>
      <w:r w:rsidRPr="00801533">
        <w:rPr>
          <w:smallCaps/>
        </w:rPr>
        <w:t>U. Pa. L. Rev.</w:t>
      </w:r>
      <w:r w:rsidRPr="00801533">
        <w:t xml:space="preserve"> 459 (2012); West, </w:t>
      </w:r>
      <w:r w:rsidRPr="00801533">
        <w:rPr>
          <w:i/>
          <w:iCs/>
        </w:rPr>
        <w:t>Awakening</w:t>
      </w:r>
      <w:r w:rsidRPr="00801533">
        <w:t xml:space="preserve">, </w:t>
      </w:r>
      <w:r w:rsidRPr="00801533">
        <w:rPr>
          <w:i/>
          <w:iCs/>
        </w:rPr>
        <w:t>supra</w:t>
      </w:r>
      <w:r w:rsidRPr="00801533">
        <w:t xml:space="preserve"> note</w:t>
      </w:r>
      <w:r>
        <w:t xml:space="preserve"> </w:t>
      </w:r>
      <w:r>
        <w:fldChar w:fldCharType="begin"/>
      </w:r>
      <w:r>
        <w:instrText xml:space="preserve"> NOTEREF _Ref198162275 \h </w:instrText>
      </w:r>
      <w:r>
        <w:fldChar w:fldCharType="separate"/>
      </w:r>
      <w:r w:rsidR="00064C93">
        <w:t>170</w:t>
      </w:r>
      <w:r>
        <w:fldChar w:fldCharType="end"/>
      </w:r>
      <w:r w:rsidRPr="00801533">
        <w:t xml:space="preserve">, at </w:t>
      </w:r>
      <w:r w:rsidR="00A034C2">
        <w:t>1025</w:t>
      </w:r>
      <w:r w:rsidRPr="00801533">
        <w:t>.</w:t>
      </w:r>
    </w:p>
  </w:footnote>
  <w:footnote w:id="191">
    <w:p w14:paraId="1CD432D7" w14:textId="0A86622C" w:rsidR="00C31F54" w:rsidRPr="00801533" w:rsidRDefault="00C31F54" w:rsidP="00C31F54">
      <w:pPr>
        <w:pStyle w:val="FootnoteText"/>
      </w:pPr>
      <w:r w:rsidRPr="00801533">
        <w:rPr>
          <w:rStyle w:val="FootnoteReference"/>
        </w:rPr>
        <w:footnoteRef/>
      </w:r>
      <w:r w:rsidR="00C22585">
        <w:rPr>
          <w:i/>
          <w:iCs/>
        </w:rPr>
        <w:t xml:space="preserve"> </w:t>
      </w:r>
      <w:r w:rsidR="00627FD6" w:rsidRPr="00DB2336">
        <w:t>Volokh</w:t>
      </w:r>
      <w:r w:rsidR="00627FD6">
        <w:t xml:space="preserve">, </w:t>
      </w:r>
      <w:r w:rsidR="00627FD6" w:rsidRPr="00DB2336">
        <w:rPr>
          <w:i/>
          <w:iCs/>
        </w:rPr>
        <w:t>supra</w:t>
      </w:r>
      <w:r w:rsidR="00627FD6">
        <w:t xml:space="preserve"> note</w:t>
      </w:r>
      <w:r w:rsidR="00BC063E">
        <w:t xml:space="preserve"> </w:t>
      </w:r>
      <w:r w:rsidR="00BC063E">
        <w:fldChar w:fldCharType="begin"/>
      </w:r>
      <w:r w:rsidR="00BC063E">
        <w:instrText xml:space="preserve"> NOTEREF _Ref159786881 \h </w:instrText>
      </w:r>
      <w:r w:rsidR="00BC063E">
        <w:fldChar w:fldCharType="separate"/>
      </w:r>
      <w:r w:rsidR="00064C93">
        <w:t>190</w:t>
      </w:r>
      <w:r w:rsidR="00BC063E">
        <w:fldChar w:fldCharType="end"/>
      </w:r>
      <w:r w:rsidR="00627FD6">
        <w:t xml:space="preserve">, </w:t>
      </w:r>
      <w:r w:rsidRPr="00801533">
        <w:t>at 462.</w:t>
      </w:r>
    </w:p>
  </w:footnote>
  <w:footnote w:id="192">
    <w:p w14:paraId="13AF2C10" w14:textId="2350903A" w:rsidR="00C31F54" w:rsidRPr="00801533" w:rsidRDefault="00C31F54" w:rsidP="00C31F54">
      <w:pPr>
        <w:pStyle w:val="FootnoteText"/>
      </w:pPr>
      <w:r w:rsidRPr="00801533">
        <w:rPr>
          <w:rStyle w:val="FootnoteReference"/>
        </w:rPr>
        <w:footnoteRef/>
      </w:r>
      <w:r w:rsidR="00C22585">
        <w:rPr>
          <w:i/>
          <w:iCs/>
        </w:rPr>
        <w:t xml:space="preserve"> </w:t>
      </w:r>
      <w:r w:rsidRPr="00801533">
        <w:rPr>
          <w:i/>
          <w:iCs/>
        </w:rPr>
        <w:t>Id.</w:t>
      </w:r>
      <w:r w:rsidRPr="00801533">
        <w:t xml:space="preserve"> at 462 n.10 (quoting </w:t>
      </w:r>
      <w:r w:rsidRPr="00402FF2">
        <w:t>First Nat’l Bank of Boston v. Bellotti</w:t>
      </w:r>
      <w:r w:rsidRPr="00801533">
        <w:t>, 435 U.S. 765, 800 n.5 (1978) (Burger, C.J., concurring)).</w:t>
      </w:r>
    </w:p>
  </w:footnote>
  <w:footnote w:id="193">
    <w:p w14:paraId="5C342997" w14:textId="581A6FAF" w:rsidR="00024DD9" w:rsidRPr="003B2F79" w:rsidRDefault="00024DD9" w:rsidP="00024DD9">
      <w:pPr>
        <w:pStyle w:val="FootnoteText"/>
      </w:pPr>
      <w:r w:rsidRPr="003B2F79">
        <w:rPr>
          <w:rStyle w:val="FootnoteReference"/>
        </w:rPr>
        <w:footnoteRef/>
      </w:r>
      <w:r w:rsidR="00205838">
        <w:rPr>
          <w:i/>
          <w:iCs/>
        </w:rPr>
        <w:t xml:space="preserve"> </w:t>
      </w:r>
      <w:r w:rsidRPr="003B2F79">
        <w:rPr>
          <w:i/>
          <w:iCs/>
        </w:rPr>
        <w:t>See id.</w:t>
      </w:r>
      <w:r w:rsidRPr="003B2F79">
        <w:t xml:space="preserve"> at 538–39.</w:t>
      </w:r>
    </w:p>
  </w:footnote>
  <w:footnote w:id="194">
    <w:p w14:paraId="5B1080CA" w14:textId="38042079" w:rsidR="00BC063E" w:rsidRDefault="00BC063E">
      <w:pPr>
        <w:pStyle w:val="FootnoteText"/>
      </w:pPr>
      <w:r>
        <w:rPr>
          <w:rStyle w:val="FootnoteReference"/>
        </w:rPr>
        <w:footnoteRef/>
      </w:r>
      <w:r>
        <w:t xml:space="preserve"> </w:t>
      </w:r>
      <w:r w:rsidR="000946D8" w:rsidRPr="000946D8">
        <w:rPr>
          <w:i/>
          <w:iCs/>
        </w:rPr>
        <w:t>Compare</w:t>
      </w:r>
      <w:r>
        <w:t xml:space="preserve"> Charles &amp; O’Neill, </w:t>
      </w:r>
      <w:r w:rsidRPr="00DB2336">
        <w:rPr>
          <w:i/>
          <w:iCs/>
        </w:rPr>
        <w:t>supra</w:t>
      </w:r>
      <w:r>
        <w:t xml:space="preserve"> note </w:t>
      </w:r>
      <w:r>
        <w:fldChar w:fldCharType="begin"/>
      </w:r>
      <w:r>
        <w:instrText xml:space="preserve"> NOTEREF _Ref159786881 \h </w:instrText>
      </w:r>
      <w:r>
        <w:fldChar w:fldCharType="separate"/>
      </w:r>
      <w:r w:rsidR="00064C93">
        <w:t>190</w:t>
      </w:r>
      <w:r>
        <w:fldChar w:fldCharType="end"/>
      </w:r>
      <w:r>
        <w:t xml:space="preserve">, </w:t>
      </w:r>
      <w:r w:rsidRPr="00801533">
        <w:t>at</w:t>
      </w:r>
      <w:r>
        <w:t xml:space="preserve"> </w:t>
      </w:r>
      <w:r w:rsidR="000946D8">
        <w:t xml:space="preserve">1769, </w:t>
      </w:r>
      <w:r w:rsidR="000946D8" w:rsidRPr="000946D8">
        <w:rPr>
          <w:i/>
          <w:iCs/>
        </w:rPr>
        <w:t>with</w:t>
      </w:r>
      <w:r w:rsidR="000946D8">
        <w:t xml:space="preserve"> </w:t>
      </w:r>
      <w:r w:rsidR="000946D8" w:rsidRPr="003B2F79">
        <w:t xml:space="preserve">Abrams, </w:t>
      </w:r>
      <w:r w:rsidR="000946D8" w:rsidRPr="003B2F79">
        <w:rPr>
          <w:i/>
        </w:rPr>
        <w:t>supra</w:t>
      </w:r>
      <w:r w:rsidR="000946D8" w:rsidRPr="003B2F79">
        <w:rPr>
          <w:iCs/>
        </w:rPr>
        <w:t xml:space="preserve"> note</w:t>
      </w:r>
      <w:r w:rsidR="000946D8">
        <w:rPr>
          <w:iCs/>
        </w:rPr>
        <w:t xml:space="preserve"> </w:t>
      </w:r>
      <w:r w:rsidR="000946D8">
        <w:rPr>
          <w:iCs/>
        </w:rPr>
        <w:fldChar w:fldCharType="begin"/>
      </w:r>
      <w:r w:rsidR="000946D8">
        <w:rPr>
          <w:iCs/>
        </w:rPr>
        <w:instrText xml:space="preserve"> NOTEREF _Ref212979416 \h </w:instrText>
      </w:r>
      <w:r w:rsidR="000946D8">
        <w:rPr>
          <w:iCs/>
        </w:rPr>
      </w:r>
      <w:r w:rsidR="000946D8">
        <w:rPr>
          <w:iCs/>
        </w:rPr>
        <w:fldChar w:fldCharType="separate"/>
      </w:r>
      <w:r w:rsidR="00064C93">
        <w:rPr>
          <w:iCs/>
        </w:rPr>
        <w:t>46</w:t>
      </w:r>
      <w:r w:rsidR="000946D8">
        <w:rPr>
          <w:iCs/>
        </w:rPr>
        <w:fldChar w:fldCharType="end"/>
      </w:r>
      <w:r w:rsidR="000946D8" w:rsidRPr="003B2F79">
        <w:t>, at 581–82</w:t>
      </w:r>
      <w:r w:rsidR="000946D8">
        <w:t xml:space="preserve"> (describing functional approach so broad as to sweep in “</w:t>
      </w:r>
      <w:r w:rsidR="000946D8">
        <w:rPr>
          <w:rFonts w:cs="Times New Roman"/>
        </w:rPr>
        <w:t>free-lance writers, radio and televi</w:t>
      </w:r>
      <w:r w:rsidR="000946D8" w:rsidRPr="004544BE">
        <w:rPr>
          <w:rFonts w:cs="Times New Roman"/>
        </w:rPr>
        <w:t>sion stations, magazines, academicians and any other person possessing</w:t>
      </w:r>
      <w:r w:rsidR="000946D8">
        <w:rPr>
          <w:rFonts w:cs="Times New Roman"/>
        </w:rPr>
        <w:t xml:space="preserve"> </w:t>
      </w:r>
      <w:r w:rsidR="000946D8" w:rsidRPr="004544BE">
        <w:rPr>
          <w:rFonts w:cs="Times New Roman"/>
        </w:rPr>
        <w:t>materials in connection with the dissemination to the public</w:t>
      </w:r>
      <w:r w:rsidR="000946D8">
        <w:rPr>
          <w:rFonts w:cs="Times New Roman"/>
        </w:rPr>
        <w:t xml:space="preserve"> </w:t>
      </w:r>
      <w:r w:rsidR="000946D8" w:rsidRPr="004544BE">
        <w:rPr>
          <w:rFonts w:cs="Times New Roman"/>
        </w:rPr>
        <w:t>of a newspaper, book, broadcast or other form of communication</w:t>
      </w:r>
      <w:r w:rsidR="000946D8">
        <w:rPr>
          <w:rFonts w:cs="Times New Roman"/>
        </w:rPr>
        <w:t>”)</w:t>
      </w:r>
      <w:r w:rsidR="000946D8" w:rsidRPr="003B2F79">
        <w:t>.</w:t>
      </w:r>
    </w:p>
  </w:footnote>
  <w:footnote w:id="195">
    <w:p w14:paraId="60218107" w14:textId="747A9F10" w:rsidR="000946D8" w:rsidRDefault="000946D8">
      <w:pPr>
        <w:pStyle w:val="FootnoteText"/>
      </w:pPr>
      <w:r>
        <w:rPr>
          <w:rStyle w:val="FootnoteReference"/>
        </w:rPr>
        <w:footnoteRef/>
      </w:r>
      <w:r>
        <w:t xml:space="preserve"> Charles &amp; O’Neill, </w:t>
      </w:r>
      <w:r w:rsidRPr="00DB2336">
        <w:rPr>
          <w:i/>
          <w:iCs/>
        </w:rPr>
        <w:t>supra</w:t>
      </w:r>
      <w:r>
        <w:t xml:space="preserve"> note </w:t>
      </w:r>
      <w:r>
        <w:fldChar w:fldCharType="begin"/>
      </w:r>
      <w:r>
        <w:instrText xml:space="preserve"> NOTEREF _Ref159786881 \h </w:instrText>
      </w:r>
      <w:r>
        <w:fldChar w:fldCharType="separate"/>
      </w:r>
      <w:r w:rsidR="00064C93">
        <w:t>190</w:t>
      </w:r>
      <w:r>
        <w:fldChar w:fldCharType="end"/>
      </w:r>
      <w:r>
        <w:t>,</w:t>
      </w:r>
      <w:r w:rsidR="00CC6FB1">
        <w:t xml:space="preserve"> </w:t>
      </w:r>
      <w:proofErr w:type="gramStart"/>
      <w:r w:rsidR="00CC6FB1">
        <w:t>at</w:t>
      </w:r>
      <w:proofErr w:type="gramEnd"/>
      <w:r w:rsidR="00CC6FB1">
        <w:t xml:space="preserve"> 1700–02.</w:t>
      </w:r>
    </w:p>
  </w:footnote>
  <w:footnote w:id="196">
    <w:p w14:paraId="164768B9" w14:textId="4D5B8FE6" w:rsidR="00CC6FB1" w:rsidRDefault="00CC6FB1">
      <w:pPr>
        <w:pStyle w:val="FootnoteText"/>
      </w:pPr>
      <w:r>
        <w:rPr>
          <w:rStyle w:val="FootnoteReference"/>
        </w:rPr>
        <w:footnoteRef/>
      </w:r>
      <w:r>
        <w:t xml:space="preserve"> </w:t>
      </w:r>
      <w:r w:rsidRPr="00CC6FB1">
        <w:rPr>
          <w:i/>
          <w:iCs/>
        </w:rPr>
        <w:t>Id.</w:t>
      </w:r>
      <w:r>
        <w:t xml:space="preserve"> at 1697.</w:t>
      </w:r>
    </w:p>
  </w:footnote>
  <w:footnote w:id="197">
    <w:p w14:paraId="222A2D2A" w14:textId="77777777" w:rsidR="000946D8" w:rsidRPr="003B2F79" w:rsidRDefault="000946D8" w:rsidP="000946D8">
      <w:pPr>
        <w:pStyle w:val="FootnoteText"/>
      </w:pPr>
      <w:r w:rsidRPr="003B2F79">
        <w:rPr>
          <w:rStyle w:val="FootnoteReference"/>
        </w:rPr>
        <w:footnoteRef/>
      </w:r>
      <w:r>
        <w:rPr>
          <w:i/>
          <w:iCs/>
        </w:rPr>
        <w:t xml:space="preserve"> </w:t>
      </w:r>
      <w:r w:rsidRPr="003B2F79">
        <w:rPr>
          <w:i/>
          <w:iCs/>
        </w:rPr>
        <w:t>Id.</w:t>
      </w:r>
      <w:r w:rsidRPr="003B2F79">
        <w:t xml:space="preserve"> </w:t>
      </w:r>
      <w:proofErr w:type="gramStart"/>
      <w:r w:rsidRPr="003B2F79">
        <w:t>at</w:t>
      </w:r>
      <w:proofErr w:type="gramEnd"/>
      <w:r w:rsidRPr="003B2F79">
        <w:t xml:space="preserve"> 1700, 1702.</w:t>
      </w:r>
    </w:p>
  </w:footnote>
  <w:footnote w:id="198">
    <w:p w14:paraId="3245483B" w14:textId="568FE378" w:rsidR="00C31F54" w:rsidRPr="00801533" w:rsidRDefault="00C31F54" w:rsidP="00C31F54">
      <w:pPr>
        <w:pStyle w:val="FootnoteText"/>
      </w:pPr>
      <w:r w:rsidRPr="00801533">
        <w:rPr>
          <w:rStyle w:val="FootnoteReference"/>
        </w:rPr>
        <w:footnoteRef/>
      </w:r>
      <w:r w:rsidR="00C22585">
        <w:rPr>
          <w:i/>
          <w:iCs/>
        </w:rPr>
        <w:t xml:space="preserve"> </w:t>
      </w:r>
      <w:r w:rsidRPr="00801533">
        <w:rPr>
          <w:i/>
          <w:iCs/>
        </w:rPr>
        <w:t>Id.</w:t>
      </w:r>
      <w:r w:rsidRPr="00801533">
        <w:t xml:space="preserve"> at 1694 (discussing </w:t>
      </w:r>
      <w:r w:rsidR="0079522D" w:rsidRPr="00DB2336">
        <w:t>Volokh</w:t>
      </w:r>
      <w:r w:rsidR="0079522D">
        <w:t xml:space="preserve">, </w:t>
      </w:r>
      <w:r w:rsidR="0079522D" w:rsidRPr="00DB2336">
        <w:rPr>
          <w:i/>
          <w:iCs/>
        </w:rPr>
        <w:t>supra</w:t>
      </w:r>
      <w:r w:rsidR="0079522D">
        <w:t xml:space="preserve"> note </w:t>
      </w:r>
      <w:r w:rsidR="0079522D">
        <w:fldChar w:fldCharType="begin"/>
      </w:r>
      <w:r w:rsidR="0079522D">
        <w:instrText xml:space="preserve"> NOTEREF _Ref159786881 \h </w:instrText>
      </w:r>
      <w:r w:rsidR="0079522D">
        <w:fldChar w:fldCharType="separate"/>
      </w:r>
      <w:r w:rsidR="00064C93">
        <w:t>190</w:t>
      </w:r>
      <w:r w:rsidR="0079522D">
        <w:fldChar w:fldCharType="end"/>
      </w:r>
      <w:r w:rsidRPr="00801533">
        <w:t>).</w:t>
      </w:r>
    </w:p>
  </w:footnote>
  <w:footnote w:id="199">
    <w:p w14:paraId="0144DEAD" w14:textId="44903AD7" w:rsidR="00C31F54" w:rsidRPr="00801533" w:rsidRDefault="00C31F54" w:rsidP="00C31F54">
      <w:pPr>
        <w:pStyle w:val="FootnoteText"/>
      </w:pPr>
      <w:r w:rsidRPr="00801533">
        <w:rPr>
          <w:rStyle w:val="FootnoteReference"/>
        </w:rPr>
        <w:footnoteRef/>
      </w:r>
      <w:r w:rsidR="00C22585">
        <w:rPr>
          <w:i/>
          <w:iCs/>
        </w:rPr>
        <w:t xml:space="preserve"> </w:t>
      </w:r>
      <w:r w:rsidRPr="00801533">
        <w:rPr>
          <w:i/>
          <w:iCs/>
        </w:rPr>
        <w:t>Id.</w:t>
      </w:r>
      <w:r w:rsidRPr="00801533">
        <w:t xml:space="preserve"> </w:t>
      </w:r>
      <w:proofErr w:type="gramStart"/>
      <w:r w:rsidRPr="00801533">
        <w:t>at</w:t>
      </w:r>
      <w:proofErr w:type="gramEnd"/>
      <w:r w:rsidRPr="00801533">
        <w:t xml:space="preserve"> 1769.</w:t>
      </w:r>
    </w:p>
  </w:footnote>
  <w:footnote w:id="200">
    <w:p w14:paraId="69D3C82E" w14:textId="6C516155" w:rsidR="00024DD9" w:rsidRPr="003B2F79" w:rsidRDefault="00024DD9" w:rsidP="00024DD9">
      <w:pPr>
        <w:pStyle w:val="FootnoteText"/>
        <w:rPr>
          <w:rFonts w:cs="Times New Roman"/>
        </w:rPr>
      </w:pPr>
      <w:r w:rsidRPr="003B2F79">
        <w:rPr>
          <w:rStyle w:val="FootnoteReference"/>
          <w:rFonts w:cs="Times New Roman"/>
        </w:rPr>
        <w:footnoteRef/>
      </w:r>
      <w:r w:rsidR="00492953">
        <w:rPr>
          <w:rFonts w:cs="Times New Roman"/>
          <w:i/>
        </w:rPr>
        <w:t xml:space="preserve"> </w:t>
      </w:r>
      <w:r w:rsidRPr="003B2F79">
        <w:rPr>
          <w:rFonts w:cs="Times New Roman"/>
          <w:i/>
        </w:rPr>
        <w:t>Id.</w:t>
      </w:r>
    </w:p>
  </w:footnote>
  <w:footnote w:id="201">
    <w:p w14:paraId="24E58980" w14:textId="1B9E0089" w:rsidR="00CB5A92" w:rsidRPr="003B2F79" w:rsidRDefault="00CB5A92" w:rsidP="00CB5A92">
      <w:pPr>
        <w:pStyle w:val="FootnoteText"/>
      </w:pPr>
      <w:r w:rsidRPr="003B2F79">
        <w:rPr>
          <w:rStyle w:val="FootnoteReference"/>
        </w:rPr>
        <w:footnoteRef/>
      </w:r>
      <w:r>
        <w:t xml:space="preserve"> </w:t>
      </w:r>
      <w:r w:rsidRPr="003B2F79">
        <w:t xml:space="preserve">Abrams, </w:t>
      </w:r>
      <w:r w:rsidRPr="003B2F79">
        <w:rPr>
          <w:i/>
        </w:rPr>
        <w:t>supra</w:t>
      </w:r>
      <w:r w:rsidRPr="003B2F79">
        <w:rPr>
          <w:iCs/>
        </w:rPr>
        <w:t xml:space="preserve"> note</w:t>
      </w:r>
      <w:r>
        <w:rPr>
          <w:iCs/>
        </w:rPr>
        <w:t xml:space="preserve"> </w:t>
      </w:r>
      <w:r>
        <w:rPr>
          <w:iCs/>
        </w:rPr>
        <w:fldChar w:fldCharType="begin"/>
      </w:r>
      <w:r>
        <w:rPr>
          <w:iCs/>
        </w:rPr>
        <w:instrText xml:space="preserve"> NOTEREF _Ref212979416 \h </w:instrText>
      </w:r>
      <w:r>
        <w:rPr>
          <w:iCs/>
        </w:rPr>
      </w:r>
      <w:r>
        <w:rPr>
          <w:iCs/>
        </w:rPr>
        <w:fldChar w:fldCharType="separate"/>
      </w:r>
      <w:r w:rsidR="00064C93">
        <w:rPr>
          <w:iCs/>
        </w:rPr>
        <w:t>46</w:t>
      </w:r>
      <w:r>
        <w:rPr>
          <w:iCs/>
        </w:rPr>
        <w:fldChar w:fldCharType="end"/>
      </w:r>
      <w:r w:rsidRPr="003B2F79">
        <w:t>, at 581–82.</w:t>
      </w:r>
    </w:p>
  </w:footnote>
  <w:footnote w:id="202">
    <w:p w14:paraId="5151E21D" w14:textId="3D376C2F" w:rsidR="00CB5A92" w:rsidRDefault="00CB5A92">
      <w:pPr>
        <w:pStyle w:val="FootnoteText"/>
      </w:pPr>
      <w:r>
        <w:rPr>
          <w:rStyle w:val="FootnoteReference"/>
        </w:rPr>
        <w:footnoteRef/>
      </w:r>
      <w:r>
        <w:t xml:space="preserve"> </w:t>
      </w:r>
      <w:r w:rsidRPr="00801533">
        <w:t xml:space="preserve">West, </w:t>
      </w:r>
      <w:r w:rsidRPr="00801533">
        <w:rPr>
          <w:i/>
          <w:iCs/>
        </w:rPr>
        <w:t>Awakening</w:t>
      </w:r>
      <w:r w:rsidRPr="00801533">
        <w:t xml:space="preserve">, </w:t>
      </w:r>
      <w:r w:rsidRPr="00801533">
        <w:rPr>
          <w:i/>
          <w:iCs/>
        </w:rPr>
        <w:t>supra</w:t>
      </w:r>
      <w:r w:rsidRPr="00801533">
        <w:t xml:space="preserve"> note</w:t>
      </w:r>
      <w:r>
        <w:t xml:space="preserve"> </w:t>
      </w:r>
      <w:r>
        <w:fldChar w:fldCharType="begin"/>
      </w:r>
      <w:r>
        <w:instrText xml:space="preserve"> NOTEREF _Ref198162275 \h </w:instrText>
      </w:r>
      <w:r>
        <w:fldChar w:fldCharType="separate"/>
      </w:r>
      <w:r w:rsidR="00064C93">
        <w:t>170</w:t>
      </w:r>
      <w:r>
        <w:fldChar w:fldCharType="end"/>
      </w:r>
      <w:r w:rsidRPr="00801533">
        <w:t>, at</w:t>
      </w:r>
      <w:r>
        <w:t xml:space="preserve"> 1025.</w:t>
      </w:r>
    </w:p>
  </w:footnote>
  <w:footnote w:id="203">
    <w:p w14:paraId="2745E2C8" w14:textId="51179281" w:rsidR="00CB5A92" w:rsidRDefault="00CB5A92">
      <w:pPr>
        <w:pStyle w:val="FootnoteText"/>
      </w:pPr>
      <w:r>
        <w:rPr>
          <w:rStyle w:val="FootnoteReference"/>
        </w:rPr>
        <w:footnoteRef/>
      </w:r>
      <w:r>
        <w:t xml:space="preserve"> </w:t>
      </w:r>
      <w:r w:rsidRPr="00CB5A92">
        <w:rPr>
          <w:i/>
          <w:iCs/>
        </w:rPr>
        <w:t>Id.</w:t>
      </w:r>
      <w:r>
        <w:t xml:space="preserve"> at 1068–69.</w:t>
      </w:r>
    </w:p>
  </w:footnote>
  <w:footnote w:id="204">
    <w:p w14:paraId="0D2FC9BE" w14:textId="742E266D" w:rsidR="00D81E73" w:rsidRDefault="00D81E73" w:rsidP="0084644D">
      <w:pPr>
        <w:pStyle w:val="FootnoteText"/>
      </w:pPr>
      <w:r>
        <w:rPr>
          <w:rStyle w:val="FootnoteReference"/>
        </w:rPr>
        <w:footnoteRef/>
      </w:r>
      <w:r>
        <w:t xml:space="preserve"> </w:t>
      </w:r>
      <w:r w:rsidRPr="00D81E73">
        <w:rPr>
          <w:i/>
          <w:iCs/>
        </w:rPr>
        <w:t>See</w:t>
      </w:r>
      <w:r>
        <w:t xml:space="preserve"> </w:t>
      </w:r>
      <w:r w:rsidRPr="00D81E73">
        <w:rPr>
          <w:i/>
          <w:iCs/>
        </w:rPr>
        <w:t>id.</w:t>
      </w:r>
      <w:r>
        <w:t xml:space="preserve"> at 1068–70.</w:t>
      </w:r>
      <w:r w:rsidR="0084644D">
        <w:t xml:space="preserve">  West made clear that her conception of the press would “not necessarily [be] limited to traditional news outlets.”  </w:t>
      </w:r>
      <w:r w:rsidR="0084644D" w:rsidRPr="0084644D">
        <w:rPr>
          <w:i/>
          <w:iCs/>
        </w:rPr>
        <w:t>Id.</w:t>
      </w:r>
      <w:r w:rsidR="0084644D">
        <w:t xml:space="preserve"> at 1061.  This distinguishes her approach from earlier institutionalists like Justice Stewart, who viewed the Press Clause as </w:t>
      </w:r>
      <w:r w:rsidR="0084644D" w:rsidRPr="003D51D4">
        <w:t>“</w:t>
      </w:r>
      <w:r w:rsidR="0084644D" w:rsidRPr="003D51D4">
        <w:rPr>
          <w:rFonts w:cs="Times New Roman"/>
        </w:rPr>
        <w:t>extend[</w:t>
      </w:r>
      <w:r w:rsidR="0084644D">
        <w:rPr>
          <w:rFonts w:cs="Times New Roman"/>
        </w:rPr>
        <w:t>ing</w:t>
      </w:r>
      <w:r w:rsidR="0084644D" w:rsidRPr="003D51D4">
        <w:rPr>
          <w:rFonts w:cs="Times New Roman"/>
        </w:rPr>
        <w:t>] protection to an institution”</w:t>
      </w:r>
      <w:r w:rsidR="0084644D">
        <w:rPr>
          <w:rFonts w:cs="Times New Roman"/>
        </w:rPr>
        <w:t xml:space="preserve"> (specifically, “</w:t>
      </w:r>
      <w:r w:rsidR="0084644D" w:rsidRPr="00561A7A">
        <w:rPr>
          <w:rFonts w:cs="Times New Roman"/>
        </w:rPr>
        <w:t xml:space="preserve">the </w:t>
      </w:r>
      <w:r w:rsidR="0084644D" w:rsidRPr="00561A7A">
        <w:rPr>
          <w:rFonts w:cs="Times New Roman"/>
          <w:i/>
          <w:iCs/>
        </w:rPr>
        <w:t>organized</w:t>
      </w:r>
      <w:r w:rsidR="0084644D" w:rsidRPr="00561A7A">
        <w:rPr>
          <w:rFonts w:cs="Times New Roman"/>
        </w:rPr>
        <w:t xml:space="preserve"> press</w:t>
      </w:r>
      <w:r w:rsidR="0084644D">
        <w:rPr>
          <w:rFonts w:cs="Times New Roman"/>
        </w:rPr>
        <w:t>,” i.e., “</w:t>
      </w:r>
      <w:r w:rsidR="0084644D" w:rsidRPr="00561A7A">
        <w:rPr>
          <w:rFonts w:cs="Times New Roman"/>
        </w:rPr>
        <w:t>daily newspapers and other established news media</w:t>
      </w:r>
      <w:r w:rsidR="0084644D">
        <w:rPr>
          <w:rFonts w:cs="Times New Roman"/>
        </w:rPr>
        <w:t>”).</w:t>
      </w:r>
      <w:r w:rsidR="00592664">
        <w:rPr>
          <w:rFonts w:cs="Times New Roman"/>
        </w:rPr>
        <w:t xml:space="preserve">  </w:t>
      </w:r>
      <w:r w:rsidR="00592664">
        <w:t xml:space="preserve">Stewart, </w:t>
      </w:r>
      <w:r w:rsidR="00592664" w:rsidRPr="00D41F71">
        <w:rPr>
          <w:i/>
          <w:iCs/>
        </w:rPr>
        <w:t>supra</w:t>
      </w:r>
      <w:r w:rsidR="00592664">
        <w:t xml:space="preserve"> note </w:t>
      </w:r>
      <w:r w:rsidR="00592664">
        <w:fldChar w:fldCharType="begin"/>
      </w:r>
      <w:r w:rsidR="00592664">
        <w:instrText xml:space="preserve"> NOTEREF _Ref212940374 \h </w:instrText>
      </w:r>
      <w:r w:rsidR="00592664">
        <w:fldChar w:fldCharType="separate"/>
      </w:r>
      <w:r w:rsidR="00064C93">
        <w:t>43</w:t>
      </w:r>
      <w:r w:rsidR="00592664">
        <w:fldChar w:fldCharType="end"/>
      </w:r>
      <w:r w:rsidR="00592664">
        <w:t>, at 633.</w:t>
      </w:r>
    </w:p>
  </w:footnote>
  <w:footnote w:id="205">
    <w:p w14:paraId="088424A9" w14:textId="74539A4A" w:rsidR="00DB084C" w:rsidRPr="003B2F79" w:rsidRDefault="00DB084C" w:rsidP="00DB084C">
      <w:pPr>
        <w:pStyle w:val="FootnoteText"/>
      </w:pPr>
      <w:r w:rsidRPr="003B2F79">
        <w:rPr>
          <w:rStyle w:val="FootnoteReference"/>
        </w:rPr>
        <w:footnoteRef/>
      </w:r>
      <w:r>
        <w:rPr>
          <w:i/>
          <w:iCs/>
        </w:rPr>
        <w:t xml:space="preserve"> </w:t>
      </w:r>
      <w:r w:rsidR="00592664" w:rsidRPr="00801533">
        <w:t xml:space="preserve">West, </w:t>
      </w:r>
      <w:r w:rsidR="00592664" w:rsidRPr="00801533">
        <w:rPr>
          <w:i/>
          <w:iCs/>
        </w:rPr>
        <w:t>Awakening</w:t>
      </w:r>
      <w:r w:rsidR="00592664" w:rsidRPr="00801533">
        <w:t xml:space="preserve">, </w:t>
      </w:r>
      <w:r w:rsidR="00592664" w:rsidRPr="00801533">
        <w:rPr>
          <w:i/>
          <w:iCs/>
        </w:rPr>
        <w:t>supra</w:t>
      </w:r>
      <w:r w:rsidR="00592664" w:rsidRPr="00801533">
        <w:t xml:space="preserve"> note</w:t>
      </w:r>
      <w:r w:rsidR="00592664">
        <w:t xml:space="preserve"> </w:t>
      </w:r>
      <w:r w:rsidR="00592664">
        <w:fldChar w:fldCharType="begin"/>
      </w:r>
      <w:r w:rsidR="00592664">
        <w:instrText xml:space="preserve"> NOTEREF _Ref198162275 \h </w:instrText>
      </w:r>
      <w:r w:rsidR="00592664">
        <w:fldChar w:fldCharType="separate"/>
      </w:r>
      <w:r w:rsidR="00064C93">
        <w:t>170</w:t>
      </w:r>
      <w:r w:rsidR="00592664">
        <w:fldChar w:fldCharType="end"/>
      </w:r>
      <w:r w:rsidR="00592664">
        <w:t xml:space="preserve">, </w:t>
      </w:r>
      <w:r w:rsidRPr="003B2F79">
        <w:t>at 1061.</w:t>
      </w:r>
    </w:p>
  </w:footnote>
  <w:footnote w:id="206">
    <w:p w14:paraId="507F1267" w14:textId="5B8ABEEE" w:rsidR="00DB084C" w:rsidRPr="003B2F79" w:rsidRDefault="00DB084C" w:rsidP="00DB084C">
      <w:pPr>
        <w:pStyle w:val="FootnoteText"/>
        <w:rPr>
          <w:rFonts w:cs="Times New Roman"/>
        </w:rPr>
      </w:pPr>
      <w:r w:rsidRPr="003B2F79">
        <w:rPr>
          <w:rStyle w:val="FootnoteReference"/>
          <w:rFonts w:cs="Times New Roman"/>
        </w:rPr>
        <w:footnoteRef/>
      </w:r>
      <w:r>
        <w:rPr>
          <w:rFonts w:cs="Times New Roman"/>
          <w:i/>
        </w:rPr>
        <w:t xml:space="preserve"> </w:t>
      </w:r>
      <w:r w:rsidRPr="003B2F79">
        <w:rPr>
          <w:rFonts w:cs="Times New Roman"/>
          <w:i/>
        </w:rPr>
        <w:t>Id.</w:t>
      </w:r>
      <w:r w:rsidRPr="003B2F79">
        <w:rPr>
          <w:rFonts w:cs="Times New Roman"/>
        </w:rPr>
        <w:t xml:space="preserve"> at 1032, 1057</w:t>
      </w:r>
      <w:r w:rsidR="00D81E73">
        <w:rPr>
          <w:rFonts w:cs="Times New Roman"/>
        </w:rPr>
        <w:t>, 1061</w:t>
      </w:r>
      <w:r w:rsidRPr="003B2F79">
        <w:rPr>
          <w:rFonts w:cs="Times New Roman"/>
        </w:rPr>
        <w:t>.</w:t>
      </w:r>
    </w:p>
  </w:footnote>
  <w:footnote w:id="207">
    <w:p w14:paraId="75324B4A" w14:textId="0775AFAB" w:rsidR="00024DD9" w:rsidRPr="003B2F79" w:rsidRDefault="00024DD9" w:rsidP="00024DD9">
      <w:pPr>
        <w:pStyle w:val="FootnoteText"/>
      </w:pPr>
      <w:r w:rsidRPr="003B2F79">
        <w:rPr>
          <w:rStyle w:val="FootnoteReference"/>
        </w:rPr>
        <w:footnoteRef/>
      </w:r>
      <w:r w:rsidR="00492953">
        <w:rPr>
          <w:rFonts w:cs="Times New Roman"/>
        </w:rPr>
        <w:t xml:space="preserve"> </w:t>
      </w:r>
      <w:r w:rsidRPr="003B2F79">
        <w:rPr>
          <w:rFonts w:cs="Times New Roman"/>
        </w:rPr>
        <w:t xml:space="preserve">West, </w:t>
      </w:r>
      <w:r w:rsidRPr="003B2F79">
        <w:rPr>
          <w:rFonts w:cs="Times New Roman"/>
          <w:i/>
          <w:iCs/>
        </w:rPr>
        <w:t>Awakening</w:t>
      </w:r>
      <w:r w:rsidRPr="003B2F79">
        <w:rPr>
          <w:rFonts w:cs="Times New Roman"/>
        </w:rPr>
        <w:t xml:space="preserve">, </w:t>
      </w:r>
      <w:r w:rsidRPr="003B2F79">
        <w:rPr>
          <w:rFonts w:cs="Times New Roman"/>
          <w:i/>
          <w:iCs/>
        </w:rPr>
        <w:t>supra</w:t>
      </w:r>
      <w:r w:rsidRPr="003B2F79">
        <w:rPr>
          <w:rFonts w:cs="Times New Roman"/>
        </w:rPr>
        <w:t xml:space="preserve"> note</w:t>
      </w:r>
      <w:r w:rsidR="00205838">
        <w:rPr>
          <w:rFonts w:cs="Times New Roman"/>
        </w:rPr>
        <w:t xml:space="preserve"> </w:t>
      </w:r>
      <w:r w:rsidR="00205838">
        <w:rPr>
          <w:rFonts w:cs="Times New Roman"/>
        </w:rPr>
        <w:fldChar w:fldCharType="begin"/>
      </w:r>
      <w:r w:rsidR="00205838">
        <w:rPr>
          <w:rFonts w:cs="Times New Roman"/>
        </w:rPr>
        <w:instrText xml:space="preserve"> NOTEREF _Ref198162275 \h </w:instrText>
      </w:r>
      <w:r w:rsidR="00205838">
        <w:rPr>
          <w:rFonts w:cs="Times New Roman"/>
        </w:rPr>
      </w:r>
      <w:r w:rsidR="00205838">
        <w:rPr>
          <w:rFonts w:cs="Times New Roman"/>
        </w:rPr>
        <w:fldChar w:fldCharType="separate"/>
      </w:r>
      <w:r w:rsidR="00064C93">
        <w:rPr>
          <w:rFonts w:cs="Times New Roman"/>
        </w:rPr>
        <w:t>170</w:t>
      </w:r>
      <w:r w:rsidR="00205838">
        <w:rPr>
          <w:rFonts w:cs="Times New Roman"/>
        </w:rPr>
        <w:fldChar w:fldCharType="end"/>
      </w:r>
      <w:r w:rsidRPr="003B2F79">
        <w:rPr>
          <w:rFonts w:cs="Times New Roman"/>
        </w:rPr>
        <w:t xml:space="preserve">, at </w:t>
      </w:r>
      <w:r w:rsidRPr="003B2F79">
        <w:t xml:space="preserve">1068; Volokh, </w:t>
      </w:r>
      <w:r w:rsidRPr="003B2F79">
        <w:rPr>
          <w:i/>
          <w:iCs/>
        </w:rPr>
        <w:t>supra</w:t>
      </w:r>
      <w:r w:rsidRPr="003B2F79">
        <w:t xml:space="preserve"> note</w:t>
      </w:r>
      <w:r w:rsidR="00492953">
        <w:t xml:space="preserve"> </w:t>
      </w:r>
      <w:r w:rsidR="00492953">
        <w:fldChar w:fldCharType="begin"/>
      </w:r>
      <w:r w:rsidR="00492953">
        <w:instrText xml:space="preserve"> NOTEREF _Ref159786881 \h </w:instrText>
      </w:r>
      <w:r w:rsidR="00492953">
        <w:fldChar w:fldCharType="separate"/>
      </w:r>
      <w:r w:rsidR="00064C93">
        <w:t>190</w:t>
      </w:r>
      <w:r w:rsidR="00492953">
        <w:fldChar w:fldCharType="end"/>
      </w:r>
      <w:r w:rsidRPr="003B2F79">
        <w:t xml:space="preserve">, at 461–64, </w:t>
      </w:r>
      <w:r w:rsidRPr="003B2F79">
        <w:rPr>
          <w:rFonts w:cs="Times New Roman"/>
        </w:rPr>
        <w:t xml:space="preserve">Charles &amp; O’Neill, </w:t>
      </w:r>
      <w:r w:rsidR="00064C93" w:rsidRPr="003B2F79">
        <w:rPr>
          <w:i/>
          <w:iCs/>
        </w:rPr>
        <w:t>supra</w:t>
      </w:r>
      <w:r w:rsidR="00064C93" w:rsidRPr="003B2F79">
        <w:t xml:space="preserve"> note</w:t>
      </w:r>
      <w:r w:rsidR="00064C93">
        <w:t xml:space="preserve"> </w:t>
      </w:r>
      <w:r w:rsidR="00064C93">
        <w:fldChar w:fldCharType="begin"/>
      </w:r>
      <w:r w:rsidR="00064C93">
        <w:instrText xml:space="preserve"> NOTEREF _Ref159786881 \h </w:instrText>
      </w:r>
      <w:r w:rsidR="00064C93">
        <w:fldChar w:fldCharType="separate"/>
      </w:r>
      <w:r w:rsidR="00064C93">
        <w:t>190</w:t>
      </w:r>
      <w:r w:rsidR="00064C93">
        <w:fldChar w:fldCharType="end"/>
      </w:r>
      <w:r w:rsidRPr="003B2F79">
        <w:rPr>
          <w:rFonts w:cs="Times New Roman"/>
        </w:rPr>
        <w:t xml:space="preserve">, at 1764–66 (expressing </w:t>
      </w:r>
      <w:r>
        <w:rPr>
          <w:rFonts w:cs="Times New Roman"/>
        </w:rPr>
        <w:t>optimism about</w:t>
      </w:r>
      <w:r w:rsidRPr="003B2F79">
        <w:rPr>
          <w:rFonts w:cs="Times New Roman"/>
        </w:rPr>
        <w:t xml:space="preserve"> the Roberts Court’s “genuine willingness to be guided by early American history”).</w:t>
      </w:r>
    </w:p>
  </w:footnote>
  <w:footnote w:id="208">
    <w:p w14:paraId="7F6E7407" w14:textId="5F38E878" w:rsidR="00BD668F" w:rsidRDefault="00BD668F">
      <w:pPr>
        <w:pStyle w:val="FootnoteText"/>
      </w:pPr>
      <w:r>
        <w:rPr>
          <w:rStyle w:val="FootnoteReference"/>
        </w:rPr>
        <w:footnoteRef/>
      </w:r>
      <w:r>
        <w:t xml:space="preserve"> </w:t>
      </w:r>
      <w:r w:rsidRPr="00BD668F">
        <w:rPr>
          <w:i/>
          <w:iCs/>
        </w:rPr>
        <w:t>See</w:t>
      </w:r>
      <w:r>
        <w:t xml:space="preserve"> </w:t>
      </w:r>
      <w:r w:rsidRPr="00BD668F">
        <w:rPr>
          <w:smallCaps/>
        </w:rPr>
        <w:t>U.S. Const.</w:t>
      </w:r>
      <w:r>
        <w:t xml:space="preserve"> </w:t>
      </w:r>
      <w:proofErr w:type="gramStart"/>
      <w:r>
        <w:t>amend</w:t>
      </w:r>
      <w:proofErr w:type="gramEnd"/>
      <w:r>
        <w:t>. I.</w:t>
      </w:r>
    </w:p>
  </w:footnote>
  <w:footnote w:id="209">
    <w:p w14:paraId="2B3E7054" w14:textId="79DE0C04" w:rsidR="00835469" w:rsidRPr="00801533" w:rsidRDefault="00835469" w:rsidP="00835469">
      <w:pPr>
        <w:pStyle w:val="FootnoteText"/>
      </w:pPr>
      <w:r w:rsidRPr="00801533">
        <w:rPr>
          <w:rStyle w:val="FootnoteReference"/>
        </w:rPr>
        <w:footnoteRef/>
      </w:r>
      <w:r w:rsidR="00C22585">
        <w:t xml:space="preserve"> </w:t>
      </w:r>
      <w:r w:rsidRPr="00801533">
        <w:t xml:space="preserve">West, </w:t>
      </w:r>
      <w:r w:rsidRPr="00801533">
        <w:rPr>
          <w:i/>
          <w:iCs/>
        </w:rPr>
        <w:t>Awakening</w:t>
      </w:r>
      <w:r w:rsidRPr="00801533">
        <w:t xml:space="preserve">, </w:t>
      </w:r>
      <w:r w:rsidRPr="00801533">
        <w:rPr>
          <w:i/>
          <w:iCs/>
        </w:rPr>
        <w:t>supra</w:t>
      </w:r>
      <w:r w:rsidRPr="00801533">
        <w:t xml:space="preserve"> note</w:t>
      </w:r>
      <w:r w:rsidR="00C22585">
        <w:t xml:space="preserve"> </w:t>
      </w:r>
      <w:r w:rsidR="00C22585">
        <w:fldChar w:fldCharType="begin"/>
      </w:r>
      <w:r w:rsidR="00C22585">
        <w:instrText xml:space="preserve"> NOTEREF _Ref198162275 \h </w:instrText>
      </w:r>
      <w:r w:rsidR="00C22585">
        <w:fldChar w:fldCharType="separate"/>
      </w:r>
      <w:r w:rsidR="00064C93">
        <w:t>170</w:t>
      </w:r>
      <w:r w:rsidR="00C22585">
        <w:fldChar w:fldCharType="end"/>
      </w:r>
      <w:r w:rsidRPr="00801533">
        <w:t>, at 1063.</w:t>
      </w:r>
    </w:p>
  </w:footnote>
  <w:footnote w:id="210">
    <w:p w14:paraId="59B3E78D" w14:textId="5809F815" w:rsidR="00835469" w:rsidRPr="009E7ADE" w:rsidRDefault="00835469" w:rsidP="00835469">
      <w:pPr>
        <w:pStyle w:val="FootnoteText"/>
      </w:pPr>
      <w:r w:rsidRPr="00801533">
        <w:rPr>
          <w:rStyle w:val="FootnoteReference"/>
        </w:rPr>
        <w:footnoteRef/>
      </w:r>
      <w:r w:rsidR="00C22585">
        <w:rPr>
          <w:i/>
          <w:iCs/>
        </w:rPr>
        <w:t xml:space="preserve"> </w:t>
      </w:r>
      <w:r w:rsidRPr="00801533">
        <w:rPr>
          <w:i/>
          <w:iCs/>
        </w:rPr>
        <w:t>See</w:t>
      </w:r>
      <w:r w:rsidRPr="00801533">
        <w:t xml:space="preserve"> </w:t>
      </w:r>
      <w:r w:rsidRPr="00801533">
        <w:rPr>
          <w:i/>
          <w:iCs/>
        </w:rPr>
        <w:t>id.</w:t>
      </w:r>
      <w:r w:rsidR="009E7ADE">
        <w:t xml:space="preserve"> at 1063–68.</w:t>
      </w:r>
    </w:p>
  </w:footnote>
  <w:footnote w:id="211">
    <w:p w14:paraId="7BFCC20F" w14:textId="77777777" w:rsidR="001F10A6" w:rsidRPr="003B2F79" w:rsidRDefault="001F10A6" w:rsidP="001F10A6">
      <w:pPr>
        <w:pStyle w:val="FootnoteText"/>
      </w:pPr>
      <w:r w:rsidRPr="003B2F79">
        <w:rPr>
          <w:rStyle w:val="FootnoteReference"/>
        </w:rPr>
        <w:footnoteRef/>
      </w:r>
      <w:r>
        <w:t xml:space="preserve"> </w:t>
      </w:r>
      <w:r w:rsidRPr="003B2F79">
        <w:t xml:space="preserve">42 </w:t>
      </w:r>
      <w:r w:rsidRPr="003B2F79">
        <w:rPr>
          <w:smallCaps/>
        </w:rPr>
        <w:t>Pa. Cons. Stat.</w:t>
      </w:r>
      <w:r w:rsidRPr="003B2F79">
        <w:t xml:space="preserve"> § 5942(a).</w:t>
      </w:r>
    </w:p>
  </w:footnote>
  <w:footnote w:id="212">
    <w:p w14:paraId="2AADA14D" w14:textId="77777777" w:rsidR="001F10A6" w:rsidRPr="003B2F79" w:rsidRDefault="001F10A6" w:rsidP="001F10A6">
      <w:pPr>
        <w:pStyle w:val="FootnoteText"/>
      </w:pPr>
      <w:r w:rsidRPr="003B2F79">
        <w:rPr>
          <w:rStyle w:val="FootnoteReference"/>
        </w:rPr>
        <w:footnoteRef/>
      </w:r>
      <w:r>
        <w:rPr>
          <w:smallCaps/>
        </w:rPr>
        <w:t xml:space="preserve"> </w:t>
      </w:r>
      <w:r w:rsidRPr="003B2F79">
        <w:rPr>
          <w:smallCaps/>
        </w:rPr>
        <w:t>N.Y. Civ. Rights Law</w:t>
      </w:r>
      <w:r w:rsidRPr="003B2F79">
        <w:t xml:space="preserve"> § 79-h(b).</w:t>
      </w:r>
    </w:p>
  </w:footnote>
  <w:footnote w:id="213">
    <w:p w14:paraId="6211D785" w14:textId="77777777" w:rsidR="001F10A6" w:rsidRPr="003B2F79" w:rsidRDefault="001F10A6" w:rsidP="001F10A6">
      <w:pPr>
        <w:pStyle w:val="FootnoteText"/>
      </w:pPr>
      <w:r w:rsidRPr="003B2F79">
        <w:rPr>
          <w:rStyle w:val="FootnoteReference"/>
        </w:rPr>
        <w:footnoteRef/>
      </w:r>
      <w:r>
        <w:rPr>
          <w:i/>
          <w:iCs/>
        </w:rPr>
        <w:t xml:space="preserve"> </w:t>
      </w:r>
      <w:r w:rsidRPr="003B2F79">
        <w:rPr>
          <w:i/>
          <w:iCs/>
        </w:rPr>
        <w:t>See</w:t>
      </w:r>
      <w:r w:rsidRPr="003B2F79">
        <w:t xml:space="preserve"> </w:t>
      </w:r>
      <w:r w:rsidRPr="003B2F79">
        <w:rPr>
          <w:i/>
          <w:iCs/>
        </w:rPr>
        <w:t>id.</w:t>
      </w:r>
      <w:r w:rsidRPr="003B2F79">
        <w:t xml:space="preserve"> § 79-h(a)(6).</w:t>
      </w:r>
    </w:p>
  </w:footnote>
  <w:footnote w:id="214">
    <w:p w14:paraId="7C2A7557" w14:textId="78D2ED9C" w:rsidR="001304B1" w:rsidRDefault="001304B1">
      <w:pPr>
        <w:pStyle w:val="FootnoteText"/>
      </w:pPr>
      <w:r>
        <w:rPr>
          <w:rStyle w:val="FootnoteReference"/>
        </w:rPr>
        <w:footnoteRef/>
      </w:r>
      <w:r>
        <w:t xml:space="preserve"> </w:t>
      </w:r>
      <w:r w:rsidRPr="00801533">
        <w:t>487 P.3d 499 (Wash. 2021)</w:t>
      </w:r>
      <w:r>
        <w:t>.</w:t>
      </w:r>
    </w:p>
  </w:footnote>
  <w:footnote w:id="215">
    <w:p w14:paraId="547187E5" w14:textId="113D3EAF" w:rsidR="001304B1" w:rsidRDefault="001304B1">
      <w:pPr>
        <w:pStyle w:val="FootnoteText"/>
      </w:pPr>
      <w:r>
        <w:rPr>
          <w:rStyle w:val="FootnoteReference"/>
        </w:rPr>
        <w:footnoteRef/>
      </w:r>
      <w:r>
        <w:t xml:space="preserve"> </w:t>
      </w:r>
      <w:r w:rsidRPr="001304B1">
        <w:rPr>
          <w:i/>
          <w:iCs/>
        </w:rPr>
        <w:t>Id.</w:t>
      </w:r>
      <w:r>
        <w:t xml:space="preserve"> at 506–07 (interpreting </w:t>
      </w:r>
      <w:r w:rsidRPr="00801533">
        <w:t>Wash. Rev. Code § 5.68.010(5)</w:t>
      </w:r>
      <w:r>
        <w:t>).</w:t>
      </w:r>
    </w:p>
  </w:footnote>
  <w:footnote w:id="216">
    <w:p w14:paraId="7B87E027" w14:textId="751F45FC" w:rsidR="00835469" w:rsidRPr="00801533" w:rsidRDefault="00835469" w:rsidP="00835469">
      <w:pPr>
        <w:pStyle w:val="FootnoteText"/>
      </w:pPr>
      <w:r w:rsidRPr="00801533">
        <w:rPr>
          <w:rStyle w:val="FootnoteReference"/>
        </w:rPr>
        <w:footnoteRef/>
      </w:r>
      <w:r w:rsidR="00C22585">
        <w:rPr>
          <w:i/>
          <w:iCs/>
        </w:rPr>
        <w:t xml:space="preserve"> </w:t>
      </w:r>
      <w:r w:rsidR="001304B1">
        <w:rPr>
          <w:i/>
          <w:iCs/>
        </w:rPr>
        <w:t>Id.</w:t>
      </w:r>
    </w:p>
  </w:footnote>
  <w:footnote w:id="217">
    <w:p w14:paraId="4E7A2DAF" w14:textId="0270C8DA" w:rsidR="00894BB8" w:rsidRDefault="00894BB8" w:rsidP="00894BB8">
      <w:pPr>
        <w:pStyle w:val="FootnoteText"/>
      </w:pPr>
      <w:r>
        <w:rPr>
          <w:rStyle w:val="FootnoteReference"/>
        </w:rPr>
        <w:footnoteRef/>
      </w:r>
      <w:r>
        <w:t xml:space="preserve"> </w:t>
      </w:r>
      <w:r w:rsidR="001C4470" w:rsidRPr="00801533">
        <w:t xml:space="preserve">West, </w:t>
      </w:r>
      <w:r w:rsidR="001C4470" w:rsidRPr="00801533">
        <w:rPr>
          <w:i/>
          <w:iCs/>
        </w:rPr>
        <w:t>Awakening</w:t>
      </w:r>
      <w:r w:rsidR="001C4470" w:rsidRPr="00801533">
        <w:t xml:space="preserve">, </w:t>
      </w:r>
      <w:r w:rsidR="001C4470" w:rsidRPr="00801533">
        <w:rPr>
          <w:i/>
          <w:iCs/>
        </w:rPr>
        <w:t>supra</w:t>
      </w:r>
      <w:r w:rsidR="001C4470" w:rsidRPr="00801533">
        <w:t xml:space="preserve"> note</w:t>
      </w:r>
      <w:r w:rsidR="001C4470">
        <w:t xml:space="preserve"> </w:t>
      </w:r>
      <w:r w:rsidR="001C4470">
        <w:fldChar w:fldCharType="begin"/>
      </w:r>
      <w:r w:rsidR="001C4470">
        <w:instrText xml:space="preserve"> NOTEREF _Ref198162275 \h </w:instrText>
      </w:r>
      <w:r w:rsidR="001C4470">
        <w:fldChar w:fldCharType="separate"/>
      </w:r>
      <w:r w:rsidR="00064C93">
        <w:t>170</w:t>
      </w:r>
      <w:r w:rsidR="001C4470">
        <w:fldChar w:fldCharType="end"/>
      </w:r>
      <w:r w:rsidR="001C4470">
        <w:t xml:space="preserve">, at </w:t>
      </w:r>
      <w:r w:rsidRPr="003B2F79">
        <w:t>1028–29, 1033, 1039–40.</w:t>
      </w:r>
    </w:p>
  </w:footnote>
  <w:footnote w:id="218">
    <w:p w14:paraId="59739875" w14:textId="78F98C9C" w:rsidR="00024DD9" w:rsidRPr="003B2F79" w:rsidRDefault="00024DD9" w:rsidP="00024DD9">
      <w:pPr>
        <w:pStyle w:val="FootnoteText"/>
      </w:pPr>
      <w:r w:rsidRPr="003B2F79">
        <w:rPr>
          <w:rStyle w:val="FootnoteReference"/>
        </w:rPr>
        <w:footnoteRef/>
      </w:r>
      <w:r w:rsidR="001F10A6">
        <w:rPr>
          <w:i/>
          <w:iCs/>
        </w:rPr>
        <w:t xml:space="preserve"> </w:t>
      </w:r>
      <w:r w:rsidRPr="003B2F79">
        <w:rPr>
          <w:i/>
          <w:iCs/>
        </w:rPr>
        <w:t>See, e.g.</w:t>
      </w:r>
      <w:r w:rsidRPr="003B2F79">
        <w:t>, Associated Press v. Nat’l Labor Relations Bd., 301 U.S. 103, 133 (1937) (Associated Press not exempt from generally applicable labor and employment law).</w:t>
      </w:r>
    </w:p>
  </w:footnote>
  <w:footnote w:id="219">
    <w:p w14:paraId="40A226A2" w14:textId="1F1DCB64" w:rsidR="001C4470" w:rsidRPr="003B2F79" w:rsidRDefault="001C4470" w:rsidP="001C4470">
      <w:pPr>
        <w:pStyle w:val="FootnoteText"/>
      </w:pPr>
      <w:r w:rsidRPr="003B2F79">
        <w:rPr>
          <w:rStyle w:val="FootnoteReference"/>
        </w:rPr>
        <w:footnoteRef/>
      </w:r>
      <w:r>
        <w:t xml:space="preserve"> </w:t>
      </w:r>
      <w:r w:rsidRPr="003B2F79">
        <w:t xml:space="preserve">Abrams, </w:t>
      </w:r>
      <w:r w:rsidRPr="003B2F79">
        <w:rPr>
          <w:i/>
        </w:rPr>
        <w:t>supra</w:t>
      </w:r>
      <w:r w:rsidRPr="003B2F79">
        <w:rPr>
          <w:iCs/>
        </w:rPr>
        <w:t xml:space="preserve"> note</w:t>
      </w:r>
      <w:r>
        <w:rPr>
          <w:iCs/>
        </w:rPr>
        <w:t xml:space="preserve"> </w:t>
      </w:r>
      <w:r>
        <w:rPr>
          <w:iCs/>
        </w:rPr>
        <w:fldChar w:fldCharType="begin"/>
      </w:r>
      <w:r>
        <w:rPr>
          <w:iCs/>
        </w:rPr>
        <w:instrText xml:space="preserve"> NOTEREF _Ref212979416 \h </w:instrText>
      </w:r>
      <w:r>
        <w:rPr>
          <w:iCs/>
        </w:rPr>
      </w:r>
      <w:r>
        <w:rPr>
          <w:iCs/>
        </w:rPr>
        <w:fldChar w:fldCharType="separate"/>
      </w:r>
      <w:r w:rsidR="00064C93">
        <w:rPr>
          <w:iCs/>
        </w:rPr>
        <w:t>46</w:t>
      </w:r>
      <w:r>
        <w:rPr>
          <w:iCs/>
        </w:rPr>
        <w:fldChar w:fldCharType="end"/>
      </w:r>
      <w:r w:rsidRPr="003B2F79">
        <w:t>, at 564.</w:t>
      </w:r>
    </w:p>
  </w:footnote>
  <w:footnote w:id="220">
    <w:p w14:paraId="27B0DA03" w14:textId="747D0F3A" w:rsidR="001C4470" w:rsidRPr="003B2F79" w:rsidRDefault="001C4470" w:rsidP="001C4470">
      <w:pPr>
        <w:pStyle w:val="FootnoteText"/>
      </w:pPr>
      <w:r w:rsidRPr="003B2F79">
        <w:rPr>
          <w:rStyle w:val="FootnoteReference"/>
        </w:rPr>
        <w:footnoteRef/>
      </w:r>
      <w:r>
        <w:t xml:space="preserve"> </w:t>
      </w:r>
      <w:r w:rsidR="00E86B53" w:rsidRPr="00DB2336">
        <w:t>Volokh</w:t>
      </w:r>
      <w:r w:rsidR="00E86B53">
        <w:t xml:space="preserve">, </w:t>
      </w:r>
      <w:r w:rsidR="00E86B53" w:rsidRPr="00DB2336">
        <w:rPr>
          <w:i/>
          <w:iCs/>
        </w:rPr>
        <w:t>supra</w:t>
      </w:r>
      <w:r w:rsidR="00E86B53">
        <w:t xml:space="preserve"> note </w:t>
      </w:r>
      <w:r w:rsidR="00E86B53">
        <w:fldChar w:fldCharType="begin"/>
      </w:r>
      <w:r w:rsidR="00E86B53">
        <w:instrText xml:space="preserve"> NOTEREF _Ref159786881 \h </w:instrText>
      </w:r>
      <w:r w:rsidR="00E86B53">
        <w:fldChar w:fldCharType="separate"/>
      </w:r>
      <w:r w:rsidR="00064C93">
        <w:t>190</w:t>
      </w:r>
      <w:r w:rsidR="00E86B53">
        <w:fldChar w:fldCharType="end"/>
      </w:r>
      <w:r w:rsidR="00E86B53">
        <w:t xml:space="preserve">, </w:t>
      </w:r>
      <w:r w:rsidR="00E86B53" w:rsidRPr="00801533">
        <w:t>at</w:t>
      </w:r>
      <w:r w:rsidRPr="003B2F79">
        <w:t xml:space="preserve"> 464.</w:t>
      </w:r>
    </w:p>
  </w:footnote>
  <w:footnote w:id="221">
    <w:p w14:paraId="42ACACDA" w14:textId="2382BA33" w:rsidR="00024DD9" w:rsidRPr="003B2F79" w:rsidRDefault="00024DD9" w:rsidP="00024DD9">
      <w:pPr>
        <w:pStyle w:val="FootnoteText"/>
      </w:pPr>
      <w:r w:rsidRPr="003B2F79">
        <w:rPr>
          <w:rStyle w:val="FootnoteReference"/>
        </w:rPr>
        <w:footnoteRef/>
      </w:r>
      <w:r w:rsidR="001F10A6">
        <w:rPr>
          <w:i/>
          <w:iCs/>
        </w:rPr>
        <w:t xml:space="preserve"> </w:t>
      </w:r>
      <w:r w:rsidRPr="003B2F79">
        <w:rPr>
          <w:i/>
          <w:iCs/>
        </w:rPr>
        <w:t>See</w:t>
      </w:r>
      <w:r w:rsidRPr="003B2F79">
        <w:t xml:space="preserve"> </w:t>
      </w:r>
      <w:bookmarkStart w:id="52" w:name="_Hlk203053540"/>
      <w:r w:rsidRPr="003B2F79">
        <w:t>Lovell v. Griffin, 303 U.S. 444, 452 (1938)</w:t>
      </w:r>
      <w:r w:rsidR="00E86B53">
        <w:t xml:space="preserve">; </w:t>
      </w:r>
      <w:r w:rsidR="00E86B53" w:rsidRPr="00E86B53">
        <w:rPr>
          <w:i/>
          <w:iCs/>
        </w:rPr>
        <w:t>see also</w:t>
      </w:r>
      <w:r w:rsidR="00E86B53">
        <w:t xml:space="preserve"> </w:t>
      </w:r>
      <w:proofErr w:type="gramStart"/>
      <w:r w:rsidR="00E86B53" w:rsidRPr="00E86B53">
        <w:rPr>
          <w:i/>
          <w:iCs/>
        </w:rPr>
        <w:t>supra</w:t>
      </w:r>
      <w:r w:rsidR="00E86B53">
        <w:t xml:space="preserve"> Part</w:t>
      </w:r>
      <w:proofErr w:type="gramEnd"/>
      <w:r w:rsidR="00E86B53">
        <w:t xml:space="preserve"> </w:t>
      </w:r>
      <w:r w:rsidR="00E86B53">
        <w:fldChar w:fldCharType="begin"/>
      </w:r>
      <w:r w:rsidR="00E86B53">
        <w:instrText xml:space="preserve"> REF _Ref213012258 \w \h </w:instrText>
      </w:r>
      <w:r w:rsidR="00E86B53">
        <w:fldChar w:fldCharType="separate"/>
      </w:r>
      <w:r w:rsidR="00064C93">
        <w:t>II.A</w:t>
      </w:r>
      <w:r w:rsidR="00E86B53">
        <w:fldChar w:fldCharType="end"/>
      </w:r>
      <w:r w:rsidRPr="003B2F79">
        <w:t>.</w:t>
      </w:r>
      <w:bookmarkEnd w:id="52"/>
    </w:p>
  </w:footnote>
  <w:footnote w:id="222">
    <w:p w14:paraId="756FF3B2" w14:textId="10628F8A" w:rsidR="00024DD9" w:rsidRPr="003B2F79" w:rsidRDefault="00024DD9" w:rsidP="00024DD9">
      <w:pPr>
        <w:pStyle w:val="FootnoteText"/>
      </w:pPr>
      <w:r w:rsidRPr="003B2F79">
        <w:rPr>
          <w:rStyle w:val="FootnoteReference"/>
        </w:rPr>
        <w:footnoteRef/>
      </w:r>
      <w:r w:rsidR="001F10A6">
        <w:rPr>
          <w:i/>
          <w:iCs/>
        </w:rPr>
        <w:t xml:space="preserve"> </w:t>
      </w:r>
      <w:r w:rsidR="00E86B53" w:rsidRPr="00E86B53">
        <w:rPr>
          <w:i/>
          <w:iCs/>
        </w:rPr>
        <w:t>Lovell</w:t>
      </w:r>
      <w:r w:rsidR="00E86B53" w:rsidRPr="003B2F79">
        <w:t xml:space="preserve">, 303 U.S. </w:t>
      </w:r>
      <w:r w:rsidR="00E86B53">
        <w:t>at</w:t>
      </w:r>
      <w:r w:rsidR="00E86B53" w:rsidRPr="003B2F79">
        <w:t xml:space="preserve"> 452</w:t>
      </w:r>
      <w:r w:rsidR="00E86B53">
        <w:t>.</w:t>
      </w:r>
    </w:p>
  </w:footnote>
  <w:footnote w:id="223">
    <w:p w14:paraId="62E4DEF6" w14:textId="152B9572" w:rsidR="00024DD9" w:rsidRPr="003B2F79" w:rsidRDefault="00024DD9" w:rsidP="00024DD9">
      <w:pPr>
        <w:pStyle w:val="FootnoteText"/>
      </w:pPr>
      <w:r w:rsidRPr="003B2F79">
        <w:rPr>
          <w:rStyle w:val="FootnoteReference"/>
        </w:rPr>
        <w:footnoteRef/>
      </w:r>
      <w:r w:rsidR="001F10A6">
        <w:t xml:space="preserve"> </w:t>
      </w:r>
      <w:r w:rsidRPr="003B2F79">
        <w:t>Branzburg v. Hayes, 408 U.S. 665, 704 (1972).</w:t>
      </w:r>
    </w:p>
  </w:footnote>
  <w:footnote w:id="224">
    <w:p w14:paraId="074CEC71" w14:textId="688F25DD" w:rsidR="00D76FF6" w:rsidRPr="003B2F79" w:rsidRDefault="00D76FF6" w:rsidP="00D76FF6">
      <w:pPr>
        <w:pStyle w:val="FootnoteText"/>
      </w:pPr>
      <w:r w:rsidRPr="003B2F79">
        <w:rPr>
          <w:rStyle w:val="FootnoteReference"/>
        </w:rPr>
        <w:footnoteRef/>
      </w:r>
      <w:r w:rsidR="007F0E94">
        <w:rPr>
          <w:i/>
          <w:iCs/>
        </w:rPr>
        <w:t xml:space="preserve"> </w:t>
      </w:r>
      <w:r w:rsidRPr="003B2F79">
        <w:rPr>
          <w:i/>
          <w:iCs/>
        </w:rPr>
        <w:t>Dun &amp; Bradstreet</w:t>
      </w:r>
      <w:r w:rsidRPr="003B2F79">
        <w:t xml:space="preserve">, 472 U.S. at 782 (Brennan, J., dissenting).  When Justice Brennan expressed this concern in the mid-1980s, changes to “the technological and economic structure of the communications industry” was already causing “an increasing convergence of what might be labeled ‘media’ and ‘nonmedia.’”  </w:t>
      </w:r>
      <w:r w:rsidRPr="003B2F79">
        <w:rPr>
          <w:i/>
          <w:iCs/>
        </w:rPr>
        <w:t>Id.</w:t>
      </w:r>
      <w:r w:rsidRPr="003B2F79">
        <w:t xml:space="preserve"> at 782 n.7.  Suffice it to say, the pattern of technological change has not abated.</w:t>
      </w:r>
    </w:p>
  </w:footnote>
  <w:footnote w:id="225">
    <w:p w14:paraId="2D175862" w14:textId="2180C4E3" w:rsidR="00D76FF6" w:rsidRPr="003B2F79" w:rsidRDefault="00D76FF6" w:rsidP="00D76FF6">
      <w:pPr>
        <w:pStyle w:val="FootnoteText"/>
      </w:pPr>
      <w:r w:rsidRPr="003B2F79">
        <w:rPr>
          <w:rStyle w:val="FootnoteReference"/>
        </w:rPr>
        <w:footnoteRef/>
      </w:r>
      <w:r w:rsidR="007F0E94">
        <w:rPr>
          <w:i/>
          <w:iCs/>
        </w:rPr>
        <w:t xml:space="preserve"> </w:t>
      </w:r>
      <w:r w:rsidRPr="003B2F79">
        <w:rPr>
          <w:i/>
          <w:iCs/>
        </w:rPr>
        <w:t>See</w:t>
      </w:r>
      <w:r w:rsidRPr="003B2F79">
        <w:t xml:space="preserve"> </w:t>
      </w:r>
      <w:r w:rsidRPr="003B2F79">
        <w:rPr>
          <w:i/>
          <w:iCs/>
        </w:rPr>
        <w:t>Branzburg</w:t>
      </w:r>
      <w:r w:rsidRPr="003B2F79">
        <w:t xml:space="preserve">, 408 U.S. at 704; 42 </w:t>
      </w:r>
      <w:r w:rsidRPr="003B2F79">
        <w:rPr>
          <w:smallCaps/>
        </w:rPr>
        <w:t>Pa. Cons. Stat.</w:t>
      </w:r>
      <w:r w:rsidRPr="003B2F79">
        <w:t xml:space="preserve"> § 5942(a).  The last substantive change to the </w:t>
      </w:r>
      <w:r>
        <w:t>Pennsylvania Shield Law</w:t>
      </w:r>
      <w:r w:rsidRPr="003B2F79">
        <w:t xml:space="preserve"> was the addition of “magazine[s] of general circulation” in 1968.  </w:t>
      </w:r>
      <w:r w:rsidRPr="003B2F79">
        <w:rPr>
          <w:i/>
          <w:iCs/>
        </w:rPr>
        <w:t>See</w:t>
      </w:r>
      <w:r w:rsidRPr="003B2F79">
        <w:t xml:space="preserve"> Reporter’s Cmte. for Freedom of Press, </w:t>
      </w:r>
      <w:r w:rsidRPr="003B2F79">
        <w:rPr>
          <w:i/>
          <w:iCs/>
        </w:rPr>
        <w:t>Reporter’s Privilege Compendium: Pennsylvania</w:t>
      </w:r>
      <w:r w:rsidRPr="003B2F79">
        <w:t xml:space="preserve"> (updated Aug. 2021), https://</w:t>
      </w:r>
      <w:r w:rsidRPr="003B2F79">
        <w:rPr>
          <w:rFonts w:ascii="Times New Roman" w:hAnsi="Times New Roman" w:cs="Times New Roman"/>
        </w:rPr>
        <w:t>​</w:t>
      </w:r>
      <w:r w:rsidRPr="003B2F79">
        <w:t>www.</w:t>
      </w:r>
      <w:r w:rsidRPr="003B2F79">
        <w:rPr>
          <w:rFonts w:ascii="Times New Roman" w:hAnsi="Times New Roman" w:cs="Times New Roman"/>
        </w:rPr>
        <w:t>​</w:t>
      </w:r>
      <w:r w:rsidRPr="003B2F79">
        <w:t>rcfp.</w:t>
      </w:r>
      <w:r w:rsidRPr="003B2F79">
        <w:rPr>
          <w:rFonts w:ascii="Times New Roman" w:hAnsi="Times New Roman" w:cs="Times New Roman"/>
        </w:rPr>
        <w:t>​</w:t>
      </w:r>
      <w:r w:rsidRPr="003B2F79">
        <w:t>org/</w:t>
      </w:r>
      <w:r w:rsidRPr="003B2F79">
        <w:rPr>
          <w:rFonts w:ascii="Times New Roman" w:hAnsi="Times New Roman" w:cs="Times New Roman"/>
        </w:rPr>
        <w:t>​</w:t>
      </w:r>
      <w:r w:rsidRPr="003B2F79">
        <w:t>privilege-compen</w:t>
      </w:r>
      <w:r w:rsidRPr="003B2F79">
        <w:rPr>
          <w:rFonts w:ascii="Times New Roman" w:hAnsi="Times New Roman" w:cs="Times New Roman"/>
        </w:rPr>
        <w:t>​</w:t>
      </w:r>
      <w:r w:rsidRPr="003B2F79">
        <w:t>dium/</w:t>
      </w:r>
      <w:r w:rsidRPr="003B2F79">
        <w:rPr>
          <w:rFonts w:ascii="Times New Roman" w:hAnsi="Times New Roman" w:cs="Times New Roman"/>
        </w:rPr>
        <w:t>​</w:t>
      </w:r>
      <w:r w:rsidRPr="003B2F79">
        <w:t>pennsyl</w:t>
      </w:r>
      <w:r w:rsidRPr="003B2F79">
        <w:rPr>
          <w:rFonts w:ascii="Times New Roman" w:hAnsi="Times New Roman" w:cs="Times New Roman"/>
        </w:rPr>
        <w:t>​</w:t>
      </w:r>
      <w:r w:rsidRPr="003B2F79">
        <w:t>vania/ (citing Act of July 31, 1968, No. 255, 1968 Pa. Laws 858-59).</w:t>
      </w:r>
    </w:p>
  </w:footnote>
  <w:footnote w:id="226">
    <w:p w14:paraId="6BBA9F26" w14:textId="232626A3" w:rsidR="001E6F3F" w:rsidRDefault="001E6F3F">
      <w:pPr>
        <w:pStyle w:val="FootnoteText"/>
      </w:pPr>
      <w:r>
        <w:rPr>
          <w:rStyle w:val="FootnoteReference"/>
        </w:rPr>
        <w:footnoteRef/>
      </w:r>
      <w:r>
        <w:t xml:space="preserve"> </w:t>
      </w:r>
      <w:r w:rsidRPr="001E6F3F">
        <w:rPr>
          <w:i/>
          <w:iCs/>
        </w:rPr>
        <w:t>See</w:t>
      </w:r>
      <w:r>
        <w:t xml:space="preserve"> </w:t>
      </w:r>
      <w:r w:rsidRPr="00DB2336">
        <w:t>Volokh</w:t>
      </w:r>
      <w:r>
        <w:t xml:space="preserve">, </w:t>
      </w:r>
      <w:r w:rsidRPr="00DB2336">
        <w:rPr>
          <w:i/>
          <w:iCs/>
        </w:rPr>
        <w:t>supra</w:t>
      </w:r>
      <w:r>
        <w:t xml:space="preserve"> note </w:t>
      </w:r>
      <w:r>
        <w:fldChar w:fldCharType="begin"/>
      </w:r>
      <w:r>
        <w:instrText xml:space="preserve"> NOTEREF _Ref159786881 \h </w:instrText>
      </w:r>
      <w:r>
        <w:fldChar w:fldCharType="separate"/>
      </w:r>
      <w:r w:rsidR="00064C93">
        <w:t>190</w:t>
      </w:r>
      <w:r>
        <w:fldChar w:fldCharType="end"/>
      </w:r>
      <w:r>
        <w:t xml:space="preserve">, </w:t>
      </w:r>
      <w:r w:rsidRPr="00801533">
        <w:t>at</w:t>
      </w:r>
      <w:r w:rsidRPr="003B2F79">
        <w:t xml:space="preserve"> 46</w:t>
      </w:r>
      <w:r>
        <w:t>2 (definition of “press” extends to the “modern equivalents” of the printing press, too).</w:t>
      </w:r>
    </w:p>
  </w:footnote>
  <w:footnote w:id="227">
    <w:p w14:paraId="5D38BAE6" w14:textId="3015A3BE" w:rsidR="00E536ED" w:rsidRDefault="00E536ED" w:rsidP="00010F59">
      <w:pPr>
        <w:pStyle w:val="FootnoteText"/>
      </w:pPr>
      <w:r>
        <w:rPr>
          <w:rStyle w:val="FootnoteReference"/>
        </w:rPr>
        <w:footnoteRef/>
      </w:r>
      <w:r>
        <w:t xml:space="preserve"> </w:t>
      </w:r>
      <w:r w:rsidR="00E4506C" w:rsidRPr="00010F59">
        <w:rPr>
          <w:i/>
          <w:iCs/>
        </w:rPr>
        <w:t>See, e.g.</w:t>
      </w:r>
      <w:r w:rsidR="00E4506C">
        <w:t xml:space="preserve">, </w:t>
      </w:r>
      <w:r w:rsidR="00E4506C" w:rsidRPr="00E4506C">
        <w:t>Paul v. Findeisen, 2025 U.S. Dist. LEXIS 57488</w:t>
      </w:r>
      <w:r w:rsidR="00E4506C">
        <w:t xml:space="preserve">; </w:t>
      </w:r>
      <w:r w:rsidR="00E4506C" w:rsidRPr="00E4506C">
        <w:t>Arlene Delgado v. Chael Sonnen, 2025 WL 1042343</w:t>
      </w:r>
      <w:r w:rsidR="00E4506C">
        <w:t xml:space="preserve">; </w:t>
      </w:r>
      <w:r w:rsidR="00E4506C" w:rsidRPr="00E4506C">
        <w:t>Richardson v. Townsquare Media, Inc., 2025 U.S. Dist. LEXIS 7381</w:t>
      </w:r>
      <w:r w:rsidR="00E4506C">
        <w:t xml:space="preserve">; </w:t>
      </w:r>
      <w:r w:rsidR="00E4506C" w:rsidRPr="00E4506C">
        <w:t>State v. Henderson (In re Wollscheid), 2024 Ohio LEXIS 2906</w:t>
      </w:r>
      <w:r w:rsidR="00E4506C">
        <w:t xml:space="preserve">; </w:t>
      </w:r>
      <w:r w:rsidR="00E4506C" w:rsidRPr="00E4506C">
        <w:t>Energy Transfer LP v. Greenpeace International, 7 N.W.3d 153 (Minn. Ct. App. 2024)</w:t>
      </w:r>
      <w:r w:rsidR="00E4506C">
        <w:t xml:space="preserve">; </w:t>
      </w:r>
      <w:r w:rsidR="00E4506C" w:rsidRPr="00E4506C">
        <w:t>Villareal v. City of Laredo, 94 F.4th 374 (5th Cir. 2024)</w:t>
      </w:r>
      <w:r w:rsidR="00E4506C">
        <w:t xml:space="preserve">; </w:t>
      </w:r>
      <w:r w:rsidR="00E4506C" w:rsidRPr="00E4506C">
        <w:t>Reyes v. City of New York, 2024 WL 4354877</w:t>
      </w:r>
      <w:r w:rsidR="00E4506C">
        <w:t xml:space="preserve">; </w:t>
      </w:r>
      <w:r w:rsidR="00E4506C" w:rsidRPr="00E4506C">
        <w:t>Rapaport v. Barstool Sports Inc., 2024 WL 88636</w:t>
      </w:r>
      <w:r w:rsidR="00E4506C">
        <w:t xml:space="preserve">; </w:t>
      </w:r>
      <w:r w:rsidR="00E4506C" w:rsidRPr="00E4506C">
        <w:t>Feitosa v. Keem, 2023 U.S. Dist. LEXIS 33291</w:t>
      </w:r>
      <w:r w:rsidR="00E4506C">
        <w:t xml:space="preserve">; </w:t>
      </w:r>
      <w:r w:rsidR="00E4506C" w:rsidRPr="00E4506C">
        <w:t>McQueen v. Baskin, 377 So.3d 170 (Fla. Dist. Ct. App. 2023)</w:t>
      </w:r>
      <w:r w:rsidR="00AD0679">
        <w:t xml:space="preserve">; </w:t>
      </w:r>
      <w:r w:rsidR="00AD0679" w:rsidRPr="00AD0679">
        <w:t>United States Rel. Berkley v. Ocean State, LLC, 2023 U.S. Dist. LEXIS 76578</w:t>
      </w:r>
      <w:r w:rsidR="00AD0679">
        <w:t xml:space="preserve">; </w:t>
      </w:r>
      <w:r w:rsidR="00AD0679" w:rsidRPr="00AD0679">
        <w:t>United States ex rel. Louderback v. Sunovion Pharms., Inc., 703 F.</w:t>
      </w:r>
      <w:r w:rsidR="00AD0679">
        <w:t xml:space="preserve"> </w:t>
      </w:r>
      <w:r w:rsidR="00AD0679" w:rsidRPr="00AD0679">
        <w:t>Supp.</w:t>
      </w:r>
      <w:r w:rsidR="00AD0679">
        <w:t xml:space="preserve"> </w:t>
      </w:r>
      <w:r w:rsidR="00AD0679" w:rsidRPr="00AD0679">
        <w:t>3d 961 (D. Minn. 2023)</w:t>
      </w:r>
      <w:r w:rsidR="00AD0679">
        <w:t xml:space="preserve">; </w:t>
      </w:r>
      <w:r w:rsidR="00AD0679" w:rsidRPr="00AD0679">
        <w:t>TGP Communications LLC v. Sellers, 642 F.</w:t>
      </w:r>
      <w:r w:rsidR="00AD0679">
        <w:t xml:space="preserve"> </w:t>
      </w:r>
      <w:r w:rsidR="00AD0679" w:rsidRPr="00AD0679">
        <w:t>Supp.</w:t>
      </w:r>
      <w:r w:rsidR="00AD0679">
        <w:t xml:space="preserve"> </w:t>
      </w:r>
      <w:r w:rsidR="00AD0679" w:rsidRPr="00AD0679">
        <w:t>3d 957 (D. Ariz. 2022)</w:t>
      </w:r>
      <w:r w:rsidR="00AD0679">
        <w:t xml:space="preserve">; </w:t>
      </w:r>
      <w:r w:rsidR="00AD0679" w:rsidRPr="00AD0679">
        <w:t>Irizarry v. Yehia, 38</w:t>
      </w:r>
      <w:r w:rsidR="00AD0679">
        <w:t xml:space="preserve"> </w:t>
      </w:r>
      <w:r w:rsidR="00AD0679" w:rsidRPr="00AD0679">
        <w:t>F.4th 1282 (10th Cir. 2022)</w:t>
      </w:r>
      <w:r w:rsidR="00AD0679">
        <w:t xml:space="preserve">; </w:t>
      </w:r>
      <w:r w:rsidR="00AD0679" w:rsidRPr="00AD0679">
        <w:t>Alaska Landmine, LLC v. Dunleavy, 514 F.</w:t>
      </w:r>
      <w:r w:rsidR="00AD0679">
        <w:t xml:space="preserve"> </w:t>
      </w:r>
      <w:r w:rsidR="00AD0679" w:rsidRPr="00AD0679">
        <w:t>Supp.</w:t>
      </w:r>
      <w:r w:rsidR="00AD0679">
        <w:t xml:space="preserve"> </w:t>
      </w:r>
      <w:r w:rsidR="00AD0679" w:rsidRPr="00AD0679">
        <w:t>3d 1123 (D. Alaska 2021)</w:t>
      </w:r>
      <w:r w:rsidR="00AD0679">
        <w:t xml:space="preserve">; </w:t>
      </w:r>
      <w:r w:rsidR="00AD0679" w:rsidRPr="00AD0679">
        <w:t>Lamar Advantage GP Co. v. City of Cincinnati, 185 N.E.3d 1032 (Ohio 2021)</w:t>
      </w:r>
      <w:r w:rsidR="00AD0679">
        <w:t xml:space="preserve">; </w:t>
      </w:r>
      <w:r w:rsidR="00AD0679" w:rsidRPr="00AD0679">
        <w:t xml:space="preserve">John K. MacIver Inst. </w:t>
      </w:r>
      <w:r w:rsidR="00AD0679">
        <w:t>f</w:t>
      </w:r>
      <w:r w:rsidR="00AD0679" w:rsidRPr="00AD0679">
        <w:t>or Pub. Policy, Inc. v. Evers, 994 F.3d 602 (7th Cir. 2021)</w:t>
      </w:r>
      <w:r w:rsidR="00AD0679">
        <w:t xml:space="preserve">; </w:t>
      </w:r>
      <w:r w:rsidR="00AD0679" w:rsidRPr="00AD0679">
        <w:t>Toll v. Wilson, 453 P.3d 1215 (Nev. 2019)</w:t>
      </w:r>
      <w:r w:rsidR="00AD0679">
        <w:t xml:space="preserve">; </w:t>
      </w:r>
      <w:r w:rsidR="00AD0679" w:rsidRPr="00AD0679">
        <w:t>United States ex rel. Integra Med Analytics LLC v. Providence Health &amp; Servs., 2019 U.S. Dist. LEXIS 125352</w:t>
      </w:r>
      <w:r w:rsidR="00AD0679">
        <w:t xml:space="preserve">; </w:t>
      </w:r>
      <w:r w:rsidR="00AD0679" w:rsidRPr="00AD0679">
        <w:t>Tobinick</w:t>
      </w:r>
      <w:r w:rsidR="00AD0679">
        <w:t xml:space="preserve"> </w:t>
      </w:r>
      <w:r w:rsidR="00AD0679" w:rsidRPr="00AD0679">
        <w:t>v. Novella, 848 F.3d 935 (11th Cir. 2017)</w:t>
      </w:r>
      <w:r w:rsidR="00AD0679">
        <w:t xml:space="preserve">; </w:t>
      </w:r>
      <w:r w:rsidR="00AD0679" w:rsidRPr="00AD0679">
        <w:t>Turner v. Driver, 848 F.3d 678 (5th Cir. 2017)</w:t>
      </w:r>
      <w:r w:rsidR="00AD0679">
        <w:t xml:space="preserve">; </w:t>
      </w:r>
      <w:r w:rsidR="00AD0679" w:rsidRPr="00AD0679">
        <w:t>Liberman v. United States DOT, 227 F.</w:t>
      </w:r>
      <w:r w:rsidR="00AD0679">
        <w:t xml:space="preserve"> </w:t>
      </w:r>
      <w:r w:rsidR="00AD0679" w:rsidRPr="00AD0679">
        <w:t>Supp.</w:t>
      </w:r>
      <w:r w:rsidR="00AD0679">
        <w:t xml:space="preserve"> </w:t>
      </w:r>
      <w:r w:rsidR="00AD0679" w:rsidRPr="00AD0679">
        <w:t>3d 1 (D.D.C. 2016)</w:t>
      </w:r>
      <w:r w:rsidR="00AD0679">
        <w:t xml:space="preserve">; </w:t>
      </w:r>
      <w:r w:rsidR="00AD0679" w:rsidRPr="00AD0679">
        <w:t>Action C</w:t>
      </w:r>
      <w:r w:rsidR="00AD0679">
        <w:t>mte</w:t>
      </w:r>
      <w:r w:rsidR="00AD0679" w:rsidRPr="00AD0679">
        <w:t>. For Transit, Inc. v. Town of Chevy Chase, 145 A.3d 640 (Md. Ct. Spec. App. 2016)</w:t>
      </w:r>
      <w:r w:rsidR="00AD0679">
        <w:t xml:space="preserve">; </w:t>
      </w:r>
      <w:r w:rsidR="00AD0679" w:rsidRPr="00AD0679">
        <w:t>Cause of Action v. FTC, 799 F.3d 1108 (D.C. Cir. 2015)</w:t>
      </w:r>
      <w:r w:rsidR="00AD0679">
        <w:t xml:space="preserve">; </w:t>
      </w:r>
      <w:r w:rsidR="00AD0679" w:rsidRPr="00AD0679">
        <w:t>Obsidian Finance Group, LLC v. Cox, 740 F.3d.1284 (9th Cir. 2014)</w:t>
      </w:r>
      <w:r w:rsidR="00AD0679">
        <w:t xml:space="preserve">; </w:t>
      </w:r>
      <w:r w:rsidR="00AD0679" w:rsidRPr="00AD0679">
        <w:t>Comins v. VanVoorhis, 135 So.3d 545 (Fla. Dist. Ct. App. 2014)</w:t>
      </w:r>
      <w:r w:rsidR="00AD0679">
        <w:t xml:space="preserve">; </w:t>
      </w:r>
      <w:r w:rsidR="00AD0679" w:rsidRPr="00AD0679">
        <w:t>United States ex rel. Kraxberger v. Kan. City Power &amp; Light Co., 756 F.3d 1075 (8th Cir. 2014)</w:t>
      </w:r>
      <w:r w:rsidR="00AD0679">
        <w:t xml:space="preserve">; </w:t>
      </w:r>
      <w:r w:rsidR="00AD0679" w:rsidRPr="00AD0679">
        <w:t>United States ex rel. Doe v. Staples, Inc., 773 F.3d 83 (D.C. Cir. 2014</w:t>
      </w:r>
      <w:r w:rsidR="00AD0679">
        <w:t xml:space="preserve">); </w:t>
      </w:r>
      <w:r w:rsidR="00010F59" w:rsidRPr="00010F59">
        <w:t>In re January 11, 2013 Subpoena by Grand Jury of Union County, 75 A.3d 1260 (N.J. Super. Ct. Law Div. 2013)</w:t>
      </w:r>
      <w:r w:rsidR="00010F59">
        <w:t xml:space="preserve">; </w:t>
      </w:r>
      <w:r w:rsidR="00010F59" w:rsidRPr="00010F59">
        <w:t>SEIU, Local 5 v. Prof’l Janitorial Serv. of Houston, 415 S.W.3d 387 (Tex. App. 2013)</w:t>
      </w:r>
      <w:r w:rsidR="00010F59">
        <w:t xml:space="preserve">; </w:t>
      </w:r>
      <w:r w:rsidR="00010F59" w:rsidRPr="00010F59">
        <w:t>Moore v. Hoff, 821 N.W.2d 591 (Minn. Ct. App. 2012)</w:t>
      </w:r>
      <w:r w:rsidR="00010F59">
        <w:t xml:space="preserve">; Glik v. Cunniffe, 655 F.3d 78 (1st Cir. 2011); </w:t>
      </w:r>
      <w:r w:rsidR="00010F59" w:rsidRPr="00010F59">
        <w:t>Schindler Elevator Corp. v. United States ex rel. Kirk, 563 U.S. 401 (2011)</w:t>
      </w:r>
      <w:r w:rsidR="00010F59">
        <w:t xml:space="preserve">; </w:t>
      </w:r>
      <w:r w:rsidR="00010F59" w:rsidRPr="00010F59">
        <w:t>Mortgage Specialists, Inc. v. Implode-Explode Heavy Industries, Inc., 999 A.2d 184 (N.H. 2010)</w:t>
      </w:r>
      <w:r w:rsidR="00010F59">
        <w:t xml:space="preserve">; </w:t>
      </w:r>
      <w:r w:rsidR="00010F59" w:rsidRPr="00010F59">
        <w:t>Too Much Media, LLC v. Hale, 993 A.2d 845 (N.J. Super. Ct. App. Div. 2010)</w:t>
      </w:r>
      <w:r w:rsidR="00010F59">
        <w:t xml:space="preserve">; </w:t>
      </w:r>
      <w:r w:rsidR="00010F59" w:rsidRPr="00010F59">
        <w:t>Kaufman v. Islamic Soc’y of Arlington, 291 S.W.3d 130 (Tex. App. 2009)</w:t>
      </w:r>
      <w:r w:rsidR="00010F59">
        <w:t xml:space="preserve">; </w:t>
      </w:r>
      <w:r w:rsidR="00010F59" w:rsidRPr="00010F59">
        <w:t>Brown v. United States PTO, 226 F. App</w:t>
      </w:r>
      <w:r w:rsidR="00010F59">
        <w:t>’</w:t>
      </w:r>
      <w:r w:rsidR="00010F59" w:rsidRPr="00010F59">
        <w:t>x 866 (11th Cir. 2007)</w:t>
      </w:r>
      <w:r w:rsidR="00010F59">
        <w:t xml:space="preserve">; </w:t>
      </w:r>
      <w:r w:rsidR="00010F59" w:rsidRPr="00010F59">
        <w:t>O’Grady v. Superior Court, 44 Cal.</w:t>
      </w:r>
      <w:r w:rsidR="00010F59">
        <w:t xml:space="preserve"> </w:t>
      </w:r>
      <w:r w:rsidR="00010F59" w:rsidRPr="00010F59">
        <w:t>Rptr.</w:t>
      </w:r>
      <w:r w:rsidR="00010F59">
        <w:t xml:space="preserve"> </w:t>
      </w:r>
      <w:r w:rsidR="00010F59" w:rsidRPr="00010F59">
        <w:t>3d 72 (Cal. Dist. Ct. App. 2006)</w:t>
      </w:r>
      <w:r w:rsidR="00010F59">
        <w:t xml:space="preserve">; </w:t>
      </w:r>
      <w:r w:rsidR="00010F59" w:rsidRPr="00010F59">
        <w:t>In re Madden, 151 F.3d 125 (3d Cir. 1998)</w:t>
      </w:r>
      <w:r w:rsidR="00010F59">
        <w:t>.</w:t>
      </w:r>
    </w:p>
  </w:footnote>
  <w:footnote w:id="228">
    <w:p w14:paraId="014E7C31" w14:textId="1C6D940A" w:rsidR="00D76FF6" w:rsidRPr="003B2F79" w:rsidRDefault="00D76FF6" w:rsidP="00D76FF6">
      <w:pPr>
        <w:pStyle w:val="FootnoteText"/>
        <w:rPr>
          <w:rFonts w:cs="Times New Roman"/>
          <w:iCs/>
        </w:rPr>
      </w:pPr>
      <w:r w:rsidRPr="003B2F79">
        <w:rPr>
          <w:rStyle w:val="FootnoteReference"/>
          <w:rFonts w:cs="Times New Roman"/>
        </w:rPr>
        <w:footnoteRef/>
      </w:r>
      <w:r w:rsidR="007F0E94">
        <w:rPr>
          <w:rFonts w:cs="Times New Roman"/>
        </w:rPr>
        <w:t xml:space="preserve"> </w:t>
      </w:r>
      <w:r w:rsidRPr="003B2F79">
        <w:rPr>
          <w:rFonts w:cs="Times New Roman"/>
        </w:rPr>
        <w:t xml:space="preserve">West, </w:t>
      </w:r>
      <w:r w:rsidRPr="003B2F79">
        <w:rPr>
          <w:rFonts w:cs="Times New Roman"/>
          <w:i/>
          <w:iCs/>
        </w:rPr>
        <w:t>Awakening</w:t>
      </w:r>
      <w:r w:rsidRPr="003B2F79">
        <w:rPr>
          <w:rFonts w:cs="Times New Roman"/>
        </w:rPr>
        <w:t xml:space="preserve">, </w:t>
      </w:r>
      <w:r w:rsidRPr="003B2F79">
        <w:rPr>
          <w:rFonts w:cs="Times New Roman"/>
          <w:i/>
          <w:iCs/>
        </w:rPr>
        <w:t>supra</w:t>
      </w:r>
      <w:r w:rsidRPr="003B2F79">
        <w:rPr>
          <w:rFonts w:cs="Times New Roman"/>
        </w:rPr>
        <w:t xml:space="preserve"> note </w:t>
      </w:r>
      <w:r w:rsidRPr="003B2F79">
        <w:rPr>
          <w:rFonts w:cs="Times New Roman"/>
        </w:rPr>
        <w:fldChar w:fldCharType="begin"/>
      </w:r>
      <w:r w:rsidRPr="003B2F79">
        <w:rPr>
          <w:rFonts w:cs="Times New Roman"/>
        </w:rPr>
        <w:instrText xml:space="preserve"> NOTEREF _Ref198162275 \h  \* MERGEFORMAT </w:instrText>
      </w:r>
      <w:r w:rsidRPr="003B2F79">
        <w:rPr>
          <w:rFonts w:cs="Times New Roman"/>
        </w:rPr>
      </w:r>
      <w:r w:rsidRPr="003B2F79">
        <w:rPr>
          <w:rFonts w:cs="Times New Roman"/>
        </w:rPr>
        <w:fldChar w:fldCharType="separate"/>
      </w:r>
      <w:r w:rsidR="00064C93">
        <w:rPr>
          <w:rFonts w:cs="Times New Roman"/>
        </w:rPr>
        <w:t>170</w:t>
      </w:r>
      <w:r w:rsidRPr="003B2F79">
        <w:rPr>
          <w:rFonts w:cs="Times New Roman"/>
        </w:rPr>
        <w:fldChar w:fldCharType="end"/>
      </w:r>
      <w:r w:rsidRPr="003B2F79">
        <w:rPr>
          <w:rFonts w:cs="Times New Roman"/>
        </w:rPr>
        <w:t xml:space="preserve">, at </w:t>
      </w:r>
      <w:r w:rsidRPr="003B2F79">
        <w:rPr>
          <w:rFonts w:cs="Times New Roman"/>
          <w:iCs/>
        </w:rPr>
        <w:t>1061.</w:t>
      </w:r>
    </w:p>
  </w:footnote>
  <w:footnote w:id="229">
    <w:p w14:paraId="3AFF2571" w14:textId="0683F27A" w:rsidR="00D76FF6" w:rsidRPr="003B2F79" w:rsidRDefault="00D76FF6" w:rsidP="00D76FF6">
      <w:pPr>
        <w:pStyle w:val="FootnoteText"/>
      </w:pPr>
      <w:r w:rsidRPr="003B2F79">
        <w:rPr>
          <w:rStyle w:val="FootnoteReference"/>
        </w:rPr>
        <w:footnoteRef/>
      </w:r>
      <w:r w:rsidR="007F0E94">
        <w:t xml:space="preserve"> </w:t>
      </w:r>
      <w:r w:rsidRPr="003B2F79">
        <w:t xml:space="preserve">Paul Farhi, </w:t>
      </w:r>
      <w:r w:rsidRPr="003B2F79">
        <w:rPr>
          <w:i/>
          <w:iCs/>
        </w:rPr>
        <w:t>Washington Post Closes Sale to Amazon Founder Jeff Bezos</w:t>
      </w:r>
      <w:r w:rsidRPr="003B2F79">
        <w:t xml:space="preserve">, </w:t>
      </w:r>
      <w:r w:rsidRPr="003B2F79">
        <w:rPr>
          <w:smallCaps/>
        </w:rPr>
        <w:t xml:space="preserve">Wash. Post </w:t>
      </w:r>
      <w:r w:rsidRPr="003B2F79">
        <w:t>(Oct. 1, 2013), https://www.washingtonpost.com/</w:t>
      </w:r>
      <w:r w:rsidRPr="003B2F79">
        <w:rPr>
          <w:rFonts w:ascii="Times New Roman" w:hAnsi="Times New Roman" w:cs="Times New Roman"/>
        </w:rPr>
        <w:t>​</w:t>
      </w:r>
      <w:r w:rsidRPr="003B2F79">
        <w:t>business/</w:t>
      </w:r>
      <w:r w:rsidRPr="003B2F79">
        <w:rPr>
          <w:rFonts w:ascii="Times New Roman" w:hAnsi="Times New Roman" w:cs="Times New Roman"/>
        </w:rPr>
        <w:t>​</w:t>
      </w:r>
      <w:r w:rsidRPr="003B2F79">
        <w:t>economy/</w:t>
      </w:r>
      <w:r w:rsidRPr="003B2F79">
        <w:rPr>
          <w:rFonts w:ascii="Times New Roman" w:hAnsi="Times New Roman" w:cs="Times New Roman"/>
        </w:rPr>
        <w:t>​</w:t>
      </w:r>
      <w:r w:rsidRPr="003B2F79">
        <w:t>washington-post-closes-sale-to-amazon-founder-jeff-bezos/</w:t>
      </w:r>
      <w:r w:rsidRPr="003B2F79">
        <w:rPr>
          <w:rFonts w:ascii="Times New Roman" w:hAnsi="Times New Roman" w:cs="Times New Roman"/>
        </w:rPr>
        <w:t>​</w:t>
      </w:r>
      <w:r w:rsidRPr="003B2F79">
        <w:t>2013/</w:t>
      </w:r>
      <w:r w:rsidRPr="003B2F79">
        <w:rPr>
          <w:rFonts w:ascii="Times New Roman" w:hAnsi="Times New Roman" w:cs="Times New Roman"/>
        </w:rPr>
        <w:t>​</w:t>
      </w:r>
      <w:r w:rsidRPr="003B2F79">
        <w:t>10/</w:t>
      </w:r>
      <w:r w:rsidRPr="003B2F79">
        <w:rPr>
          <w:rFonts w:ascii="Times New Roman" w:hAnsi="Times New Roman" w:cs="Times New Roman"/>
        </w:rPr>
        <w:t>​</w:t>
      </w:r>
      <w:r w:rsidRPr="003B2F79">
        <w:t>01/</w:t>
      </w:r>
      <w:r w:rsidRPr="003B2F79">
        <w:rPr>
          <w:rFonts w:ascii="Times New Roman" w:hAnsi="Times New Roman" w:cs="Times New Roman"/>
        </w:rPr>
        <w:t>​</w:t>
      </w:r>
      <w:r w:rsidRPr="003B2F79">
        <w:t>fca3</w:t>
      </w:r>
      <w:r w:rsidRPr="003B2F79">
        <w:rPr>
          <w:rFonts w:ascii="Times New Roman" w:hAnsi="Times New Roman" w:cs="Times New Roman"/>
        </w:rPr>
        <w:t>​</w:t>
      </w:r>
      <w:r w:rsidRPr="003B2F79">
        <w:t>b16a-2acf-11e3-97a3-ff2758228523_story.html.</w:t>
      </w:r>
    </w:p>
  </w:footnote>
  <w:footnote w:id="230">
    <w:p w14:paraId="694C25DB" w14:textId="11EA7FF7" w:rsidR="00D76FF6" w:rsidRPr="003B2F79" w:rsidRDefault="00D76FF6" w:rsidP="00D76FF6">
      <w:pPr>
        <w:pStyle w:val="FootnoteText"/>
      </w:pPr>
      <w:r w:rsidRPr="003B2F79">
        <w:rPr>
          <w:rStyle w:val="FootnoteReference"/>
        </w:rPr>
        <w:footnoteRef/>
      </w:r>
      <w:r w:rsidR="007F0E94">
        <w:rPr>
          <w:i/>
          <w:iCs/>
        </w:rPr>
        <w:t xml:space="preserve"> </w:t>
      </w:r>
      <w:r w:rsidRPr="003B2F79">
        <w:rPr>
          <w:i/>
          <w:iCs/>
        </w:rPr>
        <w:t>See</w:t>
      </w:r>
      <w:r w:rsidRPr="003B2F79">
        <w:t xml:space="preserve"> </w:t>
      </w:r>
      <w:r w:rsidRPr="003B2F79">
        <w:rPr>
          <w:i/>
          <w:iCs/>
        </w:rPr>
        <w:t>Branzburg</w:t>
      </w:r>
      <w:r w:rsidRPr="003B2F79">
        <w:t>, 408 U.S. at 704.</w:t>
      </w:r>
    </w:p>
  </w:footnote>
  <w:footnote w:id="231">
    <w:p w14:paraId="4C12439A" w14:textId="68950636" w:rsidR="00D76FF6" w:rsidRPr="003B2F79" w:rsidRDefault="00D76FF6" w:rsidP="00D76FF6">
      <w:pPr>
        <w:pStyle w:val="FootnoteText"/>
      </w:pPr>
      <w:r w:rsidRPr="003B2F79">
        <w:rPr>
          <w:rStyle w:val="FootnoteReference"/>
        </w:rPr>
        <w:footnoteRef/>
      </w:r>
      <w:r w:rsidR="007F0E94" w:rsidRPr="00F74C82">
        <w:t xml:space="preserve"> </w:t>
      </w:r>
      <w:r w:rsidRPr="003B2F79">
        <w:rPr>
          <w:i/>
          <w:iCs/>
        </w:rPr>
        <w:t>Online Content</w:t>
      </w:r>
      <w:r w:rsidRPr="003B2F79">
        <w:t xml:space="preserve">, </w:t>
      </w:r>
      <w:r w:rsidRPr="003B2F79">
        <w:rPr>
          <w:smallCaps/>
        </w:rPr>
        <w:t>PC Mag</w:t>
      </w:r>
      <w:r w:rsidRPr="003B2F79">
        <w:t>, https://</w:t>
      </w:r>
      <w:r w:rsidRPr="003B2F79">
        <w:rPr>
          <w:rFonts w:ascii="Times New Roman" w:hAnsi="Times New Roman" w:cs="Times New Roman"/>
        </w:rPr>
        <w:t>​</w:t>
      </w:r>
      <w:r w:rsidRPr="003B2F79">
        <w:t>www.pcmag.com/</w:t>
      </w:r>
      <w:r w:rsidRPr="003B2F79">
        <w:rPr>
          <w:rFonts w:ascii="Times New Roman" w:hAnsi="Times New Roman" w:cs="Times New Roman"/>
        </w:rPr>
        <w:t>​</w:t>
      </w:r>
      <w:r w:rsidRPr="003B2F79">
        <w:t>encyclopedia/</w:t>
      </w:r>
      <w:r w:rsidRPr="003B2F79">
        <w:rPr>
          <w:rFonts w:ascii="Times New Roman" w:hAnsi="Times New Roman" w:cs="Times New Roman"/>
        </w:rPr>
        <w:t>​</w:t>
      </w:r>
      <w:r w:rsidRPr="003B2F79">
        <w:t>term/</w:t>
      </w:r>
      <w:r w:rsidRPr="003B2F79">
        <w:rPr>
          <w:rFonts w:ascii="Times New Roman" w:hAnsi="Times New Roman" w:cs="Times New Roman"/>
        </w:rPr>
        <w:t>​</w:t>
      </w:r>
      <w:r w:rsidRPr="003B2F79">
        <w:t>online-content.  The top-rated comment on Urban Dictionary snarkily describe</w:t>
      </w:r>
      <w:r>
        <w:t>s</w:t>
      </w:r>
      <w:r w:rsidRPr="003B2F79">
        <w:t xml:space="preserve"> “content” as “the s--t that people post online for maximum views.”  </w:t>
      </w:r>
      <w:r w:rsidRPr="003B2F79">
        <w:rPr>
          <w:i/>
          <w:iCs/>
        </w:rPr>
        <w:t>Content</w:t>
      </w:r>
      <w:r w:rsidRPr="003B2F79">
        <w:t xml:space="preserve">, </w:t>
      </w:r>
      <w:r w:rsidRPr="003B2F79">
        <w:rPr>
          <w:smallCaps/>
        </w:rPr>
        <w:t>Urban Dictionary</w:t>
      </w:r>
      <w:r w:rsidRPr="003B2F79">
        <w:t xml:space="preserve">, https://www.urbandictionary.com/define.php?term=content (last visited </w:t>
      </w:r>
      <w:r w:rsidR="00205838">
        <w:t>Oct. 31</w:t>
      </w:r>
      <w:r w:rsidRPr="003B2F79">
        <w:t>, 2025).</w:t>
      </w:r>
    </w:p>
  </w:footnote>
  <w:footnote w:id="232">
    <w:p w14:paraId="73B852A5" w14:textId="720F3229" w:rsidR="00D76FF6" w:rsidRPr="003B2F79" w:rsidRDefault="00D76FF6" w:rsidP="00D76FF6">
      <w:pPr>
        <w:pStyle w:val="FootnoteText"/>
      </w:pPr>
      <w:r w:rsidRPr="003B2F79">
        <w:rPr>
          <w:rStyle w:val="FootnoteReference"/>
        </w:rPr>
        <w:footnoteRef/>
      </w:r>
      <w:bookmarkStart w:id="58" w:name="_Hlk203062376"/>
      <w:r w:rsidR="007F0E94" w:rsidRPr="00F74C82">
        <w:t xml:space="preserve"> </w:t>
      </w:r>
      <w:r w:rsidRPr="003B2F79">
        <w:rPr>
          <w:i/>
          <w:iCs/>
        </w:rPr>
        <w:t>See, e.g.</w:t>
      </w:r>
      <w:r w:rsidRPr="003B2F79">
        <w:t>, Ward v. Rock Against Racism, 491 U.S. 781 (1989) (music); Hustler Magazine v. Falwell, 485 U.S. 46 (1988) (satirical cartoons); United States v. O’Brien, 391 U.S. 367 (1968) (symbolic conduct)</w:t>
      </w:r>
      <w:bookmarkEnd w:id="58"/>
      <w:r w:rsidRPr="003B2F79">
        <w:t>.</w:t>
      </w:r>
    </w:p>
  </w:footnote>
  <w:footnote w:id="233">
    <w:p w14:paraId="562386CF" w14:textId="29714663" w:rsidR="009C07BC" w:rsidRPr="003B2F79" w:rsidRDefault="009C07BC" w:rsidP="009C07BC">
      <w:pPr>
        <w:pStyle w:val="FootnoteText"/>
      </w:pPr>
      <w:r w:rsidRPr="003B2F79">
        <w:rPr>
          <w:rStyle w:val="FootnoteReference"/>
        </w:rPr>
        <w:footnoteRef/>
      </w:r>
      <w:r w:rsidR="00F74C82" w:rsidRPr="00F74C82">
        <w:t xml:space="preserve"> </w:t>
      </w:r>
      <w:r w:rsidRPr="003B2F79">
        <w:rPr>
          <w:i/>
          <w:iCs/>
        </w:rPr>
        <w:t>See</w:t>
      </w:r>
      <w:r w:rsidRPr="003B2F79">
        <w:t xml:space="preserve"> Lovell v. Griffin, 303 U.S. 444, 452 (1938).</w:t>
      </w:r>
    </w:p>
  </w:footnote>
  <w:footnote w:id="234">
    <w:p w14:paraId="2BF7877F" w14:textId="2AC1DD4C" w:rsidR="009C07BC" w:rsidRPr="003B2F79" w:rsidRDefault="009C07BC" w:rsidP="009C07BC">
      <w:pPr>
        <w:pStyle w:val="FootnoteText"/>
      </w:pPr>
      <w:r w:rsidRPr="003B2F79">
        <w:rPr>
          <w:rStyle w:val="FootnoteReference"/>
        </w:rPr>
        <w:footnoteRef/>
      </w:r>
      <w:r w:rsidR="00F74C82">
        <w:t xml:space="preserve"> </w:t>
      </w:r>
      <w:r w:rsidRPr="003B2F79">
        <w:rPr>
          <w:i/>
          <w:iCs/>
        </w:rPr>
        <w:t>See</w:t>
      </w:r>
      <w:r w:rsidRPr="003B2F79">
        <w:t xml:space="preserve"> Benjamin Hoffman, </w:t>
      </w:r>
      <w:r w:rsidRPr="003B2F79">
        <w:rPr>
          <w:i/>
          <w:iCs/>
        </w:rPr>
        <w:t>First Came ‘Spam.’ Now, With A.I., We’ve Got ‘Slop</w:t>
      </w:r>
      <w:r w:rsidRPr="003B2F79">
        <w:t>,</w:t>
      </w:r>
      <w:r w:rsidRPr="003B2F79">
        <w:rPr>
          <w:i/>
          <w:iCs/>
        </w:rPr>
        <w:t>’</w:t>
      </w:r>
      <w:r w:rsidRPr="003B2F79">
        <w:t xml:space="preserve"> </w:t>
      </w:r>
      <w:r w:rsidRPr="003B2F79">
        <w:rPr>
          <w:smallCaps/>
        </w:rPr>
        <w:t>N.Y. Times</w:t>
      </w:r>
      <w:r w:rsidRPr="003B2F79">
        <w:t xml:space="preserve"> (June 11, 2024), https://www.nytimes.com/2024/06/11/style/ai-search-slop.html.</w:t>
      </w:r>
    </w:p>
  </w:footnote>
  <w:footnote w:id="235">
    <w:p w14:paraId="5215D3E0" w14:textId="2E4F87E6" w:rsidR="009C07BC" w:rsidRPr="003B2F79" w:rsidRDefault="009C07BC" w:rsidP="009C07BC">
      <w:pPr>
        <w:pStyle w:val="FootnoteText"/>
      </w:pPr>
      <w:r w:rsidRPr="003B2F79">
        <w:rPr>
          <w:rStyle w:val="FootnoteReference"/>
        </w:rPr>
        <w:footnoteRef/>
      </w:r>
      <w:r w:rsidR="00F74C82">
        <w:rPr>
          <w:smallCaps/>
        </w:rPr>
        <w:t xml:space="preserve"> </w:t>
      </w:r>
      <w:r w:rsidRPr="003B2F79">
        <w:rPr>
          <w:smallCaps/>
        </w:rPr>
        <w:t>Farber</w:t>
      </w:r>
      <w:r w:rsidRPr="003B2F79">
        <w:t xml:space="preserve">, </w:t>
      </w:r>
      <w:r w:rsidRPr="003B2F79">
        <w:rPr>
          <w:i/>
          <w:iCs/>
        </w:rPr>
        <w:t>supra</w:t>
      </w:r>
      <w:r w:rsidRPr="003B2F79">
        <w:t xml:space="preserve"> note</w:t>
      </w:r>
      <w:r w:rsidR="00F74C82">
        <w:t xml:space="preserve"> </w:t>
      </w:r>
      <w:r w:rsidR="00F74C82">
        <w:fldChar w:fldCharType="begin"/>
      </w:r>
      <w:r w:rsidR="00F74C82">
        <w:instrText xml:space="preserve"> NOTEREF _Ref198148394 \h </w:instrText>
      </w:r>
      <w:r w:rsidR="00F74C82">
        <w:fldChar w:fldCharType="separate"/>
      </w:r>
      <w:r w:rsidR="00064C93">
        <w:t>7</w:t>
      </w:r>
      <w:r w:rsidR="00F74C82">
        <w:fldChar w:fldCharType="end"/>
      </w:r>
      <w:r w:rsidRPr="003B2F79">
        <w:t>, at 104.</w:t>
      </w:r>
    </w:p>
  </w:footnote>
  <w:footnote w:id="236">
    <w:p w14:paraId="2A6E0FD1" w14:textId="00DC035E" w:rsidR="009C07BC" w:rsidRPr="00D413EA" w:rsidRDefault="009C07BC" w:rsidP="009C07BC">
      <w:pPr>
        <w:pStyle w:val="FootnoteText"/>
      </w:pPr>
      <w:r w:rsidRPr="00D413EA">
        <w:rPr>
          <w:rStyle w:val="FootnoteReference"/>
        </w:rPr>
        <w:footnoteRef/>
      </w:r>
      <w:r w:rsidR="00F74C82">
        <w:t xml:space="preserve"> </w:t>
      </w:r>
      <w:r w:rsidRPr="003B2F79">
        <w:t>Phila. Newspapers Inc. v. Hepps, 475 U.S. 767, 777 (1986);</w:t>
      </w:r>
      <w:r>
        <w:t xml:space="preserve"> </w:t>
      </w:r>
      <w:r w:rsidRPr="003B2F79">
        <w:t xml:space="preserve">Dun &amp; Bradstreet v. Greenmoss Builders, 472 U.S. 749, </w:t>
      </w:r>
      <w:r>
        <w:t>757 (1985) (plurality opinion).</w:t>
      </w:r>
    </w:p>
  </w:footnote>
  <w:footnote w:id="237">
    <w:p w14:paraId="5B619DCA" w14:textId="1BC78CB8" w:rsidR="009C07BC" w:rsidRPr="00D413EA" w:rsidRDefault="009C07BC" w:rsidP="009C07BC">
      <w:pPr>
        <w:pStyle w:val="FootnoteText"/>
      </w:pPr>
      <w:r w:rsidRPr="00D413EA">
        <w:rPr>
          <w:rStyle w:val="FootnoteReference"/>
        </w:rPr>
        <w:footnoteRef/>
      </w:r>
      <w:r w:rsidR="00F74C82">
        <w:t xml:space="preserve"> </w:t>
      </w:r>
      <w:r w:rsidRPr="003B2F79">
        <w:t>562 U.S. 443 (2011)</w:t>
      </w:r>
      <w:r>
        <w:t>.</w:t>
      </w:r>
    </w:p>
  </w:footnote>
  <w:footnote w:id="238">
    <w:p w14:paraId="4AEF388E" w14:textId="6D26185E" w:rsidR="009C07BC" w:rsidRPr="003B2F79" w:rsidRDefault="009C07BC" w:rsidP="009C07BC">
      <w:pPr>
        <w:pStyle w:val="FootnoteText"/>
      </w:pPr>
      <w:r w:rsidRPr="003B2F79">
        <w:rPr>
          <w:rStyle w:val="FootnoteReference"/>
        </w:rPr>
        <w:footnoteRef/>
      </w:r>
      <w:r w:rsidR="00F74C82">
        <w:rPr>
          <w:i/>
          <w:iCs/>
        </w:rPr>
        <w:t xml:space="preserve"> </w:t>
      </w:r>
      <w:r w:rsidRPr="00D413EA">
        <w:rPr>
          <w:i/>
          <w:iCs/>
        </w:rPr>
        <w:t>Id.</w:t>
      </w:r>
      <w:r>
        <w:t xml:space="preserve"> at</w:t>
      </w:r>
      <w:r w:rsidRPr="003B2F79">
        <w:t xml:space="preserve"> 454.</w:t>
      </w:r>
    </w:p>
  </w:footnote>
  <w:footnote w:id="239">
    <w:p w14:paraId="5659882F" w14:textId="4A9A00F4" w:rsidR="009C07BC" w:rsidRPr="003B2F79" w:rsidRDefault="009C07BC" w:rsidP="009C07BC">
      <w:pPr>
        <w:pStyle w:val="FootnoteText"/>
      </w:pPr>
      <w:r w:rsidRPr="003B2F79">
        <w:rPr>
          <w:rStyle w:val="FootnoteReference"/>
        </w:rPr>
        <w:footnoteRef/>
      </w:r>
      <w:r w:rsidR="00F74C82">
        <w:rPr>
          <w:smallCaps/>
        </w:rPr>
        <w:t xml:space="preserve"> </w:t>
      </w:r>
      <w:r w:rsidRPr="003B2F79">
        <w:rPr>
          <w:smallCaps/>
        </w:rPr>
        <w:t>Farber</w:t>
      </w:r>
      <w:r w:rsidRPr="003B2F79">
        <w:t xml:space="preserve">, </w:t>
      </w:r>
      <w:r w:rsidRPr="003B2F79">
        <w:rPr>
          <w:i/>
          <w:iCs/>
        </w:rPr>
        <w:t>supra</w:t>
      </w:r>
      <w:r w:rsidRPr="003B2F79">
        <w:t xml:space="preserve"> note</w:t>
      </w:r>
      <w:r w:rsidR="00F74C82">
        <w:t xml:space="preserve"> </w:t>
      </w:r>
      <w:r w:rsidR="00F74C82">
        <w:fldChar w:fldCharType="begin"/>
      </w:r>
      <w:r w:rsidR="00F74C82">
        <w:instrText xml:space="preserve"> NOTEREF _Ref198148394 \h </w:instrText>
      </w:r>
      <w:r w:rsidR="00F74C82">
        <w:fldChar w:fldCharType="separate"/>
      </w:r>
      <w:r w:rsidR="00064C93">
        <w:t>7</w:t>
      </w:r>
      <w:r w:rsidR="00F74C82">
        <w:fldChar w:fldCharType="end"/>
      </w:r>
      <w:r w:rsidRPr="003B2F79">
        <w:t>, at</w:t>
      </w:r>
      <w:r w:rsidRPr="003B2F79">
        <w:rPr>
          <w:rFonts w:cs="Times New Roman"/>
        </w:rPr>
        <w:t xml:space="preserve"> </w:t>
      </w:r>
      <w:r w:rsidRPr="003B2F79">
        <w:t>105.</w:t>
      </w:r>
    </w:p>
  </w:footnote>
  <w:footnote w:id="240">
    <w:p w14:paraId="463CD8EB" w14:textId="170EFE7A" w:rsidR="009C07BC" w:rsidRPr="003B2F79" w:rsidRDefault="009C07BC" w:rsidP="009C07BC">
      <w:pPr>
        <w:pStyle w:val="FootnoteText"/>
      </w:pPr>
      <w:r w:rsidRPr="003B2F79">
        <w:rPr>
          <w:rStyle w:val="FootnoteReference"/>
        </w:rPr>
        <w:footnoteRef/>
      </w:r>
      <w:r w:rsidR="00F74C82" w:rsidRPr="00F74C82">
        <w:t xml:space="preserve"> </w:t>
      </w:r>
      <w:r w:rsidR="00C44990" w:rsidRPr="003B2F79">
        <w:t xml:space="preserve">Kagan, </w:t>
      </w:r>
      <w:r w:rsidR="00C44990">
        <w:rPr>
          <w:i/>
        </w:rPr>
        <w:t>supra</w:t>
      </w:r>
      <w:r w:rsidR="00C44990" w:rsidRPr="003B2F79">
        <w:rPr>
          <w:iCs/>
        </w:rPr>
        <w:t xml:space="preserve"> note</w:t>
      </w:r>
      <w:r w:rsidR="00C44990">
        <w:rPr>
          <w:iCs/>
        </w:rPr>
        <w:t xml:space="preserve"> </w:t>
      </w:r>
      <w:r w:rsidR="00C44990">
        <w:rPr>
          <w:iCs/>
        </w:rPr>
        <w:fldChar w:fldCharType="begin"/>
      </w:r>
      <w:r w:rsidR="00C44990">
        <w:rPr>
          <w:iCs/>
        </w:rPr>
        <w:instrText xml:space="preserve"> NOTEREF _Ref212935627 \h </w:instrText>
      </w:r>
      <w:r w:rsidR="00C44990">
        <w:rPr>
          <w:iCs/>
        </w:rPr>
      </w:r>
      <w:r w:rsidR="00C44990">
        <w:rPr>
          <w:iCs/>
        </w:rPr>
        <w:fldChar w:fldCharType="separate"/>
      </w:r>
      <w:r w:rsidR="00064C93">
        <w:rPr>
          <w:iCs/>
        </w:rPr>
        <w:t>101</w:t>
      </w:r>
      <w:r w:rsidR="00C44990">
        <w:rPr>
          <w:iCs/>
        </w:rPr>
        <w:fldChar w:fldCharType="end"/>
      </w:r>
      <w:r w:rsidR="00C44990" w:rsidRPr="003B2F79">
        <w:t xml:space="preserve">, </w:t>
      </w:r>
      <w:r w:rsidR="00C44990">
        <w:t xml:space="preserve">at </w:t>
      </w:r>
      <w:r w:rsidR="00C44990" w:rsidRPr="003B2F79">
        <w:t>212.</w:t>
      </w:r>
      <w:r w:rsidRPr="003B2F79">
        <w:t xml:space="preserve"> (citing, inter alia, Cass Sunstein, </w:t>
      </w:r>
      <w:r w:rsidRPr="003B2F79">
        <w:rPr>
          <w:i/>
          <w:iCs/>
        </w:rPr>
        <w:t>Free Speech Now</w:t>
      </w:r>
      <w:r w:rsidRPr="003B2F79">
        <w:t xml:space="preserve">, 59 </w:t>
      </w:r>
      <w:r w:rsidRPr="003B2F79">
        <w:rPr>
          <w:smallCaps/>
        </w:rPr>
        <w:t xml:space="preserve">U. Chi. L. Rev. </w:t>
      </w:r>
      <w:r w:rsidRPr="003B2F79">
        <w:t>255, 311 (1992) (“The test for special protection should be whether the matter bears on democratic governance”), and Rosenbloom v. Metromedia, 403 U.S. 29, 42 (1971) (plurality opinion) (purporting to “extend[] constitutional protection” by applying actual malice “to all discussion and communication involving matters of public or general concern, without regard to whether the persons involved are famous or anonymous”)).</w:t>
      </w:r>
    </w:p>
  </w:footnote>
  <w:footnote w:id="241">
    <w:p w14:paraId="275A7AAD" w14:textId="6B9871D1" w:rsidR="009C07BC" w:rsidRPr="003B2F79" w:rsidRDefault="009C07BC" w:rsidP="009C07BC">
      <w:pPr>
        <w:pStyle w:val="FootnoteText"/>
      </w:pPr>
      <w:r w:rsidRPr="003B2F79">
        <w:rPr>
          <w:rStyle w:val="FootnoteReference"/>
        </w:rPr>
        <w:footnoteRef/>
      </w:r>
      <w:r w:rsidR="00F74C82">
        <w:t xml:space="preserve"> </w:t>
      </w:r>
      <w:r w:rsidRPr="003B2F79">
        <w:rPr>
          <w:i/>
          <w:iCs/>
        </w:rPr>
        <w:t>Snyder</w:t>
      </w:r>
      <w:r w:rsidRPr="003B2F79">
        <w:t>, 562 U.S. at 453 (quotations omitted)</w:t>
      </w:r>
    </w:p>
  </w:footnote>
  <w:footnote w:id="242">
    <w:p w14:paraId="55210761" w14:textId="4160CE16" w:rsidR="009C07BC" w:rsidRPr="003B2F79" w:rsidRDefault="009C07BC" w:rsidP="009C07BC">
      <w:pPr>
        <w:pStyle w:val="FootnoteText"/>
        <w:rPr>
          <w:rFonts w:cs="Times New Roman"/>
        </w:rPr>
      </w:pPr>
      <w:r w:rsidRPr="003B2F79">
        <w:rPr>
          <w:rStyle w:val="FootnoteReference"/>
          <w:rFonts w:cs="Times New Roman"/>
        </w:rPr>
        <w:footnoteRef/>
      </w:r>
      <w:r w:rsidR="00F74C82">
        <w:rPr>
          <w:rFonts w:cs="Times New Roman"/>
        </w:rPr>
        <w:t xml:space="preserve"> </w:t>
      </w:r>
      <w:r w:rsidR="00C44990" w:rsidRPr="00801533">
        <w:t xml:space="preserve">West, </w:t>
      </w:r>
      <w:r w:rsidR="00C44990" w:rsidRPr="00801533">
        <w:rPr>
          <w:i/>
          <w:iCs/>
        </w:rPr>
        <w:t>Awakening</w:t>
      </w:r>
      <w:r w:rsidR="00C44990" w:rsidRPr="00801533">
        <w:t xml:space="preserve">, </w:t>
      </w:r>
      <w:r w:rsidR="00C44990" w:rsidRPr="00801533">
        <w:rPr>
          <w:i/>
          <w:iCs/>
        </w:rPr>
        <w:t>supra</w:t>
      </w:r>
      <w:r w:rsidR="00C44990" w:rsidRPr="00801533">
        <w:t xml:space="preserve"> note</w:t>
      </w:r>
      <w:r w:rsidR="00C44990">
        <w:t xml:space="preserve"> </w:t>
      </w:r>
      <w:r w:rsidR="00C44990">
        <w:fldChar w:fldCharType="begin"/>
      </w:r>
      <w:r w:rsidR="00C44990">
        <w:instrText xml:space="preserve"> NOTEREF _Ref198162275 \h </w:instrText>
      </w:r>
      <w:r w:rsidR="00C44990">
        <w:fldChar w:fldCharType="separate"/>
      </w:r>
      <w:r w:rsidR="00064C93">
        <w:t>170</w:t>
      </w:r>
      <w:r w:rsidR="00C44990">
        <w:fldChar w:fldCharType="end"/>
      </w:r>
      <w:r w:rsidRPr="003B2F79">
        <w:rPr>
          <w:rFonts w:cs="Times New Roman"/>
        </w:rPr>
        <w:t>, at 1063–68 (cleaned up).</w:t>
      </w:r>
    </w:p>
  </w:footnote>
  <w:footnote w:id="243">
    <w:p w14:paraId="6F24E77B" w14:textId="53EDB411" w:rsidR="009C07BC" w:rsidRPr="003B2F79" w:rsidRDefault="009C07BC" w:rsidP="009C07BC">
      <w:pPr>
        <w:pStyle w:val="FootnoteText"/>
        <w:rPr>
          <w:rFonts w:cs="Times New Roman"/>
        </w:rPr>
      </w:pPr>
      <w:r w:rsidRPr="003B2F79">
        <w:rPr>
          <w:rStyle w:val="FootnoteReference"/>
          <w:rFonts w:cs="Times New Roman"/>
        </w:rPr>
        <w:footnoteRef/>
      </w:r>
      <w:r w:rsidR="00F74C82">
        <w:rPr>
          <w:rFonts w:cs="Times New Roman"/>
        </w:rPr>
        <w:t xml:space="preserve"> </w:t>
      </w:r>
      <w:r w:rsidR="0074666C">
        <w:t xml:space="preserve">Charles &amp; O’Neill, </w:t>
      </w:r>
      <w:r w:rsidR="0074666C" w:rsidRPr="00DB2336">
        <w:rPr>
          <w:i/>
          <w:iCs/>
        </w:rPr>
        <w:t>supra</w:t>
      </w:r>
      <w:r w:rsidR="0074666C">
        <w:t xml:space="preserve"> note </w:t>
      </w:r>
      <w:r w:rsidR="0074666C">
        <w:fldChar w:fldCharType="begin"/>
      </w:r>
      <w:r w:rsidR="0074666C">
        <w:instrText xml:space="preserve"> NOTEREF _Ref159786881 \h </w:instrText>
      </w:r>
      <w:r w:rsidR="0074666C">
        <w:fldChar w:fldCharType="separate"/>
      </w:r>
      <w:r w:rsidR="00064C93">
        <w:t>190</w:t>
      </w:r>
      <w:r w:rsidR="0074666C">
        <w:fldChar w:fldCharType="end"/>
      </w:r>
      <w:r w:rsidR="0074666C">
        <w:t xml:space="preserve">, </w:t>
      </w:r>
      <w:proofErr w:type="gramStart"/>
      <w:r w:rsidR="0074666C" w:rsidRPr="00801533">
        <w:t>at</w:t>
      </w:r>
      <w:proofErr w:type="gramEnd"/>
      <w:r w:rsidR="0074666C">
        <w:t xml:space="preserve"> </w:t>
      </w:r>
      <w:r w:rsidRPr="003B2F79">
        <w:rPr>
          <w:rFonts w:cs="Times New Roman"/>
        </w:rPr>
        <w:t>1769.</w:t>
      </w:r>
    </w:p>
  </w:footnote>
  <w:footnote w:id="244">
    <w:p w14:paraId="75D15251" w14:textId="6C0A2230" w:rsidR="009C07BC" w:rsidRPr="003B2F79" w:rsidRDefault="009C07BC" w:rsidP="009C07BC">
      <w:pPr>
        <w:pStyle w:val="FootnoteText"/>
      </w:pPr>
      <w:r w:rsidRPr="003B2F79">
        <w:rPr>
          <w:rStyle w:val="FootnoteReference"/>
        </w:rPr>
        <w:footnoteRef/>
      </w:r>
      <w:r w:rsidR="00F74C82">
        <w:t xml:space="preserve"> </w:t>
      </w:r>
      <w:r w:rsidR="00CF1114" w:rsidRPr="003B2F79">
        <w:t xml:space="preserve">Abrams, </w:t>
      </w:r>
      <w:r w:rsidR="00CF1114" w:rsidRPr="003B2F79">
        <w:rPr>
          <w:i/>
        </w:rPr>
        <w:t>supra</w:t>
      </w:r>
      <w:r w:rsidR="00CF1114" w:rsidRPr="003B2F79">
        <w:rPr>
          <w:iCs/>
        </w:rPr>
        <w:t xml:space="preserve"> note</w:t>
      </w:r>
      <w:r w:rsidR="00CF1114">
        <w:rPr>
          <w:iCs/>
        </w:rPr>
        <w:t xml:space="preserve"> </w:t>
      </w:r>
      <w:r w:rsidR="00CF1114">
        <w:rPr>
          <w:iCs/>
        </w:rPr>
        <w:fldChar w:fldCharType="begin"/>
      </w:r>
      <w:r w:rsidR="00CF1114">
        <w:rPr>
          <w:iCs/>
        </w:rPr>
        <w:instrText xml:space="preserve"> NOTEREF _Ref212979416 \h </w:instrText>
      </w:r>
      <w:r w:rsidR="00CF1114">
        <w:rPr>
          <w:iCs/>
        </w:rPr>
      </w:r>
      <w:r w:rsidR="00CF1114">
        <w:rPr>
          <w:iCs/>
        </w:rPr>
        <w:fldChar w:fldCharType="separate"/>
      </w:r>
      <w:r w:rsidR="00064C93">
        <w:rPr>
          <w:iCs/>
        </w:rPr>
        <w:t>46</w:t>
      </w:r>
      <w:r w:rsidR="00CF1114">
        <w:rPr>
          <w:iCs/>
        </w:rPr>
        <w:fldChar w:fldCharType="end"/>
      </w:r>
      <w:r w:rsidR="00492953" w:rsidRPr="003B2F79">
        <w:t xml:space="preserve">, </w:t>
      </w:r>
      <w:r w:rsidRPr="003B2F79">
        <w:t>at 581–82.</w:t>
      </w:r>
    </w:p>
  </w:footnote>
  <w:footnote w:id="245">
    <w:p w14:paraId="7A4FD858" w14:textId="19ED5113" w:rsidR="009C07BC" w:rsidRPr="003B2F79" w:rsidRDefault="009C07BC" w:rsidP="009C07BC">
      <w:pPr>
        <w:pStyle w:val="FootnoteText"/>
      </w:pPr>
      <w:r w:rsidRPr="003B2F79">
        <w:rPr>
          <w:rStyle w:val="FootnoteReference"/>
        </w:rPr>
        <w:footnoteRef/>
      </w:r>
      <w:r w:rsidR="00F74C82" w:rsidRPr="00F74C82">
        <w:t xml:space="preserve"> </w:t>
      </w:r>
      <w:r w:rsidRPr="003B2F79">
        <w:rPr>
          <w:i/>
          <w:iCs/>
        </w:rPr>
        <w:t>See</w:t>
      </w:r>
      <w:r w:rsidRPr="003B2F79">
        <w:t xml:space="preserve"> Kagan, </w:t>
      </w:r>
      <w:r>
        <w:rPr>
          <w:i/>
        </w:rPr>
        <w:t>supra</w:t>
      </w:r>
      <w:r w:rsidRPr="003B2F79">
        <w:rPr>
          <w:iCs/>
        </w:rPr>
        <w:t xml:space="preserve"> note</w:t>
      </w:r>
      <w:r w:rsidR="00F74C82">
        <w:rPr>
          <w:iCs/>
        </w:rPr>
        <w:t xml:space="preserve"> </w:t>
      </w:r>
      <w:r w:rsidR="00F74C82">
        <w:rPr>
          <w:iCs/>
        </w:rPr>
        <w:fldChar w:fldCharType="begin"/>
      </w:r>
      <w:r w:rsidR="00F74C82">
        <w:rPr>
          <w:iCs/>
        </w:rPr>
        <w:instrText xml:space="preserve"> NOTEREF _Ref212849232 \h </w:instrText>
      </w:r>
      <w:r w:rsidR="00F74C82">
        <w:rPr>
          <w:iCs/>
        </w:rPr>
      </w:r>
      <w:r w:rsidR="00F74C82">
        <w:rPr>
          <w:iCs/>
        </w:rPr>
        <w:fldChar w:fldCharType="separate"/>
      </w:r>
      <w:r w:rsidR="00064C93">
        <w:rPr>
          <w:iCs/>
        </w:rPr>
        <w:t>120</w:t>
      </w:r>
      <w:r w:rsidR="00F74C82">
        <w:rPr>
          <w:iCs/>
        </w:rPr>
        <w:fldChar w:fldCharType="end"/>
      </w:r>
      <w:r w:rsidRPr="003B2F79">
        <w:t xml:space="preserve">, </w:t>
      </w:r>
      <w:r>
        <w:t xml:space="preserve">at </w:t>
      </w:r>
      <w:r w:rsidRPr="003B2F79">
        <w:t>206.</w:t>
      </w:r>
    </w:p>
  </w:footnote>
  <w:footnote w:id="246">
    <w:p w14:paraId="642BAFF6" w14:textId="571D7047" w:rsidR="009C07BC" w:rsidRPr="003B2F79" w:rsidRDefault="009C07BC" w:rsidP="009C07BC">
      <w:pPr>
        <w:pStyle w:val="FootnoteText"/>
      </w:pPr>
      <w:r w:rsidRPr="003B2F79">
        <w:rPr>
          <w:rStyle w:val="FootnoteReference"/>
        </w:rPr>
        <w:footnoteRef/>
      </w:r>
      <w:r w:rsidR="00F74C82" w:rsidRPr="00F74C82">
        <w:t xml:space="preserve"> </w:t>
      </w:r>
      <w:r w:rsidRPr="003B2F79">
        <w:rPr>
          <w:i/>
          <w:iCs/>
        </w:rPr>
        <w:t>Snyder</w:t>
      </w:r>
      <w:r w:rsidRPr="003B2F79">
        <w:t>, 562 U.S. at 451–52 (quotations omitted).</w:t>
      </w:r>
    </w:p>
  </w:footnote>
  <w:footnote w:id="247">
    <w:p w14:paraId="0FDE94B5" w14:textId="3F9C1989" w:rsidR="0074666C" w:rsidRPr="003B2F79" w:rsidRDefault="0074666C" w:rsidP="0074666C">
      <w:pPr>
        <w:pStyle w:val="FootnoteText"/>
        <w:rPr>
          <w:rFonts w:cs="Times New Roman"/>
          <w:iCs/>
        </w:rPr>
      </w:pPr>
      <w:r w:rsidRPr="003B2F79">
        <w:rPr>
          <w:rStyle w:val="FootnoteReference"/>
          <w:rFonts w:cs="Times New Roman"/>
        </w:rPr>
        <w:footnoteRef/>
      </w:r>
      <w:r>
        <w:rPr>
          <w:rFonts w:cs="Times New Roman"/>
        </w:rPr>
        <w:t xml:space="preserve"> </w:t>
      </w:r>
      <w:r w:rsidRPr="003B2F79">
        <w:rPr>
          <w:rFonts w:cs="Times New Roman"/>
        </w:rPr>
        <w:t xml:space="preserve">West, </w:t>
      </w:r>
      <w:r w:rsidRPr="003B2F79">
        <w:rPr>
          <w:rFonts w:cs="Times New Roman"/>
          <w:i/>
          <w:iCs/>
        </w:rPr>
        <w:t>Awakening</w:t>
      </w:r>
      <w:r w:rsidRPr="003B2F79">
        <w:rPr>
          <w:rFonts w:cs="Times New Roman"/>
        </w:rPr>
        <w:t xml:space="preserve">, </w:t>
      </w:r>
      <w:r w:rsidRPr="003B2F79">
        <w:rPr>
          <w:rFonts w:cs="Times New Roman"/>
          <w:i/>
          <w:iCs/>
        </w:rPr>
        <w:t>supra</w:t>
      </w:r>
      <w:r w:rsidRPr="003B2F79">
        <w:rPr>
          <w:rFonts w:cs="Times New Roman"/>
        </w:rPr>
        <w:t xml:space="preserve"> note</w:t>
      </w:r>
      <w:r>
        <w:rPr>
          <w:rFonts w:cs="Times New Roman"/>
        </w:rPr>
        <w:t xml:space="preserve"> </w:t>
      </w:r>
      <w:r>
        <w:rPr>
          <w:rFonts w:cs="Times New Roman"/>
        </w:rPr>
        <w:fldChar w:fldCharType="begin"/>
      </w:r>
      <w:r>
        <w:rPr>
          <w:rFonts w:cs="Times New Roman"/>
        </w:rPr>
        <w:instrText xml:space="preserve"> NOTEREF _Ref198162275 \h </w:instrText>
      </w:r>
      <w:r>
        <w:rPr>
          <w:rFonts w:cs="Times New Roman"/>
        </w:rPr>
      </w:r>
      <w:r>
        <w:rPr>
          <w:rFonts w:cs="Times New Roman"/>
        </w:rPr>
        <w:fldChar w:fldCharType="separate"/>
      </w:r>
      <w:r w:rsidR="00064C93">
        <w:rPr>
          <w:rFonts w:cs="Times New Roman"/>
        </w:rPr>
        <w:t>170</w:t>
      </w:r>
      <w:r>
        <w:rPr>
          <w:rFonts w:cs="Times New Roman"/>
        </w:rPr>
        <w:fldChar w:fldCharType="end"/>
      </w:r>
      <w:r w:rsidRPr="003B2F79">
        <w:rPr>
          <w:rFonts w:cs="Times New Roman"/>
        </w:rPr>
        <w:t xml:space="preserve">, at </w:t>
      </w:r>
      <w:r w:rsidRPr="003B2F79">
        <w:rPr>
          <w:rFonts w:cs="Times New Roman"/>
          <w:iCs/>
        </w:rPr>
        <w:t>1061.</w:t>
      </w:r>
    </w:p>
  </w:footnote>
  <w:footnote w:id="248">
    <w:p w14:paraId="68FB8AA4" w14:textId="77777777" w:rsidR="0074666C" w:rsidRPr="003B2F79" w:rsidRDefault="0074666C" w:rsidP="0074666C">
      <w:pPr>
        <w:pStyle w:val="FootnoteText"/>
      </w:pPr>
      <w:r w:rsidRPr="003B2F79">
        <w:rPr>
          <w:rStyle w:val="FootnoteReference"/>
        </w:rPr>
        <w:footnoteRef/>
      </w:r>
      <w:r>
        <w:t xml:space="preserve"> </w:t>
      </w:r>
      <w:r w:rsidRPr="003B2F79">
        <w:t>Greenmoss Builders v. Dun &amp; Bradstreet, 461 A.2d 414, 417 (Vt. 1983).</w:t>
      </w:r>
    </w:p>
  </w:footnote>
  <w:footnote w:id="249">
    <w:p w14:paraId="150299D6" w14:textId="44021593" w:rsidR="0074666C" w:rsidRPr="003B2F79" w:rsidRDefault="0074666C" w:rsidP="0074666C">
      <w:pPr>
        <w:pStyle w:val="FootnoteText"/>
        <w:rPr>
          <w:rFonts w:cs="Times New Roman"/>
        </w:rPr>
      </w:pPr>
      <w:r w:rsidRPr="003B2F79">
        <w:rPr>
          <w:rStyle w:val="FootnoteReference"/>
          <w:rFonts w:cs="Times New Roman"/>
        </w:rPr>
        <w:footnoteRef/>
      </w:r>
      <w:r>
        <w:t xml:space="preserve"> </w:t>
      </w:r>
      <w:r w:rsidRPr="003B2F79">
        <w:t xml:space="preserve">Volokh, </w:t>
      </w:r>
      <w:r w:rsidRPr="003B2F79">
        <w:rPr>
          <w:i/>
          <w:iCs/>
        </w:rPr>
        <w:t>supra</w:t>
      </w:r>
      <w:r w:rsidRPr="003B2F79">
        <w:t xml:space="preserve"> note</w:t>
      </w:r>
      <w:r>
        <w:t xml:space="preserve"> </w:t>
      </w:r>
      <w:r>
        <w:fldChar w:fldCharType="begin"/>
      </w:r>
      <w:r>
        <w:instrText xml:space="preserve"> NOTEREF _Ref159786881 \h </w:instrText>
      </w:r>
      <w:r>
        <w:fldChar w:fldCharType="separate"/>
      </w:r>
      <w:r w:rsidR="00064C93">
        <w:t>190</w:t>
      </w:r>
      <w:r>
        <w:fldChar w:fldCharType="end"/>
      </w:r>
      <w:r w:rsidRPr="003B2F79">
        <w:t xml:space="preserve">, at </w:t>
      </w:r>
      <w:r w:rsidRPr="003B2F79">
        <w:rPr>
          <w:rFonts w:cs="Times New Roman"/>
        </w:rPr>
        <w:t>462 n.10 (quoting First Nat’l Bank of Boston v. Bellotti, 435 U.S. 765, 800 n.5 (1978) (Burger, C.J., concurring)).</w:t>
      </w:r>
      <w:r>
        <w:rPr>
          <w:rFonts w:cs="Times New Roman"/>
        </w:rPr>
        <w:t xml:space="preserve">  </w:t>
      </w:r>
      <w:r>
        <w:t xml:space="preserve">At the founding, people would have understood mass communication to encompass any mechanism that allowed a speaker to communicate in this manner.  </w:t>
      </w:r>
      <w:r w:rsidRPr="00911C26">
        <w:rPr>
          <w:i/>
          <w:iCs/>
        </w:rPr>
        <w:t>Id.</w:t>
      </w:r>
      <w:r>
        <w:t xml:space="preserve">  And this definition </w:t>
      </w:r>
      <w:r w:rsidR="00911C26">
        <w:t xml:space="preserve">of mass communication </w:t>
      </w:r>
      <w:r>
        <w:t xml:space="preserve">would apply equally to “new technologies that were not known to the Framers.”  </w:t>
      </w:r>
      <w:r w:rsidRPr="0074666C">
        <w:rPr>
          <w:i/>
          <w:iCs/>
        </w:rPr>
        <w:t>Id.</w:t>
      </w:r>
    </w:p>
  </w:footnote>
  <w:footnote w:id="250">
    <w:p w14:paraId="1A53E338" w14:textId="77777777" w:rsidR="00911C26" w:rsidRDefault="00911C26" w:rsidP="00911C26">
      <w:pPr>
        <w:pStyle w:val="FootnoteText"/>
      </w:pPr>
      <w:r w:rsidRPr="00386D8D">
        <w:rPr>
          <w:rStyle w:val="FootnoteReference"/>
        </w:rPr>
        <w:footnoteRef/>
      </w:r>
      <w:r>
        <w:t xml:space="preserve"> First Nat. Bank of Bos. v. Bellotti, 435 U.S. 765, 801 n.5 (1978) (</w:t>
      </w:r>
      <w:r w:rsidRPr="00386D8D">
        <w:t>Burger, C.J., concurring).</w:t>
      </w:r>
    </w:p>
  </w:footnote>
  <w:footnote w:id="251">
    <w:p w14:paraId="5E575076" w14:textId="3C2AEF8B" w:rsidR="00D76FF6" w:rsidRPr="003B2F79" w:rsidRDefault="00D76FF6" w:rsidP="00D76FF6">
      <w:pPr>
        <w:pStyle w:val="FootnoteText"/>
      </w:pPr>
      <w:r w:rsidRPr="003B2F79">
        <w:rPr>
          <w:rStyle w:val="FootnoteReference"/>
        </w:rPr>
        <w:footnoteRef/>
      </w:r>
      <w:bookmarkStart w:id="61" w:name="_Hlk203412787"/>
      <w:r w:rsidR="00F74C82">
        <w:t xml:space="preserve"> </w:t>
      </w:r>
      <w:r w:rsidRPr="003B2F79">
        <w:t xml:space="preserve">Jon Ronson, </w:t>
      </w:r>
      <w:r w:rsidRPr="003B2F79">
        <w:rPr>
          <w:i/>
          <w:iCs/>
        </w:rPr>
        <w:t>How One Stupid Tweet Blew Up Justine Sacco’s Life</w:t>
      </w:r>
      <w:r w:rsidRPr="003B2F79">
        <w:t xml:space="preserve">, </w:t>
      </w:r>
      <w:r w:rsidRPr="003B2F79">
        <w:rPr>
          <w:smallCaps/>
        </w:rPr>
        <w:t>N.Y. Times</w:t>
      </w:r>
      <w:r w:rsidRPr="003B2F79">
        <w:t xml:space="preserve"> (Feb. 12, 2015), https://www.nytimes.com/2015/02/15/magazine/how-one-stupid-tweet-ruined-justine-saccos-life.html.</w:t>
      </w:r>
      <w:bookmarkEnd w:id="61"/>
    </w:p>
  </w:footnote>
  <w:footnote w:id="252">
    <w:p w14:paraId="56B69ED9" w14:textId="69E2A1F2" w:rsidR="00D76FF6" w:rsidRPr="003B2F79" w:rsidRDefault="00D76FF6" w:rsidP="00D76FF6">
      <w:pPr>
        <w:pStyle w:val="FootnoteText"/>
      </w:pPr>
      <w:r w:rsidRPr="003B2F79">
        <w:rPr>
          <w:rStyle w:val="FootnoteReference"/>
        </w:rPr>
        <w:footnoteRef/>
      </w:r>
      <w:r w:rsidR="00035C83" w:rsidRPr="00035C83">
        <w:t xml:space="preserve"> </w:t>
      </w:r>
      <w:r w:rsidRPr="003B2F79">
        <w:rPr>
          <w:i/>
          <w:iCs/>
        </w:rPr>
        <w:t>Id.</w:t>
      </w:r>
    </w:p>
  </w:footnote>
  <w:footnote w:id="253">
    <w:p w14:paraId="36F8DED2" w14:textId="2816457D" w:rsidR="00D76FF6" w:rsidRPr="003B2F79" w:rsidRDefault="00D76FF6" w:rsidP="00D76FF6">
      <w:pPr>
        <w:pStyle w:val="FootnoteText"/>
      </w:pPr>
      <w:r w:rsidRPr="003B2F79">
        <w:rPr>
          <w:rStyle w:val="FootnoteReference"/>
        </w:rPr>
        <w:footnoteRef/>
      </w:r>
      <w:r w:rsidR="00035C83" w:rsidRPr="00035C83">
        <w:t xml:space="preserve"> </w:t>
      </w:r>
      <w:r w:rsidRPr="003B2F79">
        <w:rPr>
          <w:i/>
          <w:iCs/>
        </w:rPr>
        <w:t>Id.</w:t>
      </w:r>
    </w:p>
  </w:footnote>
  <w:footnote w:id="254">
    <w:p w14:paraId="0488FF07" w14:textId="3C93BA76" w:rsidR="00D76FF6" w:rsidRPr="003B2F79" w:rsidRDefault="00D76FF6" w:rsidP="00D76FF6">
      <w:pPr>
        <w:pStyle w:val="FootnoteText"/>
      </w:pPr>
      <w:r w:rsidRPr="003B2F79">
        <w:rPr>
          <w:rStyle w:val="FootnoteReference"/>
        </w:rPr>
        <w:footnoteRef/>
      </w:r>
      <w:r w:rsidR="00035C83">
        <w:t xml:space="preserve"> </w:t>
      </w:r>
      <w:r w:rsidRPr="003B2F79">
        <w:t xml:space="preserve">Robert Wynne, </w:t>
      </w:r>
      <w:r w:rsidRPr="003B2F79">
        <w:rPr>
          <w:i/>
          <w:iCs/>
        </w:rPr>
        <w:t xml:space="preserve">Why It’s So Hard </w:t>
      </w:r>
      <w:proofErr w:type="gramStart"/>
      <w:r w:rsidRPr="003B2F79">
        <w:rPr>
          <w:i/>
          <w:iCs/>
        </w:rPr>
        <w:t>To</w:t>
      </w:r>
      <w:proofErr w:type="gramEnd"/>
      <w:r w:rsidRPr="003B2F79">
        <w:rPr>
          <w:i/>
          <w:iCs/>
        </w:rPr>
        <w:t xml:space="preserve"> Go Viral</w:t>
      </w:r>
      <w:r w:rsidRPr="003B2F79">
        <w:t xml:space="preserve">, </w:t>
      </w:r>
      <w:r w:rsidRPr="003B2F79">
        <w:rPr>
          <w:smallCaps/>
        </w:rPr>
        <w:t>Forbes</w:t>
      </w:r>
      <w:r w:rsidRPr="003B2F79">
        <w:t xml:space="preserve"> (July 31, 2017, 4:46 PM), https://www.forbes.com/sites/robertwynne/2017/07/31/why-its-so-hard-to-go-viral/.</w:t>
      </w:r>
    </w:p>
  </w:footnote>
  <w:footnote w:id="255">
    <w:p w14:paraId="16AC4FC4" w14:textId="1A184319" w:rsidR="00D76FF6" w:rsidRPr="003B2F79" w:rsidRDefault="00D76FF6" w:rsidP="00D76FF6">
      <w:pPr>
        <w:pStyle w:val="FootnoteText"/>
      </w:pPr>
      <w:r w:rsidRPr="003B2F79">
        <w:rPr>
          <w:rStyle w:val="FootnoteReference"/>
        </w:rPr>
        <w:footnoteRef/>
      </w:r>
      <w:r w:rsidR="00035C83">
        <w:t xml:space="preserve"> </w:t>
      </w:r>
      <w:r w:rsidRPr="003B2F79">
        <w:t xml:space="preserve">Robert Wynne, </w:t>
      </w:r>
      <w:r w:rsidRPr="003B2F79">
        <w:rPr>
          <w:i/>
          <w:iCs/>
        </w:rPr>
        <w:t>There Are No Guarantees—Or Exact Statistics—For Going Viral</w:t>
      </w:r>
      <w:r w:rsidRPr="003B2F79">
        <w:t xml:space="preserve">, </w:t>
      </w:r>
      <w:r w:rsidRPr="003B2F79">
        <w:rPr>
          <w:smallCaps/>
        </w:rPr>
        <w:t>Forbes</w:t>
      </w:r>
      <w:r w:rsidRPr="003B2F79">
        <w:t xml:space="preserve"> (Mar. 9, 2018, 3:25 PM), https://www.forbes.com/sites/</w:t>
      </w:r>
      <w:r w:rsidRPr="003B2F79">
        <w:rPr>
          <w:rFonts w:ascii="Times New Roman" w:hAnsi="Times New Roman" w:cs="Times New Roman"/>
        </w:rPr>
        <w:t>​</w:t>
      </w:r>
      <w:r w:rsidRPr="003B2F79">
        <w:t>robert</w:t>
      </w:r>
      <w:r w:rsidRPr="003B2F79">
        <w:rPr>
          <w:rFonts w:ascii="Times New Roman" w:hAnsi="Times New Roman" w:cs="Times New Roman"/>
        </w:rPr>
        <w:t>​</w:t>
      </w:r>
      <w:r w:rsidRPr="003B2F79">
        <w:t>wynne/</w:t>
      </w:r>
      <w:r w:rsidRPr="003B2F79">
        <w:rPr>
          <w:rFonts w:ascii="Times New Roman" w:hAnsi="Times New Roman" w:cs="Times New Roman"/>
        </w:rPr>
        <w:t>​</w:t>
      </w:r>
      <w:r w:rsidRPr="003B2F79">
        <w:t>2018/03/09/there-are-no-guarantees-or-exact-statistics-for-going-viral/.</w:t>
      </w:r>
    </w:p>
  </w:footnote>
  <w:footnote w:id="256">
    <w:p w14:paraId="4EBBC5D0" w14:textId="76A19DA6" w:rsidR="00D76FF6" w:rsidRPr="00BC297C" w:rsidRDefault="00D76FF6" w:rsidP="00D76FF6">
      <w:pPr>
        <w:pStyle w:val="FootnoteText"/>
      </w:pPr>
      <w:r w:rsidRPr="00BC297C">
        <w:rPr>
          <w:rStyle w:val="FootnoteReference"/>
        </w:rPr>
        <w:footnoteRef/>
      </w:r>
      <w:r w:rsidR="00035C83">
        <w:t xml:space="preserve"> </w:t>
      </w:r>
      <w:r w:rsidRPr="00BC297C">
        <w:t>395 U.S. 444 (1969)</w:t>
      </w:r>
      <w:r>
        <w:t xml:space="preserve"> (per curiam).</w:t>
      </w:r>
    </w:p>
  </w:footnote>
  <w:footnote w:id="257">
    <w:p w14:paraId="14A0ABFC" w14:textId="4A7FEF66" w:rsidR="00D76FF6" w:rsidRDefault="00D76FF6" w:rsidP="00D76FF6">
      <w:pPr>
        <w:pStyle w:val="FootnoteText"/>
      </w:pPr>
      <w:r w:rsidRPr="002113C1">
        <w:rPr>
          <w:rStyle w:val="FootnoteReference"/>
        </w:rPr>
        <w:footnoteRef/>
      </w:r>
      <w:r w:rsidR="00035C83">
        <w:rPr>
          <w:i/>
          <w:iCs/>
        </w:rPr>
        <w:t xml:space="preserve"> </w:t>
      </w:r>
      <w:r w:rsidRPr="002113C1">
        <w:rPr>
          <w:i/>
          <w:iCs/>
        </w:rPr>
        <w:t>Id.</w:t>
      </w:r>
      <w:r>
        <w:t xml:space="preserve"> at 447.</w:t>
      </w:r>
    </w:p>
  </w:footnote>
  <w:footnote w:id="258">
    <w:p w14:paraId="72F299D7" w14:textId="4AFFE8E3" w:rsidR="00D76FF6" w:rsidRPr="003B2F79" w:rsidRDefault="00D76FF6" w:rsidP="00D76FF6">
      <w:pPr>
        <w:pStyle w:val="FootnoteText"/>
      </w:pPr>
      <w:r w:rsidRPr="003B2F79">
        <w:rPr>
          <w:rStyle w:val="FootnoteReference"/>
        </w:rPr>
        <w:footnoteRef/>
      </w:r>
      <w:r w:rsidR="00035C83" w:rsidRPr="00035C83">
        <w:t xml:space="preserve"> </w:t>
      </w:r>
      <w:r w:rsidRPr="002113C1">
        <w:rPr>
          <w:i/>
          <w:iCs/>
        </w:rPr>
        <w:t>See</w:t>
      </w:r>
      <w:r>
        <w:t xml:space="preserve"> </w:t>
      </w:r>
      <w:r w:rsidRPr="002113C1">
        <w:rPr>
          <w:i/>
          <w:iCs/>
        </w:rPr>
        <w:t>id.</w:t>
      </w:r>
    </w:p>
  </w:footnote>
  <w:footnote w:id="259">
    <w:p w14:paraId="2F5A9ACA" w14:textId="040FE814" w:rsidR="00835469" w:rsidRPr="00801533" w:rsidRDefault="00835469" w:rsidP="00835469">
      <w:pPr>
        <w:pStyle w:val="FootnoteText"/>
      </w:pPr>
      <w:r w:rsidRPr="00801533">
        <w:rPr>
          <w:rStyle w:val="FootnoteReference"/>
        </w:rPr>
        <w:footnoteRef/>
      </w:r>
      <w:r w:rsidR="00C22585">
        <w:t xml:space="preserve"> </w:t>
      </w:r>
      <w:r w:rsidRPr="00801533">
        <w:t>Wash. Rev. Code § 5.68.010(a).</w:t>
      </w:r>
    </w:p>
  </w:footnote>
  <w:footnote w:id="260">
    <w:p w14:paraId="41F10190" w14:textId="05386D10" w:rsidR="00835469" w:rsidRPr="00801533" w:rsidRDefault="00835469" w:rsidP="00835469">
      <w:pPr>
        <w:pStyle w:val="FootnoteText"/>
      </w:pPr>
      <w:r w:rsidRPr="00801533">
        <w:rPr>
          <w:rStyle w:val="FootnoteReference"/>
        </w:rPr>
        <w:footnoteRef/>
      </w:r>
      <w:r w:rsidR="00C22585">
        <w:rPr>
          <w:i/>
          <w:iCs/>
        </w:rPr>
        <w:t xml:space="preserve"> </w:t>
      </w:r>
      <w:r w:rsidRPr="00801533">
        <w:rPr>
          <w:i/>
          <w:iCs/>
        </w:rPr>
        <w:t>See</w:t>
      </w:r>
      <w:r w:rsidRPr="00801533">
        <w:t xml:space="preserve"> West, </w:t>
      </w:r>
      <w:r w:rsidRPr="00801533">
        <w:rPr>
          <w:i/>
          <w:iCs/>
        </w:rPr>
        <w:t>Awakening</w:t>
      </w:r>
      <w:r w:rsidRPr="00801533">
        <w:t xml:space="preserve">, </w:t>
      </w:r>
      <w:r w:rsidRPr="00801533">
        <w:rPr>
          <w:i/>
          <w:iCs/>
        </w:rPr>
        <w:t>supra</w:t>
      </w:r>
      <w:r w:rsidRPr="00801533">
        <w:t xml:space="preserve"> note</w:t>
      </w:r>
      <w:r w:rsidR="00C22585">
        <w:t xml:space="preserve"> </w:t>
      </w:r>
      <w:r w:rsidR="00C22585">
        <w:fldChar w:fldCharType="begin"/>
      </w:r>
      <w:r w:rsidR="00C22585">
        <w:instrText xml:space="preserve"> NOTEREF _Ref198162275 \h </w:instrText>
      </w:r>
      <w:r w:rsidR="00C22585">
        <w:fldChar w:fldCharType="separate"/>
      </w:r>
      <w:r w:rsidR="00064C93">
        <w:t>170</w:t>
      </w:r>
      <w:r w:rsidR="00C22585">
        <w:fldChar w:fldCharType="end"/>
      </w:r>
      <w:r w:rsidRPr="00801533">
        <w:t>, at 1063–67; Charles</w:t>
      </w:r>
      <w:r w:rsidR="00C22585">
        <w:t xml:space="preserve"> &amp; O’Neill</w:t>
      </w:r>
      <w:r w:rsidRPr="00801533">
        <w:t xml:space="preserve">, </w:t>
      </w:r>
      <w:r w:rsidR="00064C93" w:rsidRPr="003B2F79">
        <w:rPr>
          <w:i/>
          <w:iCs/>
        </w:rPr>
        <w:t>supra</w:t>
      </w:r>
      <w:r w:rsidR="00064C93" w:rsidRPr="003B2F79">
        <w:t xml:space="preserve"> note</w:t>
      </w:r>
      <w:r w:rsidR="00064C93">
        <w:t xml:space="preserve"> </w:t>
      </w:r>
      <w:r w:rsidR="00064C93">
        <w:fldChar w:fldCharType="begin"/>
      </w:r>
      <w:r w:rsidR="00064C93">
        <w:instrText xml:space="preserve"> NOTEREF _Ref159786881 \h </w:instrText>
      </w:r>
      <w:r w:rsidR="00064C93">
        <w:fldChar w:fldCharType="separate"/>
      </w:r>
      <w:r w:rsidR="00064C93">
        <w:t>190</w:t>
      </w:r>
      <w:r w:rsidR="00064C93">
        <w:fldChar w:fldCharType="end"/>
      </w:r>
      <w:r w:rsidRPr="00801533">
        <w:t>, at 1697 (encouraging courts “use history as a guidepost to adjudicating cases and controversies”).</w:t>
      </w:r>
    </w:p>
  </w:footnote>
  <w:footnote w:id="261">
    <w:p w14:paraId="6D0B80DF" w14:textId="10FDEFBB" w:rsidR="009C07BC" w:rsidRPr="002F73F0" w:rsidRDefault="009C07BC" w:rsidP="009C07BC">
      <w:pPr>
        <w:pStyle w:val="FootnoteText"/>
      </w:pPr>
      <w:r w:rsidRPr="002F73F0">
        <w:rPr>
          <w:rStyle w:val="FootnoteReference"/>
        </w:rPr>
        <w:footnoteRef/>
      </w:r>
      <w:r w:rsidR="00035C83">
        <w:t xml:space="preserve"> </w:t>
      </w:r>
      <w:r w:rsidRPr="002F73F0">
        <w:rPr>
          <w:i/>
          <w:iCs/>
        </w:rPr>
        <w:t>See</w:t>
      </w:r>
      <w:r w:rsidRPr="002F73F0">
        <w:t xml:space="preserve"> Cynthia Littleton, </w:t>
      </w:r>
      <w:r w:rsidRPr="002F73F0">
        <w:rPr>
          <w:i/>
          <w:iCs/>
        </w:rPr>
        <w:t>Fox Corp. Acquires TMZ in $50 Million Deal, Expanding Digital News Operations</w:t>
      </w:r>
      <w:r w:rsidRPr="002F73F0">
        <w:t xml:space="preserve">, </w:t>
      </w:r>
      <w:r w:rsidRPr="002F73F0">
        <w:rPr>
          <w:smallCaps/>
        </w:rPr>
        <w:t>Variety</w:t>
      </w:r>
      <w:r w:rsidRPr="002F73F0">
        <w:t xml:space="preserve"> (Sept. 13, 2021, 1:15PM), https://</w:t>
      </w:r>
      <w:r w:rsidRPr="002F73F0">
        <w:rPr>
          <w:rFonts w:ascii="Times New Roman" w:hAnsi="Times New Roman" w:cs="Times New Roman"/>
        </w:rPr>
        <w:t>​</w:t>
      </w:r>
      <w:r w:rsidRPr="002F73F0">
        <w:t>variety.</w:t>
      </w:r>
      <w:r w:rsidRPr="002F73F0">
        <w:rPr>
          <w:rFonts w:ascii="Times New Roman" w:hAnsi="Times New Roman" w:cs="Times New Roman"/>
        </w:rPr>
        <w:t>​</w:t>
      </w:r>
      <w:r w:rsidRPr="002F73F0">
        <w:t>com/</w:t>
      </w:r>
      <w:r w:rsidRPr="002F73F0">
        <w:rPr>
          <w:rFonts w:ascii="Times New Roman" w:hAnsi="Times New Roman" w:cs="Times New Roman"/>
        </w:rPr>
        <w:t>​</w:t>
      </w:r>
      <w:r w:rsidRPr="002F73F0">
        <w:t>2021/digital/news/tmz-fox-corp-acquisition-harvey-levin-toofab-123</w:t>
      </w:r>
      <w:r w:rsidRPr="002F73F0">
        <w:rPr>
          <w:rFonts w:ascii="Times New Roman" w:hAnsi="Times New Roman" w:cs="Times New Roman"/>
        </w:rPr>
        <w:t>​</w:t>
      </w:r>
      <w:r w:rsidRPr="002F73F0">
        <w:t>5063</w:t>
      </w:r>
      <w:r w:rsidRPr="002F73F0">
        <w:rPr>
          <w:rFonts w:ascii="Times New Roman" w:hAnsi="Times New Roman" w:cs="Times New Roman"/>
        </w:rPr>
        <w:t>​</w:t>
      </w:r>
      <w:r w:rsidRPr="002F73F0">
        <w:t>443/.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7400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C6D2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CCE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05C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E9B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8A8B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5454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8C6F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303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D2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57706"/>
    <w:multiLevelType w:val="multilevel"/>
    <w:tmpl w:val="271A5C96"/>
    <w:lvl w:ilvl="0">
      <w:start w:val="1"/>
      <w:numFmt w:val="upperRoman"/>
      <w:pStyle w:val="Heading1"/>
      <w:lvlText w:val="%1."/>
      <w:lvlJc w:val="left"/>
      <w:pPr>
        <w:ind w:left="720" w:firstLine="0"/>
      </w:pPr>
      <w:rPr>
        <w:rFonts w:hint="default"/>
        <w:color w:val="auto"/>
      </w:rPr>
    </w:lvl>
    <w:lvl w:ilvl="1">
      <w:start w:val="1"/>
      <w:numFmt w:val="upperLetter"/>
      <w:pStyle w:val="Heading2"/>
      <w:lvlText w:val="%2."/>
      <w:lvlJc w:val="left"/>
      <w:pPr>
        <w:ind w:left="1440" w:firstLine="0"/>
      </w:pPr>
      <w:rPr>
        <w:rFonts w:hint="default"/>
        <w:color w:val="auto"/>
      </w:rPr>
    </w:lvl>
    <w:lvl w:ilvl="2">
      <w:start w:val="1"/>
      <w:numFmt w:val="decimal"/>
      <w:pStyle w:val="Heading3"/>
      <w:lvlText w:val="%3."/>
      <w:lvlJc w:val="left"/>
      <w:pPr>
        <w:ind w:left="2160" w:firstLine="0"/>
      </w:pPr>
      <w:rPr>
        <w:rFonts w:hint="default"/>
        <w:color w:val="auto"/>
      </w:rPr>
    </w:lvl>
    <w:lvl w:ilvl="3">
      <w:start w:val="1"/>
      <w:numFmt w:val="lowerLetter"/>
      <w:pStyle w:val="Heading4"/>
      <w:lvlText w:val="%4."/>
      <w:lvlJc w:val="left"/>
      <w:pPr>
        <w:ind w:left="2880" w:firstLine="0"/>
      </w:pPr>
      <w:rPr>
        <w:rFonts w:hint="default"/>
      </w:rPr>
    </w:lvl>
    <w:lvl w:ilvl="4">
      <w:start w:val="1"/>
      <w:numFmt w:val="lowerRoman"/>
      <w:pStyle w:val="Heading5"/>
      <w:lvlText w:val="%5."/>
      <w:lvlJc w:val="left"/>
      <w:pPr>
        <w:ind w:left="3600" w:firstLine="0"/>
      </w:pPr>
      <w:rPr>
        <w:rFonts w:hint="default"/>
      </w:rPr>
    </w:lvl>
    <w:lvl w:ilvl="5">
      <w:start w:val="1"/>
      <w:numFmt w:val="lowerLetter"/>
      <w:pStyle w:val="Heading6"/>
      <w:lvlText w:val="(%6)"/>
      <w:lvlJc w:val="left"/>
      <w:pPr>
        <w:ind w:left="4320" w:firstLine="0"/>
      </w:pPr>
      <w:rPr>
        <w:rFonts w:hint="default"/>
      </w:rPr>
    </w:lvl>
    <w:lvl w:ilvl="6">
      <w:start w:val="1"/>
      <w:numFmt w:val="lowerRoman"/>
      <w:pStyle w:val="Heading7"/>
      <w:lvlText w:val="(%7)"/>
      <w:lvlJc w:val="left"/>
      <w:pPr>
        <w:ind w:left="5040" w:firstLine="0"/>
      </w:pPr>
      <w:rPr>
        <w:rFonts w:hint="default"/>
      </w:rPr>
    </w:lvl>
    <w:lvl w:ilvl="7">
      <w:start w:val="1"/>
      <w:numFmt w:val="lowerLetter"/>
      <w:pStyle w:val="Heading8"/>
      <w:lvlText w:val="(%8)"/>
      <w:lvlJc w:val="left"/>
      <w:pPr>
        <w:ind w:left="5760" w:firstLine="0"/>
      </w:pPr>
      <w:rPr>
        <w:rFonts w:hint="default"/>
      </w:rPr>
    </w:lvl>
    <w:lvl w:ilvl="8">
      <w:start w:val="1"/>
      <w:numFmt w:val="lowerRoman"/>
      <w:pStyle w:val="Heading9"/>
      <w:lvlText w:val="(%9)"/>
      <w:lvlJc w:val="left"/>
      <w:pPr>
        <w:ind w:left="6480" w:firstLine="0"/>
      </w:pPr>
      <w:rPr>
        <w:rFonts w:hint="default"/>
      </w:rPr>
    </w:lvl>
  </w:abstractNum>
  <w:abstractNum w:abstractNumId="11" w15:restartNumberingAfterBreak="0">
    <w:nsid w:val="151F7C73"/>
    <w:multiLevelType w:val="multilevel"/>
    <w:tmpl w:val="3DFA342C"/>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800" w:hanging="360"/>
      </w:pPr>
      <w:rPr>
        <w:rFonts w:hint="default"/>
      </w:rPr>
    </w:lvl>
    <w:lvl w:ilvl="3">
      <w:start w:val="1"/>
      <w:numFmt w:val="lowerLetter"/>
      <w:lvlText w:val="%4."/>
      <w:lvlJc w:val="left"/>
      <w:pPr>
        <w:tabs>
          <w:tab w:val="num" w:pos="2160"/>
        </w:tabs>
        <w:ind w:left="2520" w:hanging="360"/>
      </w:pPr>
      <w:rPr>
        <w:rFonts w:hint="default"/>
      </w:rPr>
    </w:lvl>
    <w:lvl w:ilvl="4">
      <w:start w:val="1"/>
      <w:numFmt w:val="lowerRoman"/>
      <w:lvlText w:val="%5."/>
      <w:lvlJc w:val="left"/>
      <w:pPr>
        <w:tabs>
          <w:tab w:val="num" w:pos="2880"/>
        </w:tabs>
        <w:ind w:left="3240" w:hanging="360"/>
      </w:pPr>
      <w:rPr>
        <w:rFonts w:hint="default"/>
      </w:rPr>
    </w:lvl>
    <w:lvl w:ilvl="5">
      <w:start w:val="1"/>
      <w:numFmt w:val="upperRoman"/>
      <w:lvlText w:val="%6)"/>
      <w:lvlJc w:val="left"/>
      <w:pPr>
        <w:tabs>
          <w:tab w:val="num" w:pos="3888"/>
        </w:tabs>
        <w:ind w:left="3960" w:hanging="360"/>
      </w:pPr>
      <w:rPr>
        <w:rFonts w:hint="default"/>
        <w:i w:val="0"/>
        <w:iCs w:val="0"/>
      </w:rPr>
    </w:lvl>
    <w:lvl w:ilvl="6">
      <w:start w:val="1"/>
      <w:numFmt w:val="upperLetter"/>
      <w:lvlText w:val="%7)"/>
      <w:lvlJc w:val="left"/>
      <w:pPr>
        <w:tabs>
          <w:tab w:val="num" w:pos="4320"/>
        </w:tabs>
        <w:ind w:left="4680" w:hanging="360"/>
      </w:pPr>
      <w:rPr>
        <w:rFonts w:hint="default"/>
      </w:rPr>
    </w:lvl>
    <w:lvl w:ilvl="7">
      <w:start w:val="1"/>
      <w:numFmt w:val="decimal"/>
      <w:lvlText w:val="%8)"/>
      <w:lvlJc w:val="left"/>
      <w:pPr>
        <w:tabs>
          <w:tab w:val="num" w:pos="5040"/>
        </w:tabs>
        <w:ind w:left="5400" w:hanging="360"/>
      </w:pPr>
      <w:rPr>
        <w:rFonts w:hint="default"/>
      </w:rPr>
    </w:lvl>
    <w:lvl w:ilvl="8">
      <w:start w:val="1"/>
      <w:numFmt w:val="lowerRoman"/>
      <w:lvlText w:val="%9)"/>
      <w:lvlJc w:val="left"/>
      <w:pPr>
        <w:tabs>
          <w:tab w:val="num" w:pos="5760"/>
        </w:tabs>
        <w:ind w:left="6120" w:hanging="360"/>
      </w:pPr>
      <w:rPr>
        <w:rFonts w:hint="default"/>
      </w:rPr>
    </w:lvl>
  </w:abstractNum>
  <w:num w:numId="1" w16cid:durableId="1723360813">
    <w:abstractNumId w:val="10"/>
  </w:num>
  <w:num w:numId="2" w16cid:durableId="670135966">
    <w:abstractNumId w:val="9"/>
  </w:num>
  <w:num w:numId="3" w16cid:durableId="1344286719">
    <w:abstractNumId w:val="7"/>
  </w:num>
  <w:num w:numId="4" w16cid:durableId="591203185">
    <w:abstractNumId w:val="6"/>
  </w:num>
  <w:num w:numId="5" w16cid:durableId="279922669">
    <w:abstractNumId w:val="5"/>
  </w:num>
  <w:num w:numId="6" w16cid:durableId="222067688">
    <w:abstractNumId w:val="4"/>
  </w:num>
  <w:num w:numId="7" w16cid:durableId="792670189">
    <w:abstractNumId w:val="8"/>
  </w:num>
  <w:num w:numId="8" w16cid:durableId="1977299580">
    <w:abstractNumId w:val="3"/>
  </w:num>
  <w:num w:numId="9" w16cid:durableId="2048941510">
    <w:abstractNumId w:val="2"/>
  </w:num>
  <w:num w:numId="10" w16cid:durableId="1433167105">
    <w:abstractNumId w:val="1"/>
  </w:num>
  <w:num w:numId="11" w16cid:durableId="1950576397">
    <w:abstractNumId w:val="0"/>
  </w:num>
  <w:num w:numId="12" w16cid:durableId="972296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825160">
    <w:abstractNumId w:val="11"/>
  </w:num>
  <w:num w:numId="14" w16cid:durableId="2110349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048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6091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282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C8"/>
    <w:rsid w:val="000007AD"/>
    <w:rsid w:val="00010F59"/>
    <w:rsid w:val="00014AED"/>
    <w:rsid w:val="00024DD9"/>
    <w:rsid w:val="00027672"/>
    <w:rsid w:val="00030AFB"/>
    <w:rsid w:val="00032249"/>
    <w:rsid w:val="00035C83"/>
    <w:rsid w:val="00053F24"/>
    <w:rsid w:val="00054F2C"/>
    <w:rsid w:val="00064C93"/>
    <w:rsid w:val="00065421"/>
    <w:rsid w:val="00073C53"/>
    <w:rsid w:val="000946D8"/>
    <w:rsid w:val="000962C8"/>
    <w:rsid w:val="000A4E71"/>
    <w:rsid w:val="000B4CB1"/>
    <w:rsid w:val="000B7B5F"/>
    <w:rsid w:val="000F6441"/>
    <w:rsid w:val="00106BDA"/>
    <w:rsid w:val="001304B1"/>
    <w:rsid w:val="00133B9C"/>
    <w:rsid w:val="00134807"/>
    <w:rsid w:val="00145297"/>
    <w:rsid w:val="001617D0"/>
    <w:rsid w:val="00171171"/>
    <w:rsid w:val="00197779"/>
    <w:rsid w:val="001C4470"/>
    <w:rsid w:val="001D0725"/>
    <w:rsid w:val="001E6F3F"/>
    <w:rsid w:val="001E7BD6"/>
    <w:rsid w:val="001F10A6"/>
    <w:rsid w:val="001F3E71"/>
    <w:rsid w:val="00205838"/>
    <w:rsid w:val="002079CA"/>
    <w:rsid w:val="00212587"/>
    <w:rsid w:val="0021277B"/>
    <w:rsid w:val="002145D1"/>
    <w:rsid w:val="00217CF4"/>
    <w:rsid w:val="00221A8B"/>
    <w:rsid w:val="002260B6"/>
    <w:rsid w:val="002402B5"/>
    <w:rsid w:val="00243E3A"/>
    <w:rsid w:val="002479C4"/>
    <w:rsid w:val="00252435"/>
    <w:rsid w:val="00264548"/>
    <w:rsid w:val="00281DC3"/>
    <w:rsid w:val="002841C6"/>
    <w:rsid w:val="002A051A"/>
    <w:rsid w:val="002A42E6"/>
    <w:rsid w:val="002B0681"/>
    <w:rsid w:val="002B3D12"/>
    <w:rsid w:val="002B77C9"/>
    <w:rsid w:val="002C04DF"/>
    <w:rsid w:val="002C634A"/>
    <w:rsid w:val="002D6A5D"/>
    <w:rsid w:val="0030227F"/>
    <w:rsid w:val="00312EEC"/>
    <w:rsid w:val="00322CBC"/>
    <w:rsid w:val="003247A7"/>
    <w:rsid w:val="00335D6C"/>
    <w:rsid w:val="00335E42"/>
    <w:rsid w:val="00341DA6"/>
    <w:rsid w:val="00351941"/>
    <w:rsid w:val="003579C3"/>
    <w:rsid w:val="00364402"/>
    <w:rsid w:val="0037128B"/>
    <w:rsid w:val="00373756"/>
    <w:rsid w:val="003A0190"/>
    <w:rsid w:val="003A1D9A"/>
    <w:rsid w:val="003A279C"/>
    <w:rsid w:val="003B0222"/>
    <w:rsid w:val="003B1668"/>
    <w:rsid w:val="003B236A"/>
    <w:rsid w:val="003B25B2"/>
    <w:rsid w:val="003C3756"/>
    <w:rsid w:val="003D7AEC"/>
    <w:rsid w:val="003F081B"/>
    <w:rsid w:val="00406FD6"/>
    <w:rsid w:val="00407A01"/>
    <w:rsid w:val="00410372"/>
    <w:rsid w:val="00441C20"/>
    <w:rsid w:val="00454927"/>
    <w:rsid w:val="00470820"/>
    <w:rsid w:val="00471781"/>
    <w:rsid w:val="004826BA"/>
    <w:rsid w:val="00492953"/>
    <w:rsid w:val="004B1F60"/>
    <w:rsid w:val="004C2E4D"/>
    <w:rsid w:val="004E04D0"/>
    <w:rsid w:val="0051247D"/>
    <w:rsid w:val="00516A56"/>
    <w:rsid w:val="00517284"/>
    <w:rsid w:val="0051775D"/>
    <w:rsid w:val="0052228B"/>
    <w:rsid w:val="00525F40"/>
    <w:rsid w:val="00537990"/>
    <w:rsid w:val="005448D3"/>
    <w:rsid w:val="00546DFC"/>
    <w:rsid w:val="00552B4A"/>
    <w:rsid w:val="00570764"/>
    <w:rsid w:val="00581E6D"/>
    <w:rsid w:val="00592664"/>
    <w:rsid w:val="00596105"/>
    <w:rsid w:val="005A1039"/>
    <w:rsid w:val="005B637F"/>
    <w:rsid w:val="005C78C5"/>
    <w:rsid w:val="005C7B9F"/>
    <w:rsid w:val="005F001A"/>
    <w:rsid w:val="00603315"/>
    <w:rsid w:val="006045A3"/>
    <w:rsid w:val="006141A7"/>
    <w:rsid w:val="00627394"/>
    <w:rsid w:val="00627FD6"/>
    <w:rsid w:val="00631DD4"/>
    <w:rsid w:val="00647ECC"/>
    <w:rsid w:val="00650479"/>
    <w:rsid w:val="00665ED7"/>
    <w:rsid w:val="00667F80"/>
    <w:rsid w:val="00682DED"/>
    <w:rsid w:val="006916F1"/>
    <w:rsid w:val="006A02F1"/>
    <w:rsid w:val="006A5E9D"/>
    <w:rsid w:val="006B262D"/>
    <w:rsid w:val="006B53EA"/>
    <w:rsid w:val="006C5359"/>
    <w:rsid w:val="006D1771"/>
    <w:rsid w:val="006E76D8"/>
    <w:rsid w:val="006F7FF1"/>
    <w:rsid w:val="0070306E"/>
    <w:rsid w:val="007167FF"/>
    <w:rsid w:val="007309D2"/>
    <w:rsid w:val="00736F72"/>
    <w:rsid w:val="00746664"/>
    <w:rsid w:val="0074666C"/>
    <w:rsid w:val="0075254F"/>
    <w:rsid w:val="00771297"/>
    <w:rsid w:val="00772093"/>
    <w:rsid w:val="00772853"/>
    <w:rsid w:val="0077789F"/>
    <w:rsid w:val="00781249"/>
    <w:rsid w:val="00783D82"/>
    <w:rsid w:val="0079522D"/>
    <w:rsid w:val="007A1B57"/>
    <w:rsid w:val="007A42BB"/>
    <w:rsid w:val="007A6BEB"/>
    <w:rsid w:val="007A7F9A"/>
    <w:rsid w:val="007C1283"/>
    <w:rsid w:val="007C5E70"/>
    <w:rsid w:val="007D04B2"/>
    <w:rsid w:val="007D7471"/>
    <w:rsid w:val="007E52A9"/>
    <w:rsid w:val="007F0E94"/>
    <w:rsid w:val="007F1A94"/>
    <w:rsid w:val="008007BA"/>
    <w:rsid w:val="00806A12"/>
    <w:rsid w:val="00823592"/>
    <w:rsid w:val="00825F00"/>
    <w:rsid w:val="00835469"/>
    <w:rsid w:val="008372B0"/>
    <w:rsid w:val="0084644D"/>
    <w:rsid w:val="0085660B"/>
    <w:rsid w:val="00894BB8"/>
    <w:rsid w:val="008A30A4"/>
    <w:rsid w:val="008C0345"/>
    <w:rsid w:val="008C7070"/>
    <w:rsid w:val="008F30DC"/>
    <w:rsid w:val="00911C26"/>
    <w:rsid w:val="00913F75"/>
    <w:rsid w:val="009151C4"/>
    <w:rsid w:val="00925DA2"/>
    <w:rsid w:val="00937EDC"/>
    <w:rsid w:val="00950455"/>
    <w:rsid w:val="00967531"/>
    <w:rsid w:val="00980467"/>
    <w:rsid w:val="009807CF"/>
    <w:rsid w:val="009A5B0C"/>
    <w:rsid w:val="009B1FFC"/>
    <w:rsid w:val="009C07BC"/>
    <w:rsid w:val="009D187C"/>
    <w:rsid w:val="009D2145"/>
    <w:rsid w:val="009E7ADE"/>
    <w:rsid w:val="009F1035"/>
    <w:rsid w:val="009F6EB0"/>
    <w:rsid w:val="009F7B89"/>
    <w:rsid w:val="00A034C2"/>
    <w:rsid w:val="00A1153E"/>
    <w:rsid w:val="00A1643B"/>
    <w:rsid w:val="00A21BFF"/>
    <w:rsid w:val="00A316AC"/>
    <w:rsid w:val="00A31D3B"/>
    <w:rsid w:val="00A45D99"/>
    <w:rsid w:val="00A46780"/>
    <w:rsid w:val="00A53021"/>
    <w:rsid w:val="00A66CB2"/>
    <w:rsid w:val="00A85165"/>
    <w:rsid w:val="00A92EBA"/>
    <w:rsid w:val="00AA5342"/>
    <w:rsid w:val="00AB12F4"/>
    <w:rsid w:val="00AB4209"/>
    <w:rsid w:val="00AB5B12"/>
    <w:rsid w:val="00AC0660"/>
    <w:rsid w:val="00AC144D"/>
    <w:rsid w:val="00AC619C"/>
    <w:rsid w:val="00AD0679"/>
    <w:rsid w:val="00B03D58"/>
    <w:rsid w:val="00B15ACA"/>
    <w:rsid w:val="00B31F0B"/>
    <w:rsid w:val="00B45326"/>
    <w:rsid w:val="00B51249"/>
    <w:rsid w:val="00B5306B"/>
    <w:rsid w:val="00B56217"/>
    <w:rsid w:val="00B614CE"/>
    <w:rsid w:val="00B61AB0"/>
    <w:rsid w:val="00B63BBD"/>
    <w:rsid w:val="00B67EFD"/>
    <w:rsid w:val="00B75D69"/>
    <w:rsid w:val="00B82F74"/>
    <w:rsid w:val="00B93458"/>
    <w:rsid w:val="00BA0916"/>
    <w:rsid w:val="00BB143F"/>
    <w:rsid w:val="00BB20E6"/>
    <w:rsid w:val="00BB7005"/>
    <w:rsid w:val="00BC063E"/>
    <w:rsid w:val="00BD0A3E"/>
    <w:rsid w:val="00BD668F"/>
    <w:rsid w:val="00BE1DD1"/>
    <w:rsid w:val="00BF2649"/>
    <w:rsid w:val="00BF63C6"/>
    <w:rsid w:val="00BF706E"/>
    <w:rsid w:val="00C06D66"/>
    <w:rsid w:val="00C11544"/>
    <w:rsid w:val="00C12371"/>
    <w:rsid w:val="00C139EB"/>
    <w:rsid w:val="00C1792D"/>
    <w:rsid w:val="00C22585"/>
    <w:rsid w:val="00C230B3"/>
    <w:rsid w:val="00C31F54"/>
    <w:rsid w:val="00C3392F"/>
    <w:rsid w:val="00C44990"/>
    <w:rsid w:val="00C53026"/>
    <w:rsid w:val="00C62FC1"/>
    <w:rsid w:val="00C642CF"/>
    <w:rsid w:val="00C661E6"/>
    <w:rsid w:val="00C66CC0"/>
    <w:rsid w:val="00C71490"/>
    <w:rsid w:val="00C737DA"/>
    <w:rsid w:val="00C77D16"/>
    <w:rsid w:val="00C87C1F"/>
    <w:rsid w:val="00C96864"/>
    <w:rsid w:val="00C97427"/>
    <w:rsid w:val="00CA2692"/>
    <w:rsid w:val="00CA628F"/>
    <w:rsid w:val="00CB2B3A"/>
    <w:rsid w:val="00CB5A92"/>
    <w:rsid w:val="00CB5E0A"/>
    <w:rsid w:val="00CB74F5"/>
    <w:rsid w:val="00CC6FB1"/>
    <w:rsid w:val="00CD3BE9"/>
    <w:rsid w:val="00CE2771"/>
    <w:rsid w:val="00CF1114"/>
    <w:rsid w:val="00D13A43"/>
    <w:rsid w:val="00D17C77"/>
    <w:rsid w:val="00D3426B"/>
    <w:rsid w:val="00D36180"/>
    <w:rsid w:val="00D45845"/>
    <w:rsid w:val="00D45E1C"/>
    <w:rsid w:val="00D50F7E"/>
    <w:rsid w:val="00D55811"/>
    <w:rsid w:val="00D73A3A"/>
    <w:rsid w:val="00D76FF6"/>
    <w:rsid w:val="00D77931"/>
    <w:rsid w:val="00D81E73"/>
    <w:rsid w:val="00D85460"/>
    <w:rsid w:val="00D939B4"/>
    <w:rsid w:val="00DA0944"/>
    <w:rsid w:val="00DB084C"/>
    <w:rsid w:val="00DB16A6"/>
    <w:rsid w:val="00DB2336"/>
    <w:rsid w:val="00DB63A1"/>
    <w:rsid w:val="00DC6B01"/>
    <w:rsid w:val="00DC76B2"/>
    <w:rsid w:val="00DD6AF6"/>
    <w:rsid w:val="00DE5CCF"/>
    <w:rsid w:val="00DE5E08"/>
    <w:rsid w:val="00DF43BB"/>
    <w:rsid w:val="00DF75ED"/>
    <w:rsid w:val="00E032F8"/>
    <w:rsid w:val="00E061FD"/>
    <w:rsid w:val="00E20B9C"/>
    <w:rsid w:val="00E27C0B"/>
    <w:rsid w:val="00E4506C"/>
    <w:rsid w:val="00E536ED"/>
    <w:rsid w:val="00E608FE"/>
    <w:rsid w:val="00E80EA8"/>
    <w:rsid w:val="00E86B53"/>
    <w:rsid w:val="00E91CC7"/>
    <w:rsid w:val="00EA6E49"/>
    <w:rsid w:val="00EB145C"/>
    <w:rsid w:val="00EC025E"/>
    <w:rsid w:val="00ED2735"/>
    <w:rsid w:val="00ED3E38"/>
    <w:rsid w:val="00EE52EF"/>
    <w:rsid w:val="00EF1233"/>
    <w:rsid w:val="00EF60E2"/>
    <w:rsid w:val="00F127AB"/>
    <w:rsid w:val="00F16FD7"/>
    <w:rsid w:val="00F248E2"/>
    <w:rsid w:val="00F30BDB"/>
    <w:rsid w:val="00F32F31"/>
    <w:rsid w:val="00F41C88"/>
    <w:rsid w:val="00F6300A"/>
    <w:rsid w:val="00F708FF"/>
    <w:rsid w:val="00F7471E"/>
    <w:rsid w:val="00F74C82"/>
    <w:rsid w:val="00F752C4"/>
    <w:rsid w:val="00F82220"/>
    <w:rsid w:val="00FB2860"/>
    <w:rsid w:val="00FD2FDD"/>
    <w:rsid w:val="00FE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2483"/>
  <w15:chartTrackingRefBased/>
  <w15:docId w15:val="{D7ED5CEB-16C1-4EAA-A8B6-893D7BFD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6B"/>
  </w:style>
  <w:style w:type="paragraph" w:styleId="Heading1">
    <w:name w:val="heading 1"/>
    <w:basedOn w:val="Normal"/>
    <w:next w:val="Normal"/>
    <w:link w:val="Heading1Char"/>
    <w:uiPriority w:val="9"/>
    <w:qFormat/>
    <w:rsid w:val="00D45E1C"/>
    <w:pPr>
      <w:keepNext/>
      <w:keepLines/>
      <w:numPr>
        <w:numId w:val="1"/>
      </w:numPr>
      <w:spacing w:after="240"/>
      <w:outlineLvl w:val="0"/>
    </w:pPr>
    <w:rPr>
      <w:rFonts w:ascii="Century Schoolbook" w:eastAsiaTheme="majorEastAsia" w:hAnsi="Century Schoolbook" w:cstheme="majorBidi"/>
      <w:b/>
      <w:bCs/>
    </w:rPr>
  </w:style>
  <w:style w:type="paragraph" w:styleId="Heading2">
    <w:name w:val="heading 2"/>
    <w:basedOn w:val="Normal"/>
    <w:next w:val="Normal"/>
    <w:link w:val="Heading2Char"/>
    <w:uiPriority w:val="19"/>
    <w:unhideWhenUsed/>
    <w:qFormat/>
    <w:rsid w:val="00B5306B"/>
    <w:pPr>
      <w:keepNext/>
      <w:keepLines/>
      <w:numPr>
        <w:ilvl w:val="1"/>
        <w:numId w:val="1"/>
      </w:numPr>
      <w:spacing w:after="240"/>
      <w:outlineLvl w:val="1"/>
    </w:pPr>
    <w:rPr>
      <w:rFonts w:ascii="Century Schoolbook" w:eastAsiaTheme="majorEastAsia" w:hAnsi="Century Schoolbook" w:cstheme="majorBidi"/>
      <w:b/>
      <w:bCs/>
    </w:rPr>
  </w:style>
  <w:style w:type="paragraph" w:styleId="Heading3">
    <w:name w:val="heading 3"/>
    <w:basedOn w:val="Normal"/>
    <w:next w:val="Normal"/>
    <w:link w:val="Heading3Char"/>
    <w:uiPriority w:val="19"/>
    <w:unhideWhenUsed/>
    <w:qFormat/>
    <w:rsid w:val="00A316AC"/>
    <w:pPr>
      <w:keepNext/>
      <w:keepLines/>
      <w:numPr>
        <w:ilvl w:val="2"/>
        <w:numId w:val="1"/>
      </w:numPr>
      <w:spacing w:after="240"/>
      <w:ind w:left="2880" w:hanging="720"/>
      <w:outlineLvl w:val="2"/>
    </w:pPr>
    <w:rPr>
      <w:rFonts w:ascii="Century Schoolbook" w:eastAsia="Times New Roman" w:hAnsi="Century Schoolbook" w:cstheme="majorBidi"/>
      <w:b/>
      <w:bCs/>
    </w:rPr>
  </w:style>
  <w:style w:type="paragraph" w:styleId="Heading4">
    <w:name w:val="heading 4"/>
    <w:basedOn w:val="Normal"/>
    <w:next w:val="Normal"/>
    <w:link w:val="Heading4Char"/>
    <w:uiPriority w:val="19"/>
    <w:unhideWhenUsed/>
    <w:qFormat/>
    <w:rsid w:val="00CD3BE9"/>
    <w:pPr>
      <w:keepNext/>
      <w:keepLines/>
      <w:numPr>
        <w:ilvl w:val="3"/>
        <w:numId w:val="1"/>
      </w:numPr>
      <w:spacing w:after="240"/>
      <w:ind w:left="3600" w:hanging="720"/>
      <w:outlineLvl w:val="3"/>
    </w:pPr>
    <w:rPr>
      <w:rFonts w:ascii="Century Schoolbook" w:eastAsia="Times New Roman" w:hAnsi="Century Schoolbook" w:cstheme="majorBidi"/>
      <w:b/>
      <w:bCs/>
    </w:rPr>
  </w:style>
  <w:style w:type="paragraph" w:styleId="Heading5">
    <w:name w:val="heading 5"/>
    <w:basedOn w:val="Normal"/>
    <w:next w:val="Normal"/>
    <w:link w:val="Heading5Char"/>
    <w:uiPriority w:val="19"/>
    <w:unhideWhenUsed/>
    <w:qFormat/>
    <w:rsid w:val="00525F40"/>
    <w:pPr>
      <w:keepNext/>
      <w:keepLines/>
      <w:numPr>
        <w:ilvl w:val="4"/>
        <w:numId w:val="1"/>
      </w:numPr>
      <w:spacing w:after="240"/>
      <w:ind w:left="4320" w:hanging="720"/>
      <w:outlineLvl w:val="4"/>
    </w:pPr>
    <w:rPr>
      <w:rFonts w:ascii="Century Schoolbook" w:eastAsia="Times New Roman" w:hAnsi="Century Schoolbook" w:cstheme="majorBidi"/>
      <w:b/>
      <w:bCs/>
    </w:rPr>
  </w:style>
  <w:style w:type="paragraph" w:styleId="Heading6">
    <w:name w:val="heading 6"/>
    <w:basedOn w:val="Normal"/>
    <w:next w:val="Normal"/>
    <w:link w:val="Heading6Char"/>
    <w:uiPriority w:val="19"/>
    <w:unhideWhenUsed/>
    <w:qFormat/>
    <w:rsid w:val="00D45E1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9"/>
    <w:unhideWhenUsed/>
    <w:qFormat/>
    <w:rsid w:val="00D45E1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9"/>
    <w:unhideWhenUsed/>
    <w:qFormat/>
    <w:rsid w:val="00D45E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unhideWhenUsed/>
    <w:qFormat/>
    <w:rsid w:val="00D45E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C8"/>
    <w:pPr>
      <w:tabs>
        <w:tab w:val="center" w:pos="4680"/>
        <w:tab w:val="right" w:pos="9360"/>
      </w:tabs>
    </w:pPr>
  </w:style>
  <w:style w:type="character" w:customStyle="1" w:styleId="HeaderChar">
    <w:name w:val="Header Char"/>
    <w:basedOn w:val="DefaultParagraphFont"/>
    <w:link w:val="Header"/>
    <w:uiPriority w:val="99"/>
    <w:rsid w:val="000962C8"/>
  </w:style>
  <w:style w:type="paragraph" w:styleId="Footer">
    <w:name w:val="footer"/>
    <w:basedOn w:val="Normal"/>
    <w:link w:val="FooterChar"/>
    <w:uiPriority w:val="99"/>
    <w:unhideWhenUsed/>
    <w:rsid w:val="000962C8"/>
    <w:pPr>
      <w:tabs>
        <w:tab w:val="center" w:pos="4680"/>
        <w:tab w:val="right" w:pos="9360"/>
      </w:tabs>
    </w:pPr>
  </w:style>
  <w:style w:type="character" w:customStyle="1" w:styleId="FooterChar">
    <w:name w:val="Footer Char"/>
    <w:basedOn w:val="DefaultParagraphFont"/>
    <w:link w:val="Footer"/>
    <w:uiPriority w:val="99"/>
    <w:rsid w:val="000962C8"/>
  </w:style>
  <w:style w:type="paragraph" w:styleId="Title">
    <w:name w:val="Title"/>
    <w:basedOn w:val="Normal"/>
    <w:next w:val="Normal"/>
    <w:link w:val="TitleChar"/>
    <w:uiPriority w:val="10"/>
    <w:qFormat/>
    <w:rsid w:val="00406FD6"/>
    <w:pPr>
      <w:spacing w:after="240"/>
      <w:jc w:val="center"/>
      <w:outlineLvl w:val="0"/>
    </w:pPr>
    <w:rPr>
      <w:rFonts w:ascii="Century Schoolbook" w:eastAsiaTheme="majorEastAsia" w:hAnsi="Century Schoolbook" w:cstheme="majorBidi"/>
      <w:b/>
      <w:bCs/>
      <w:caps/>
      <w:spacing w:val="-10"/>
      <w:kern w:val="28"/>
    </w:rPr>
  </w:style>
  <w:style w:type="character" w:customStyle="1" w:styleId="TitleChar">
    <w:name w:val="Title Char"/>
    <w:basedOn w:val="DefaultParagraphFont"/>
    <w:link w:val="Title"/>
    <w:uiPriority w:val="10"/>
    <w:rsid w:val="00406FD6"/>
    <w:rPr>
      <w:rFonts w:ascii="Century Schoolbook" w:eastAsiaTheme="majorEastAsia" w:hAnsi="Century Schoolbook" w:cstheme="majorBidi"/>
      <w:b/>
      <w:bCs/>
      <w:caps/>
      <w:spacing w:val="-10"/>
      <w:kern w:val="28"/>
    </w:rPr>
  </w:style>
  <w:style w:type="character" w:customStyle="1" w:styleId="Heading1Char">
    <w:name w:val="Heading 1 Char"/>
    <w:basedOn w:val="DefaultParagraphFont"/>
    <w:link w:val="Heading1"/>
    <w:uiPriority w:val="9"/>
    <w:rsid w:val="00D45E1C"/>
    <w:rPr>
      <w:rFonts w:ascii="Century Schoolbook" w:eastAsiaTheme="majorEastAsia" w:hAnsi="Century Schoolbook" w:cstheme="majorBidi"/>
      <w:b/>
      <w:bCs/>
      <w:szCs w:val="24"/>
    </w:rPr>
  </w:style>
  <w:style w:type="character" w:customStyle="1" w:styleId="Heading2Char">
    <w:name w:val="Heading 2 Char"/>
    <w:basedOn w:val="DefaultParagraphFont"/>
    <w:link w:val="Heading2"/>
    <w:uiPriority w:val="9"/>
    <w:rsid w:val="00B5306B"/>
    <w:rPr>
      <w:rFonts w:ascii="Century Schoolbook" w:eastAsiaTheme="majorEastAsia" w:hAnsi="Century Schoolbook" w:cstheme="majorBidi"/>
      <w:b/>
      <w:bCs/>
      <w:szCs w:val="24"/>
    </w:rPr>
  </w:style>
  <w:style w:type="character" w:customStyle="1" w:styleId="Heading3Char">
    <w:name w:val="Heading 3 Char"/>
    <w:basedOn w:val="DefaultParagraphFont"/>
    <w:link w:val="Heading3"/>
    <w:uiPriority w:val="19"/>
    <w:rsid w:val="00A316AC"/>
    <w:rPr>
      <w:rFonts w:ascii="Century Schoolbook" w:eastAsia="Times New Roman" w:hAnsi="Century Schoolbook" w:cstheme="majorBidi"/>
      <w:b/>
      <w:bCs/>
    </w:rPr>
  </w:style>
  <w:style w:type="character" w:customStyle="1" w:styleId="Heading4Char">
    <w:name w:val="Heading 4 Char"/>
    <w:basedOn w:val="DefaultParagraphFont"/>
    <w:link w:val="Heading4"/>
    <w:uiPriority w:val="9"/>
    <w:rsid w:val="00CD3BE9"/>
    <w:rPr>
      <w:rFonts w:ascii="Century Schoolbook" w:eastAsia="Times New Roman" w:hAnsi="Century Schoolbook" w:cstheme="majorBidi"/>
      <w:b/>
      <w:bCs/>
    </w:rPr>
  </w:style>
  <w:style w:type="character" w:customStyle="1" w:styleId="Heading5Char">
    <w:name w:val="Heading 5 Char"/>
    <w:basedOn w:val="DefaultParagraphFont"/>
    <w:link w:val="Heading5"/>
    <w:uiPriority w:val="9"/>
    <w:rsid w:val="00525F40"/>
    <w:rPr>
      <w:rFonts w:ascii="Century Schoolbook" w:eastAsia="Times New Roman" w:hAnsi="Century Schoolbook" w:cstheme="majorBidi"/>
      <w:b/>
      <w:bCs/>
    </w:rPr>
  </w:style>
  <w:style w:type="character" w:customStyle="1" w:styleId="Heading6Char">
    <w:name w:val="Heading 6 Char"/>
    <w:basedOn w:val="DefaultParagraphFont"/>
    <w:link w:val="Heading6"/>
    <w:uiPriority w:val="9"/>
    <w:semiHidden/>
    <w:rsid w:val="00D45E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5E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5E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5E1C"/>
    <w:rPr>
      <w:rFonts w:asciiTheme="majorHAnsi" w:eastAsiaTheme="majorEastAsia" w:hAnsiTheme="majorHAnsi" w:cstheme="majorBidi"/>
      <w:i/>
      <w:iCs/>
      <w:color w:val="272727" w:themeColor="text1" w:themeTint="D8"/>
      <w:sz w:val="21"/>
      <w:szCs w:val="21"/>
    </w:rPr>
  </w:style>
  <w:style w:type="paragraph" w:styleId="BlockText">
    <w:name w:val="Block Text"/>
    <w:basedOn w:val="Normal"/>
    <w:uiPriority w:val="99"/>
    <w:unhideWhenUsed/>
    <w:rsid w:val="00B5306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unhideWhenUsed/>
    <w:rsid w:val="00B5306B"/>
    <w:pPr>
      <w:spacing w:line="480" w:lineRule="auto"/>
      <w:ind w:firstLine="720"/>
    </w:pPr>
    <w:rPr>
      <w:rFonts w:ascii="Century Schoolbook" w:hAnsi="Century Schoolbook"/>
    </w:rPr>
  </w:style>
  <w:style w:type="character" w:customStyle="1" w:styleId="BodyTextChar">
    <w:name w:val="Body Text Char"/>
    <w:basedOn w:val="DefaultParagraphFont"/>
    <w:link w:val="BodyText"/>
    <w:uiPriority w:val="99"/>
    <w:rsid w:val="00B5306B"/>
    <w:rPr>
      <w:rFonts w:ascii="Century Schoolbook" w:hAnsi="Century Schoolbook"/>
    </w:rPr>
  </w:style>
  <w:style w:type="paragraph" w:styleId="Subtitle">
    <w:name w:val="Subtitle"/>
    <w:basedOn w:val="Normal"/>
    <w:next w:val="Normal"/>
    <w:link w:val="SubtitleChar"/>
    <w:uiPriority w:val="11"/>
    <w:qFormat/>
    <w:rsid w:val="00406FD6"/>
    <w:pPr>
      <w:numPr>
        <w:ilvl w:val="1"/>
      </w:numPr>
      <w:spacing w:after="240"/>
      <w:outlineLvl w:val="0"/>
    </w:pPr>
    <w:rPr>
      <w:rFonts w:ascii="Century Schoolbook" w:eastAsiaTheme="minorEastAsia" w:hAnsi="Century Schoolbook"/>
      <w:b/>
      <w:bCs/>
    </w:rPr>
  </w:style>
  <w:style w:type="character" w:customStyle="1" w:styleId="SubtitleChar">
    <w:name w:val="Subtitle Char"/>
    <w:basedOn w:val="DefaultParagraphFont"/>
    <w:link w:val="Subtitle"/>
    <w:uiPriority w:val="11"/>
    <w:rsid w:val="00406FD6"/>
    <w:rPr>
      <w:rFonts w:ascii="Century Schoolbook" w:eastAsiaTheme="minorEastAsia" w:hAnsi="Century Schoolbook"/>
      <w:b/>
      <w:bCs/>
    </w:rPr>
  </w:style>
  <w:style w:type="paragraph" w:styleId="FootnoteText">
    <w:name w:val="footnote text"/>
    <w:basedOn w:val="Normal"/>
    <w:link w:val="FootnoteTextChar"/>
    <w:uiPriority w:val="99"/>
    <w:unhideWhenUsed/>
    <w:rsid w:val="0030227F"/>
    <w:pPr>
      <w:ind w:firstLine="720"/>
      <w:jc w:val="both"/>
    </w:pPr>
    <w:rPr>
      <w:rFonts w:ascii="Century Schoolbook" w:hAnsi="Century Schoolbook"/>
    </w:rPr>
  </w:style>
  <w:style w:type="character" w:customStyle="1" w:styleId="FootnoteTextChar">
    <w:name w:val="Footnote Text Char"/>
    <w:basedOn w:val="DefaultParagraphFont"/>
    <w:link w:val="FootnoteText"/>
    <w:uiPriority w:val="99"/>
    <w:rsid w:val="0030227F"/>
    <w:rPr>
      <w:rFonts w:ascii="Century Schoolbook" w:hAnsi="Century Schoolbook"/>
    </w:rPr>
  </w:style>
  <w:style w:type="character" w:styleId="FootnoteReference">
    <w:name w:val="footnote reference"/>
    <w:basedOn w:val="DefaultParagraphFont"/>
    <w:uiPriority w:val="99"/>
    <w:unhideWhenUsed/>
    <w:rsid w:val="0030227F"/>
    <w:rPr>
      <w:vertAlign w:val="superscript"/>
    </w:rPr>
  </w:style>
  <w:style w:type="paragraph" w:styleId="ListBullet">
    <w:name w:val="List Bullet"/>
    <w:aliases w:val="BL1"/>
    <w:basedOn w:val="Normal"/>
    <w:uiPriority w:val="10"/>
    <w:qFormat/>
    <w:rsid w:val="00053F24"/>
    <w:pPr>
      <w:tabs>
        <w:tab w:val="num" w:pos="1440"/>
      </w:tabs>
      <w:spacing w:after="240"/>
      <w:ind w:left="1440" w:hanging="360"/>
    </w:pPr>
    <w:rPr>
      <w:color w:val="000000"/>
    </w:rPr>
  </w:style>
  <w:style w:type="paragraph" w:customStyle="1" w:styleId="L3Text">
    <w:name w:val="L3Text"/>
    <w:basedOn w:val="Normal"/>
    <w:qFormat/>
    <w:rsid w:val="00EF60E2"/>
    <w:pPr>
      <w:spacing w:after="240"/>
      <w:ind w:left="1800"/>
    </w:pPr>
    <w:rPr>
      <w:color w:val="000000" w:themeColor="text1"/>
    </w:rPr>
  </w:style>
  <w:style w:type="paragraph" w:customStyle="1" w:styleId="Bdy">
    <w:name w:val="Bdy"/>
    <w:basedOn w:val="L3Text"/>
    <w:rsid w:val="005A1039"/>
  </w:style>
  <w:style w:type="paragraph" w:customStyle="1" w:styleId="Headaing3">
    <w:name w:val="Headaing 3"/>
    <w:basedOn w:val="Heading4"/>
    <w:rsid w:val="00BA0916"/>
    <w:rPr>
      <w:b w:val="0"/>
      <w:bCs w:val="0"/>
    </w:rPr>
  </w:style>
  <w:style w:type="paragraph" w:styleId="TOCHeading">
    <w:name w:val="TOC Heading"/>
    <w:basedOn w:val="Heading1"/>
    <w:next w:val="Normal"/>
    <w:uiPriority w:val="39"/>
    <w:unhideWhenUsed/>
    <w:qFormat/>
    <w:rsid w:val="00FE199D"/>
    <w:pPr>
      <w:numPr>
        <w:numId w:val="0"/>
      </w:numPr>
      <w:spacing w:before="240" w:after="0" w:line="259" w:lineRule="auto"/>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FE199D"/>
    <w:pPr>
      <w:spacing w:after="100"/>
    </w:pPr>
  </w:style>
  <w:style w:type="paragraph" w:styleId="TOC2">
    <w:name w:val="toc 2"/>
    <w:basedOn w:val="Normal"/>
    <w:next w:val="Normal"/>
    <w:autoRedefine/>
    <w:uiPriority w:val="39"/>
    <w:unhideWhenUsed/>
    <w:rsid w:val="00FE199D"/>
    <w:pPr>
      <w:spacing w:after="100"/>
      <w:ind w:left="240"/>
    </w:pPr>
  </w:style>
  <w:style w:type="paragraph" w:styleId="TOC3">
    <w:name w:val="toc 3"/>
    <w:basedOn w:val="Normal"/>
    <w:next w:val="Normal"/>
    <w:autoRedefine/>
    <w:uiPriority w:val="39"/>
    <w:unhideWhenUsed/>
    <w:rsid w:val="00064C93"/>
    <w:pPr>
      <w:tabs>
        <w:tab w:val="left" w:pos="1100"/>
        <w:tab w:val="right" w:leader="dot" w:pos="9350"/>
      </w:tabs>
      <w:spacing w:after="100"/>
      <w:ind w:left="921" w:right="720" w:hanging="446"/>
    </w:pPr>
  </w:style>
  <w:style w:type="character" w:styleId="Hyperlink">
    <w:name w:val="Hyperlink"/>
    <w:basedOn w:val="DefaultParagraphFont"/>
    <w:uiPriority w:val="99"/>
    <w:unhideWhenUsed/>
    <w:rsid w:val="00FE199D"/>
    <w:rPr>
      <w:color w:val="0563C1" w:themeColor="hyperlink"/>
      <w:u w:val="single"/>
    </w:rPr>
  </w:style>
  <w:style w:type="character" w:customStyle="1" w:styleId="apple-converted-space">
    <w:name w:val="apple-converted-space"/>
    <w:basedOn w:val="DefaultParagraphFont"/>
    <w:rsid w:val="003B25B2"/>
  </w:style>
  <w:style w:type="character" w:styleId="UnresolvedMention">
    <w:name w:val="Unresolved Mention"/>
    <w:basedOn w:val="DefaultParagraphFont"/>
    <w:uiPriority w:val="99"/>
    <w:semiHidden/>
    <w:unhideWhenUsed/>
    <w:rsid w:val="007F0E94"/>
    <w:rPr>
      <w:color w:val="605E5C"/>
      <w:shd w:val="clear" w:color="auto" w:fill="E1DFDD"/>
    </w:rPr>
  </w:style>
  <w:style w:type="character" w:styleId="CommentReference">
    <w:name w:val="annotation reference"/>
    <w:basedOn w:val="DefaultParagraphFont"/>
    <w:uiPriority w:val="99"/>
    <w:semiHidden/>
    <w:unhideWhenUsed/>
    <w:rsid w:val="003247A7"/>
    <w:rPr>
      <w:sz w:val="16"/>
      <w:szCs w:val="16"/>
    </w:rPr>
  </w:style>
  <w:style w:type="paragraph" w:styleId="CommentText">
    <w:name w:val="annotation text"/>
    <w:basedOn w:val="Normal"/>
    <w:link w:val="CommentTextChar"/>
    <w:uiPriority w:val="99"/>
    <w:semiHidden/>
    <w:unhideWhenUsed/>
    <w:rsid w:val="003247A7"/>
    <w:rPr>
      <w:sz w:val="20"/>
      <w:szCs w:val="20"/>
    </w:rPr>
  </w:style>
  <w:style w:type="character" w:customStyle="1" w:styleId="CommentTextChar">
    <w:name w:val="Comment Text Char"/>
    <w:basedOn w:val="DefaultParagraphFont"/>
    <w:link w:val="CommentText"/>
    <w:uiPriority w:val="99"/>
    <w:semiHidden/>
    <w:rsid w:val="003247A7"/>
    <w:rPr>
      <w:sz w:val="20"/>
      <w:szCs w:val="20"/>
    </w:rPr>
  </w:style>
  <w:style w:type="paragraph" w:styleId="CommentSubject">
    <w:name w:val="annotation subject"/>
    <w:basedOn w:val="CommentText"/>
    <w:next w:val="CommentText"/>
    <w:link w:val="CommentSubjectChar"/>
    <w:uiPriority w:val="99"/>
    <w:semiHidden/>
    <w:unhideWhenUsed/>
    <w:rsid w:val="003247A7"/>
    <w:rPr>
      <w:b/>
      <w:bCs/>
    </w:rPr>
  </w:style>
  <w:style w:type="character" w:customStyle="1" w:styleId="CommentSubjectChar">
    <w:name w:val="Comment Subject Char"/>
    <w:basedOn w:val="CommentTextChar"/>
    <w:link w:val="CommentSubject"/>
    <w:uiPriority w:val="99"/>
    <w:semiHidden/>
    <w:rsid w:val="00324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2044">
      <w:bodyDiv w:val="1"/>
      <w:marLeft w:val="0"/>
      <w:marRight w:val="0"/>
      <w:marTop w:val="0"/>
      <w:marBottom w:val="0"/>
      <w:divBdr>
        <w:top w:val="none" w:sz="0" w:space="0" w:color="auto"/>
        <w:left w:val="none" w:sz="0" w:space="0" w:color="auto"/>
        <w:bottom w:val="none" w:sz="0" w:space="0" w:color="auto"/>
        <w:right w:val="none" w:sz="0" w:space="0" w:color="auto"/>
      </w:divBdr>
    </w:div>
    <w:div w:id="612901143">
      <w:bodyDiv w:val="1"/>
      <w:marLeft w:val="0"/>
      <w:marRight w:val="0"/>
      <w:marTop w:val="0"/>
      <w:marBottom w:val="0"/>
      <w:divBdr>
        <w:top w:val="none" w:sz="0" w:space="0" w:color="auto"/>
        <w:left w:val="none" w:sz="0" w:space="0" w:color="auto"/>
        <w:bottom w:val="none" w:sz="0" w:space="0" w:color="auto"/>
        <w:right w:val="none" w:sz="0" w:space="0" w:color="auto"/>
      </w:divBdr>
    </w:div>
    <w:div w:id="648703847">
      <w:bodyDiv w:val="1"/>
      <w:marLeft w:val="0"/>
      <w:marRight w:val="0"/>
      <w:marTop w:val="0"/>
      <w:marBottom w:val="0"/>
      <w:divBdr>
        <w:top w:val="none" w:sz="0" w:space="0" w:color="auto"/>
        <w:left w:val="none" w:sz="0" w:space="0" w:color="auto"/>
        <w:bottom w:val="none" w:sz="0" w:space="0" w:color="auto"/>
        <w:right w:val="none" w:sz="0" w:space="0" w:color="auto"/>
      </w:divBdr>
    </w:div>
    <w:div w:id="885793709">
      <w:bodyDiv w:val="1"/>
      <w:marLeft w:val="0"/>
      <w:marRight w:val="0"/>
      <w:marTop w:val="0"/>
      <w:marBottom w:val="0"/>
      <w:divBdr>
        <w:top w:val="none" w:sz="0" w:space="0" w:color="auto"/>
        <w:left w:val="none" w:sz="0" w:space="0" w:color="auto"/>
        <w:bottom w:val="none" w:sz="0" w:space="0" w:color="auto"/>
        <w:right w:val="none" w:sz="0" w:space="0" w:color="auto"/>
      </w:divBdr>
    </w:div>
    <w:div w:id="1742866051">
      <w:bodyDiv w:val="1"/>
      <w:marLeft w:val="0"/>
      <w:marRight w:val="0"/>
      <w:marTop w:val="0"/>
      <w:marBottom w:val="0"/>
      <w:divBdr>
        <w:top w:val="none" w:sz="0" w:space="0" w:color="auto"/>
        <w:left w:val="none" w:sz="0" w:space="0" w:color="auto"/>
        <w:bottom w:val="none" w:sz="0" w:space="0" w:color="auto"/>
        <w:right w:val="none" w:sz="0" w:space="0" w:color="auto"/>
      </w:divBdr>
    </w:div>
    <w:div w:id="1828936562">
      <w:bodyDiv w:val="1"/>
      <w:marLeft w:val="0"/>
      <w:marRight w:val="0"/>
      <w:marTop w:val="0"/>
      <w:marBottom w:val="0"/>
      <w:divBdr>
        <w:top w:val="none" w:sz="0" w:space="0" w:color="auto"/>
        <w:left w:val="none" w:sz="0" w:space="0" w:color="auto"/>
        <w:bottom w:val="none" w:sz="0" w:space="0" w:color="auto"/>
        <w:right w:val="none" w:sz="0" w:space="0" w:color="auto"/>
      </w:divBdr>
    </w:div>
    <w:div w:id="1946185867">
      <w:bodyDiv w:val="1"/>
      <w:marLeft w:val="0"/>
      <w:marRight w:val="0"/>
      <w:marTop w:val="0"/>
      <w:marBottom w:val="0"/>
      <w:divBdr>
        <w:top w:val="none" w:sz="0" w:space="0" w:color="auto"/>
        <w:left w:val="none" w:sz="0" w:space="0" w:color="auto"/>
        <w:bottom w:val="none" w:sz="0" w:space="0" w:color="auto"/>
        <w:right w:val="none" w:sz="0" w:space="0" w:color="auto"/>
      </w:divBdr>
    </w:div>
    <w:div w:id="20384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1863-1ED6-4714-9433-16E87DE3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12379</Words>
  <Characters>70563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Gailey</dc:creator>
  <cp:keywords/>
  <dc:description/>
  <cp:lastModifiedBy>Michael Epstein</cp:lastModifiedBy>
  <cp:revision>2</cp:revision>
  <dcterms:created xsi:type="dcterms:W3CDTF">2025-11-13T16:28:00Z</dcterms:created>
  <dcterms:modified xsi:type="dcterms:W3CDTF">2025-11-13T16:28:00Z</dcterms:modified>
</cp:coreProperties>
</file>